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GeoPrior Solution Architecture &amp; Verification Specification</w:t>
      </w:r>
    </w:p>
    <w:p>
      <w:pPr>
        <w:jc w:val="center"/>
      </w:pPr>
      <w:r>
        <w:rPr>
          <w:b/>
        </w:rPr>
        <w:t>Version v1.0 Draft • Chapters 13–15</w:t>
        <w:br/>
      </w:r>
      <w:r>
        <w:t>Failure Modes • Production Deployment • Cost &amp; Roadmap</w:t>
      </w:r>
    </w:p>
    <w:p>
      <w:pPr>
        <w:pStyle w:val="Heading1"/>
      </w:pPr>
      <w:r>
        <w:t>Chapter 13 — Failure Mode Catalogue</w:t>
      </w:r>
    </w:p>
    <w:p>
      <w:r>
        <w:t>Every failure mode is documented with its detection strategy, recovery behavior, residual risk, and validation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Failure Mode</w:t>
            </w:r>
          </w:p>
        </w:tc>
        <w:tc>
          <w:tcPr>
            <w:tcW w:type="dxa" w:w="1728"/>
          </w:tcPr>
          <w:p>
            <w:r>
              <w:t>Detection</w:t>
            </w:r>
          </w:p>
        </w:tc>
        <w:tc>
          <w:tcPr>
            <w:tcW w:type="dxa" w:w="1728"/>
          </w:tcPr>
          <w:p>
            <w:r>
              <w:t>Recovery</w:t>
            </w:r>
          </w:p>
        </w:tc>
        <w:tc>
          <w:tcPr>
            <w:tcW w:type="dxa" w:w="1728"/>
          </w:tcPr>
          <w:p>
            <w:r>
              <w:t>Residual Risk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Rolling shutter</w:t>
            </w:r>
          </w:p>
        </w:tc>
        <w:tc>
          <w:tcPr>
            <w:tcW w:type="dxa" w:w="1728"/>
          </w:tcPr>
          <w:p>
            <w:r>
              <w:t>IMU inconsistency + line distortion</w:t>
            </w:r>
          </w:p>
        </w:tc>
        <w:tc>
          <w:tcPr>
            <w:tcW w:type="dxa" w:w="1728"/>
          </w:tcPr>
          <w:p>
            <w:r>
              <w:t>Rolling-shutter correction before SSAKS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Motion blur</w:t>
            </w:r>
          </w:p>
        </w:tc>
        <w:tc>
          <w:tcPr>
            <w:tcW w:type="dxa" w:w="1728"/>
          </w:tcPr>
          <w:p>
            <w:r>
              <w:t>Blur score during SSAKS</w:t>
            </w:r>
          </w:p>
        </w:tc>
        <w:tc>
          <w:tcPr>
            <w:tcW w:type="dxa" w:w="1728"/>
          </w:tcPr>
          <w:p>
            <w:r>
              <w:t>Discard or down-weight frame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Dynamic vehicles/people</w:t>
            </w:r>
          </w:p>
        </w:tc>
        <w:tc>
          <w:tcPr>
            <w:tcW w:type="dxa" w:w="1728"/>
          </w:tcPr>
          <w:p>
            <w:r>
              <w:t>SAM2 segmentation</w:t>
            </w:r>
          </w:p>
        </w:tc>
        <w:tc>
          <w:tcPr>
            <w:tcW w:type="dxa" w:w="1728"/>
          </w:tcPr>
          <w:p>
            <w:r>
              <w:t>Mask before reconstruction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Reflective glass</w:t>
            </w:r>
          </w:p>
        </w:tc>
        <w:tc>
          <w:tcPr>
            <w:tcW w:type="dxa" w:w="1728"/>
          </w:tcPr>
          <w:p>
            <w:r>
              <w:t>Depth inconsistency</w:t>
            </w:r>
          </w:p>
        </w:tc>
        <w:tc>
          <w:tcPr>
            <w:tcW w:type="dxa" w:w="1728"/>
          </w:tcPr>
          <w:p>
            <w:r>
              <w:t>Confidence masking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Water surfaces</w:t>
            </w:r>
          </w:p>
        </w:tc>
        <w:tc>
          <w:tcPr>
            <w:tcW w:type="dxa" w:w="1728"/>
          </w:tcPr>
          <w:p>
            <w:r>
              <w:t>Optical flow instability</w:t>
            </w:r>
          </w:p>
        </w:tc>
        <w:tc>
          <w:tcPr>
            <w:tcW w:type="dxa" w:w="1728"/>
          </w:tcPr>
          <w:p>
            <w:r>
              <w:t>Exclude low-confidence regions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GPS multipath</w:t>
            </w:r>
          </w:p>
        </w:tc>
        <w:tc>
          <w:tcPr>
            <w:tcW w:type="dxa" w:w="1728"/>
          </w:tcPr>
          <w:p>
            <w:r>
              <w:t>High registration residual</w:t>
            </w:r>
          </w:p>
        </w:tc>
        <w:tc>
          <w:tcPr>
            <w:tcW w:type="dxa" w:w="1728"/>
          </w:tcPr>
          <w:p>
            <w:r>
              <w:t>RANSAC + bundle adjustment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Low-overlap flight</w:t>
            </w:r>
          </w:p>
        </w:tc>
        <w:tc>
          <w:tcPr>
            <w:tcW w:type="dxa" w:w="1728"/>
          </w:tcPr>
          <w:p>
            <w:r>
              <w:t>Coverage score</w:t>
            </w:r>
          </w:p>
        </w:tc>
        <w:tc>
          <w:tcPr>
            <w:tcW w:type="dxa" w:w="1728"/>
          </w:tcPr>
          <w:p>
            <w:r>
              <w:t>Warn operator / preserve uncertainty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CUDA OOM</w:t>
            </w:r>
          </w:p>
        </w:tc>
        <w:tc>
          <w:tcPr>
            <w:tcW w:type="dxa" w:w="1728"/>
          </w:tcPr>
          <w:p>
            <w:r>
              <w:t>GPU memory monitor</w:t>
            </w:r>
          </w:p>
        </w:tc>
        <w:tc>
          <w:tcPr>
            <w:tcW w:type="dxa" w:w="1728"/>
          </w:tcPr>
          <w:p>
            <w:r>
              <w:t>Resume from checkpoint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Thermal throttling</w:t>
            </w:r>
          </w:p>
        </w:tc>
        <w:tc>
          <w:tcPr>
            <w:tcW w:type="dxa" w:w="1728"/>
          </w:tcPr>
          <w:p>
            <w:r>
              <w:t>GPU telemetry</w:t>
            </w:r>
          </w:p>
        </w:tc>
        <w:tc>
          <w:tcPr>
            <w:tcW w:type="dxa" w:w="1728"/>
          </w:tcPr>
          <w:p>
            <w:r>
              <w:t>Reduce tile size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  <w:tr>
        <w:tc>
          <w:tcPr>
            <w:tcW w:type="dxa" w:w="1728"/>
          </w:tcPr>
          <w:p>
            <w:r>
              <w:t>Missing EXIF/telemetry</w:t>
            </w:r>
          </w:p>
        </w:tc>
        <w:tc>
          <w:tcPr>
            <w:tcW w:type="dxa" w:w="1728"/>
          </w:tcPr>
          <w:p>
            <w:r>
              <w:t>Metadata validation</w:t>
            </w:r>
          </w:p>
        </w:tc>
        <w:tc>
          <w:tcPr>
            <w:tcW w:type="dxa" w:w="1728"/>
          </w:tcPr>
          <w:p>
            <w:r>
              <w:t>Pose-only reconstruction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 Validation</w:t>
            </w:r>
          </w:p>
        </w:tc>
      </w:tr>
    </w:tbl>
    <w:p>
      <w:pPr>
        <w:pStyle w:val="Heading2"/>
      </w:pPr>
      <w:r>
        <w:t>Residual Risk Matrix</w:t>
      </w:r>
    </w:p>
    <w:p>
      <w:r>
        <w:t>Risks are classified into Critical, High, Medium, and Low severity based on impact and recoverability.</w:t>
      </w:r>
    </w:p>
    <w:p>
      <w:pPr>
        <w:pStyle w:val="Heading1"/>
      </w:pPr>
      <w:r>
        <w:t>Chapter 14 — Production Deployment Architecture</w:t>
      </w:r>
    </w:p>
    <w:p>
      <w:r>
        <w:t>The production architecture separates inference, storage, orchestration, monitoring, and artifact management into independent services.</w:t>
      </w:r>
    </w:p>
    <w:p>
      <w:pPr>
        <w:pStyle w:val="Heading2"/>
      </w:pPr>
      <w:r>
        <w:t>Deployment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Inference Worker</w:t>
            </w:r>
          </w:p>
        </w:tc>
        <w:tc>
          <w:tcPr>
            <w:tcW w:type="dxa" w:w="2880"/>
          </w:tcPr>
          <w:p>
            <w:r>
              <w:t>Docker + CUDA</w:t>
            </w:r>
          </w:p>
        </w:tc>
        <w:tc>
          <w:tcPr>
            <w:tcW w:type="dxa" w:w="2880"/>
          </w:tcPr>
          <w:p>
            <w:r>
              <w:t>SSAKS, VGGT, Speedy-Splat execution</w:t>
            </w:r>
          </w:p>
        </w:tc>
      </w:tr>
      <w:tr>
        <w:tc>
          <w:tcPr>
            <w:tcW w:type="dxa" w:w="2880"/>
          </w:tcPr>
          <w:p>
            <w:r>
              <w:t>Artifact Storage</w:t>
            </w:r>
          </w:p>
        </w:tc>
        <w:tc>
          <w:tcPr>
            <w:tcW w:type="dxa" w:w="2880"/>
          </w:tcPr>
          <w:p>
            <w:r>
              <w:t>MinIO / S3</w:t>
            </w:r>
          </w:p>
        </w:tc>
        <w:tc>
          <w:tcPr>
            <w:tcW w:type="dxa" w:w="2880"/>
          </w:tcPr>
          <w:p>
            <w:r>
              <w:t>Videos, splats, meshes, metadata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Redis + Celery</w:t>
            </w:r>
          </w:p>
        </w:tc>
        <w:tc>
          <w:tcPr>
            <w:tcW w:type="dxa" w:w="2880"/>
          </w:tcPr>
          <w:p>
            <w:r>
              <w:t>Asynchronous reconstruction jobs</w:t>
            </w:r>
          </w:p>
        </w:tc>
      </w:tr>
      <w:tr>
        <w:tc>
          <w:tcPr>
            <w:tcW w:type="dxa" w:w="2880"/>
          </w:tcPr>
          <w:p>
            <w:r>
              <w:t>Model Registry</w:t>
            </w:r>
          </w:p>
        </w:tc>
        <w:tc>
          <w:tcPr>
            <w:tcW w:type="dxa" w:w="2880"/>
          </w:tcPr>
          <w:p>
            <w:r>
              <w:t>MLflow</w:t>
            </w:r>
          </w:p>
        </w:tc>
        <w:tc>
          <w:tcPr>
            <w:tcW w:type="dxa" w:w="2880"/>
          </w:tcPr>
          <w:p>
            <w:r>
              <w:t>Checkpoint and model versioning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GPU, runtime, failures</w:t>
            </w:r>
          </w:p>
        </w:tc>
      </w:tr>
      <w:tr>
        <w:tc>
          <w:tcPr>
            <w:tcW w:type="dxa" w:w="2880"/>
          </w:tcPr>
          <w:p>
            <w:r>
              <w:t>Metadata DB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Flight metadata and provenance records</w:t>
            </w:r>
          </w:p>
        </w:tc>
      </w:tr>
    </w:tbl>
    <w:p>
      <w:pPr>
        <w:pStyle w:val="Heading2"/>
      </w:pPr>
      <w:r>
        <w:t>Checkpointing Strategy</w:t>
      </w:r>
    </w:p>
    <w:p>
      <w:r>
        <w:t>Checkpoint boundaries occur after SSAKS, pose estimation, Gaussian optimization, mesh extraction, and refinement. Each checkpoint stores metadata required for deterministic replay.</w:t>
      </w:r>
    </w:p>
    <w:p>
      <w:pPr>
        <w:pStyle w:val="Heading2"/>
      </w:pPr>
      <w:r>
        <w:t>Security Principles</w:t>
      </w:r>
    </w:p>
    <w:p>
      <w:pPr>
        <w:pStyle w:val="ListBullet"/>
      </w:pPr>
      <w:r>
        <w:t>API keys stored outside containers.</w:t>
      </w:r>
    </w:p>
    <w:p>
      <w:pPr>
        <w:pStyle w:val="ListBullet"/>
      </w:pPr>
      <w:r>
        <w:t>Immutable provenance metadata.</w:t>
      </w:r>
    </w:p>
    <w:p>
      <w:pPr>
        <w:pStyle w:val="ListBullet"/>
      </w:pPr>
      <w:r>
        <w:t>Checksum verification for downloaded models.</w:t>
      </w:r>
    </w:p>
    <w:p>
      <w:pPr>
        <w:pStyle w:val="ListBullet"/>
      </w:pPr>
      <w:r>
        <w:t>Read-only export pipeline for provenance metadata.</w:t>
      </w:r>
    </w:p>
    <w:p>
      <w:pPr>
        <w:pStyle w:val="Heading1"/>
      </w:pPr>
      <w:r>
        <w:t>Chapter 15 — Cost Model, Licensing, and Implementation Roadmap</w:t>
      </w:r>
    </w:p>
    <w:p>
      <w:pPr>
        <w:pStyle w:val="Heading2"/>
      </w:pPr>
      <w:r>
        <w:t>Cost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Area</w:t>
            </w:r>
          </w:p>
        </w:tc>
        <w:tc>
          <w:tcPr>
            <w:tcW w:type="dxa" w:w="2160"/>
          </w:tcPr>
          <w:p>
            <w:r>
              <w:t>Local Execution</w:t>
            </w:r>
          </w:p>
        </w:tc>
        <w:tc>
          <w:tcPr>
            <w:tcW w:type="dxa" w:w="2160"/>
          </w:tcPr>
          <w:p>
            <w:r>
              <w:t>Cloud Execution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GPU Compute</w:t>
            </w:r>
          </w:p>
        </w:tc>
        <w:tc>
          <w:tcPr>
            <w:tcW w:type="dxa" w:w="2160"/>
          </w:tcPr>
          <w:p>
            <w:r>
              <w:t>RTX 3050 local</w:t>
            </w:r>
          </w:p>
        </w:tc>
        <w:tc>
          <w:tcPr>
            <w:tcW w:type="dxa" w:w="2160"/>
          </w:tcPr>
          <w:p>
            <w:r>
              <w:t>Cloud GPU optional</w:t>
            </w:r>
          </w:p>
        </w:tc>
        <w:tc>
          <w:tcPr>
            <w:tcW w:type="dxa" w:w="2160"/>
          </w:tcPr>
          <w:p>
            <w:r>
              <w:t>Pending Benchmark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Local SSD / MinIO</w:t>
            </w:r>
          </w:p>
        </w:tc>
        <w:tc>
          <w:tcPr>
            <w:tcW w:type="dxa" w:w="2160"/>
          </w:tcPr>
          <w:p>
            <w:r>
              <w:t>S3 / Object Storage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Geo Providers</w:t>
            </w:r>
          </w:p>
        </w:tc>
        <w:tc>
          <w:tcPr>
            <w:tcW w:type="dxa" w:w="2160"/>
          </w:tcPr>
          <w:p>
            <w:r>
              <w:t>Overture/Cesium/OSM</w:t>
            </w:r>
          </w:p>
        </w:tc>
        <w:tc>
          <w:tcPr>
            <w:tcW w:type="dxa" w:w="2160"/>
          </w:tcPr>
          <w:p>
            <w:r>
              <w:t>Google metadata optional</w:t>
            </w:r>
          </w:p>
        </w:tc>
        <w:tc>
          <w:tcPr>
            <w:tcW w:type="dxa" w:w="2160"/>
          </w:tcPr>
          <w:p>
            <w:r>
              <w:t>Pending Legal Review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Local Prometheus</w:t>
            </w:r>
          </w:p>
        </w:tc>
        <w:tc>
          <w:tcPr>
            <w:tcW w:type="dxa" w:w="2160"/>
          </w:tcPr>
          <w:p>
            <w:r>
              <w:t>Managed monitoring optional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>
      <w:pPr>
        <w:pStyle w:val="Heading2"/>
      </w:pPr>
      <w:r>
        <w:t>Licensing Policy</w:t>
      </w:r>
    </w:p>
    <w:p>
      <w:r>
        <w:t>Observed geometry is exported by default. Prior-Guided geometry remains non-exportable unless visualization mode is explicitly enabled. AI-Inferred geometry is exported only when inference metadata is retained.</w:t>
      </w:r>
    </w:p>
    <w:p>
      <w:pPr>
        <w:pStyle w:val="Heading2"/>
      </w:pPr>
      <w:r>
        <w:t>Implementation Roadmap (12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Weeks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SSAKS implementation and benchmark corpus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  <w:tc>
          <w:tcPr>
            <w:tcW w:type="dxa" w:w="2880"/>
          </w:tcPr>
          <w:p>
            <w:r>
              <w:t>VGGT + COLMAP integration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Geo Registration module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7–8</w:t>
            </w:r>
          </w:p>
        </w:tc>
        <w:tc>
          <w:tcPr>
            <w:tcW w:type="dxa" w:w="2880"/>
          </w:tcPr>
          <w:p>
            <w:r>
              <w:t>Speedy-Splat reconstruction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9–10</w:t>
            </w:r>
          </w:p>
        </w:tc>
        <w:tc>
          <w:tcPr>
            <w:tcW w:type="dxa" w:w="2880"/>
          </w:tcPr>
          <w:p>
            <w:r>
              <w:t>SuGaR mesh extraction + SERE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11–12</w:t>
            </w:r>
          </w:p>
        </w:tc>
        <w:tc>
          <w:tcPr>
            <w:tcW w:type="dxa" w:w="2880"/>
          </w:tcPr>
          <w:p>
            <w:r>
              <w:t>Verification benchmarks, deployment, documentation</w:t>
            </w:r>
          </w:p>
        </w:tc>
      </w:tr>
    </w:tbl>
    <w:p>
      <w:pPr>
        <w:pStyle w:val="Heading2"/>
      </w:pPr>
      <w:r>
        <w:t>Readiness Gate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Evidence Required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Architecture Complete</w:t>
            </w:r>
          </w:p>
        </w:tc>
        <w:tc>
          <w:tcPr>
            <w:tcW w:type="dxa" w:w="2880"/>
          </w:tcPr>
          <w:p>
            <w:r>
              <w:t>Design review closed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Feasibility Verified</w:t>
            </w:r>
          </w:p>
        </w:tc>
        <w:tc>
          <w:tcPr>
            <w:tcW w:type="dxa" w:w="2880"/>
          </w:tcPr>
          <w:p>
            <w:r>
              <w:t>VRAM, runtime, registration benchmarks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Robustness Verified</w:t>
            </w:r>
          </w:p>
        </w:tc>
        <w:tc>
          <w:tcPr>
            <w:tcW w:type="dxa" w:w="2880"/>
          </w:tcPr>
          <w:p>
            <w:r>
              <w:t>Failure-mode and calibration reports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Production Candidate</w:t>
            </w:r>
          </w:p>
        </w:tc>
        <w:tc>
          <w:tcPr>
            <w:tcW w:type="dxa" w:w="2880"/>
          </w:tcPr>
          <w:p>
            <w:r>
              <w:t>Infrastructure, monitoring, legal review</w:t>
            </w:r>
          </w:p>
        </w:tc>
      </w:tr>
    </w:tbl>
    <w:p>
      <w:pPr>
        <w:pStyle w:val="Heading2"/>
      </w:pPr>
      <w:r>
        <w:t>Appendix — Pending Validation Register</w:t>
      </w:r>
    </w:p>
    <w:p>
      <w:pPr>
        <w:pStyle w:val="ListBullet"/>
      </w:pPr>
      <w:r>
        <w:t>VRAM profiling on RTX 3050.</w:t>
      </w:r>
    </w:p>
    <w:p>
      <w:pPr>
        <w:pStyle w:val="ListBullet"/>
      </w:pPr>
      <w:r>
        <w:t>Runtime scaling across 1/5/10 minute flights.</w:t>
      </w:r>
    </w:p>
    <w:p>
      <w:pPr>
        <w:pStyle w:val="ListBullet"/>
      </w:pPr>
      <w:r>
        <w:t>Registration accuracy against surveyed control points.</w:t>
      </w:r>
    </w:p>
    <w:p>
      <w:pPr>
        <w:pStyle w:val="ListBullet"/>
      </w:pPr>
      <w:r>
        <w:t>Mesh fidelity against LiDAR/manual dimensions.</w:t>
      </w:r>
    </w:p>
    <w:p>
      <w:pPr>
        <w:pStyle w:val="ListBullet"/>
      </w:pPr>
      <w:r>
        <w:t>Failure-mode robustness evaluation.</w:t>
      </w:r>
    </w:p>
    <w:p>
      <w:pPr>
        <w:pStyle w:val="ListBullet"/>
      </w:pPr>
      <w:r>
        <w:t>Google/Cesium licensing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