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7A3A2"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t>HDFC Bank – Analytical Insights</w:t>
      </w:r>
    </w:p>
    <w:p w14:paraId="269D3E97"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t>1. Stock Price Trend Analysis</w:t>
      </w:r>
    </w:p>
    <w:p w14:paraId="7976FE4B"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historical price trend of HDFC Bank from 2018 to 2026 shows a generally upward long-term trajectory, although the growth is more gradual compared to some high-growth stocks. The stock price increased from roughly ₹900–₹1000 in early 2018 to levels around ₹1500–₹1700 in later years.</w:t>
      </w:r>
    </w:p>
    <w:p w14:paraId="65068279"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 xml:space="preserve">A significant decline is visible during early 2020, which coincides with the global COVID-19 market crash. </w:t>
      </w:r>
      <w:proofErr w:type="gramStart"/>
      <w:r w:rsidRPr="001B5E0D">
        <w:rPr>
          <w:rFonts w:ascii="Times New Roman" w:hAnsi="Times New Roman" w:cs="Times New Roman"/>
        </w:rPr>
        <w:t>Similar to</w:t>
      </w:r>
      <w:proofErr w:type="gramEnd"/>
      <w:r w:rsidRPr="001B5E0D">
        <w:rPr>
          <w:rFonts w:ascii="Times New Roman" w:hAnsi="Times New Roman" w:cs="Times New Roman"/>
        </w:rPr>
        <w:t xml:space="preserve"> many financial sector stocks, HDFC Bank experienced a temporary decline during this period. However, the stock recovered relatively quickly and resumed its steady upward trend.</w:t>
      </w:r>
    </w:p>
    <w:p w14:paraId="45C84648"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Overall, the trend suggests that HDFC Bank has maintained consistent long-term growth with relatively stable price movements, reflecting the stability typical of large banking institutions.</w:t>
      </w:r>
    </w:p>
    <w:p w14:paraId="2F3D0855" w14:textId="3886B394" w:rsidR="001B5E0D" w:rsidRPr="001B5E0D" w:rsidRDefault="001B5E0D" w:rsidP="001B5E0D">
      <w:pPr>
        <w:rPr>
          <w:rFonts w:ascii="Times New Roman" w:hAnsi="Times New Roman" w:cs="Times New Roman"/>
        </w:rPr>
      </w:pPr>
    </w:p>
    <w:p w14:paraId="537565FE"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t>2. Return Distribution Analysis</w:t>
      </w:r>
    </w:p>
    <w:p w14:paraId="59D69531"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 xml:space="preserve">The distribution of log returns for HDFC Bank is </w:t>
      </w:r>
      <w:proofErr w:type="spellStart"/>
      <w:r w:rsidRPr="001B5E0D">
        <w:rPr>
          <w:rFonts w:ascii="Times New Roman" w:hAnsi="Times New Roman" w:cs="Times New Roman"/>
        </w:rPr>
        <w:t>centered</w:t>
      </w:r>
      <w:proofErr w:type="spellEnd"/>
      <w:r w:rsidRPr="001B5E0D">
        <w:rPr>
          <w:rFonts w:ascii="Times New Roman" w:hAnsi="Times New Roman" w:cs="Times New Roman"/>
        </w:rPr>
        <w:t xml:space="preserve"> close to zero, indicating that most daily returns are relatively small. The majority of observations cluster around the mean, while occasional extreme values appear on both sides of the distribution.</w:t>
      </w:r>
    </w:p>
    <w:p w14:paraId="1826636D"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 xml:space="preserve">The kurtosis value indicates the presence of heavy tails, meaning that extreme price movements occur more frequently than predicted by a normal distribution. This </w:t>
      </w:r>
      <w:proofErr w:type="spellStart"/>
      <w:r w:rsidRPr="001B5E0D">
        <w:rPr>
          <w:rFonts w:ascii="Times New Roman" w:hAnsi="Times New Roman" w:cs="Times New Roman"/>
        </w:rPr>
        <w:t>behavior</w:t>
      </w:r>
      <w:proofErr w:type="spellEnd"/>
      <w:r w:rsidRPr="001B5E0D">
        <w:rPr>
          <w:rFonts w:ascii="Times New Roman" w:hAnsi="Times New Roman" w:cs="Times New Roman"/>
        </w:rPr>
        <w:t xml:space="preserve"> is typical in financial markets.</w:t>
      </w:r>
    </w:p>
    <w:p w14:paraId="13C11249"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Overall, the return distribution suggests that while HDFC Bank generally exhibits stable daily returns, investors should still be aware of occasional sharp price movements caused by market events.</w:t>
      </w:r>
    </w:p>
    <w:p w14:paraId="70E72B25" w14:textId="22A410B4" w:rsidR="001B5E0D" w:rsidRPr="001B5E0D" w:rsidRDefault="001B5E0D" w:rsidP="001B5E0D">
      <w:pPr>
        <w:rPr>
          <w:rFonts w:ascii="Times New Roman" w:hAnsi="Times New Roman" w:cs="Times New Roman"/>
        </w:rPr>
      </w:pPr>
    </w:p>
    <w:p w14:paraId="6F6F2638"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t>3. Return and Volatility Analysis</w:t>
      </w:r>
    </w:p>
    <w:p w14:paraId="161A353F"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calculated financial metrics provide insight into the performance and risk characteristics of HDFC Bank:</w:t>
      </w:r>
    </w:p>
    <w:p w14:paraId="067971F4"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Average annual return: ~12–14%</w:t>
      </w:r>
      <w:r w:rsidRPr="001B5E0D">
        <w:rPr>
          <w:rFonts w:ascii="Times New Roman" w:hAnsi="Times New Roman" w:cs="Times New Roman"/>
        </w:rPr>
        <w:br/>
        <w:t>Annualized volatility: ~22–25%</w:t>
      </w:r>
      <w:r w:rsidRPr="001B5E0D">
        <w:rPr>
          <w:rFonts w:ascii="Times New Roman" w:hAnsi="Times New Roman" w:cs="Times New Roman"/>
        </w:rPr>
        <w:br/>
        <w:t>Daily volatility: ~1.3–1.5%</w:t>
      </w:r>
    </w:p>
    <w:p w14:paraId="7C155CBA"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These results suggest that HDFC Bank provides moderate long-term returns with relatively controlled volatility. Compared with many high-growth stocks, the volatility level is somewhat lower, reflecting the relatively stable nature of banking sector equities.</w:t>
      </w:r>
    </w:p>
    <w:p w14:paraId="5A934986"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This balance between return and volatility indicates that HDFC Bank behaves as a stable large-cap stock that can provide consistent long-term growth while maintaining manageable risk levels.</w:t>
      </w:r>
    </w:p>
    <w:p w14:paraId="5F78808E" w14:textId="0B219E5D" w:rsidR="001B5E0D" w:rsidRPr="001B5E0D" w:rsidRDefault="001B5E0D" w:rsidP="001B5E0D">
      <w:pPr>
        <w:rPr>
          <w:rFonts w:ascii="Times New Roman" w:hAnsi="Times New Roman" w:cs="Times New Roman"/>
        </w:rPr>
      </w:pPr>
    </w:p>
    <w:p w14:paraId="2CE8B07D"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t>4. Risk-Adjusted Performance</w:t>
      </w:r>
    </w:p>
    <w:p w14:paraId="75C76A46"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Sharpe ratio calculated for HDFC Bank indicates moderate risk-adjusted performance.</w:t>
      </w:r>
    </w:p>
    <w:p w14:paraId="7E44E87A"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Sharpe Ratio: ~0.35–0.40</w:t>
      </w:r>
    </w:p>
    <w:p w14:paraId="349783A3"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Sharpe ratio measures how much return is generated for each unit of risk. A value around this range suggests that the stock generates positive returns relative to its volatility, though the reward per unit of risk is moderate rather than extremely high.</w:t>
      </w:r>
    </w:p>
    <w:p w14:paraId="33A1CCAC"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Additional risk-adjusted metrics may include:</w:t>
      </w:r>
    </w:p>
    <w:p w14:paraId="6135AEC2"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Sortino Ratio: ~0.90</w:t>
      </w:r>
      <w:r w:rsidRPr="001B5E0D">
        <w:rPr>
          <w:rFonts w:ascii="Times New Roman" w:hAnsi="Times New Roman" w:cs="Times New Roman"/>
        </w:rPr>
        <w:br/>
        <w:t>Calmar Ratio: ~0.30</w:t>
      </w:r>
      <w:r w:rsidRPr="001B5E0D">
        <w:rPr>
          <w:rFonts w:ascii="Times New Roman" w:hAnsi="Times New Roman" w:cs="Times New Roman"/>
        </w:rPr>
        <w:br/>
        <w:t>Omega Ratio: ~1.15</w:t>
      </w:r>
    </w:p>
    <w:p w14:paraId="637E453B"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These values indicate that HDFC Bank provides stable returns relative to downside risk and maintains a balanced risk-reward profile over the long term.</w:t>
      </w:r>
    </w:p>
    <w:p w14:paraId="7E32D2D4" w14:textId="23C50883" w:rsidR="001B5E0D" w:rsidRPr="001B5E0D" w:rsidRDefault="001B5E0D" w:rsidP="001B5E0D">
      <w:pPr>
        <w:rPr>
          <w:rFonts w:ascii="Times New Roman" w:hAnsi="Times New Roman" w:cs="Times New Roman"/>
        </w:rPr>
      </w:pPr>
    </w:p>
    <w:p w14:paraId="7ECF0C84"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t>5. Market Sensitivity (Beta Analysis)</w:t>
      </w:r>
    </w:p>
    <w:p w14:paraId="68202DBE"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beta value for HDFC Bank is typically close to 1.</w:t>
      </w:r>
    </w:p>
    <w:p w14:paraId="3587D3BA"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Beta ≈ 0.9 – 1.0</w:t>
      </w:r>
    </w:p>
    <w:p w14:paraId="36D24A28"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A beta close to 1 indicates that the stock generally moves in line with the overall market index (NIFTY 50). This suggests that HDFC Bank’s performance is strongly influenced by broader market conditions but does not exhibit excessive volatility relative to the market.</w:t>
      </w:r>
    </w:p>
    <w:p w14:paraId="3C73B43A"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This level of beta is consistent with large financial institutions whose stock performance tends to follow overall economic trends.</w:t>
      </w:r>
    </w:p>
    <w:p w14:paraId="3DD5EACA" w14:textId="58E4624E" w:rsidR="001B5E0D" w:rsidRPr="001B5E0D" w:rsidRDefault="001B5E0D" w:rsidP="001B5E0D">
      <w:pPr>
        <w:rPr>
          <w:rFonts w:ascii="Times New Roman" w:hAnsi="Times New Roman" w:cs="Times New Roman"/>
        </w:rPr>
      </w:pPr>
    </w:p>
    <w:p w14:paraId="529D196E"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t>6. Downside Risk Analysis</w:t>
      </w:r>
    </w:p>
    <w:p w14:paraId="6FE566D3"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Value at Risk (95% confidence level): approximately −2%</w:t>
      </w:r>
    </w:p>
    <w:p w14:paraId="4EA6B300"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This indicates that under normal market conditions there is a 5% probability that the stock could experience a daily loss greater than about 2%.</w:t>
      </w:r>
    </w:p>
    <w:p w14:paraId="6C2DD4B3"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Maximum Drawdown: approximately −40% to −45%</w:t>
      </w:r>
    </w:p>
    <w:p w14:paraId="3545BEBB"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largest drawdown occurred during the COVID-19 market crash in 2020. During this period the stock experienced a sharp temporary decline, reflecting panic across global financial markets.</w:t>
      </w:r>
    </w:p>
    <w:p w14:paraId="4FB2CE65"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 xml:space="preserve">However, the stock recovered in subsequent periods and resumed its growth trend, indicating resilience </w:t>
      </w:r>
      <w:proofErr w:type="gramStart"/>
      <w:r w:rsidRPr="001B5E0D">
        <w:rPr>
          <w:rFonts w:ascii="Times New Roman" w:hAnsi="Times New Roman" w:cs="Times New Roman"/>
        </w:rPr>
        <w:t>similar to</w:t>
      </w:r>
      <w:proofErr w:type="gramEnd"/>
      <w:r w:rsidRPr="001B5E0D">
        <w:rPr>
          <w:rFonts w:ascii="Times New Roman" w:hAnsi="Times New Roman" w:cs="Times New Roman"/>
        </w:rPr>
        <w:t xml:space="preserve"> other strong large-cap financial institutions.</w:t>
      </w:r>
    </w:p>
    <w:p w14:paraId="19A4D6F4" w14:textId="4C9C2692" w:rsidR="001B5E0D" w:rsidRPr="001B5E0D" w:rsidRDefault="001B5E0D" w:rsidP="001B5E0D">
      <w:pPr>
        <w:rPr>
          <w:rFonts w:ascii="Times New Roman" w:hAnsi="Times New Roman" w:cs="Times New Roman"/>
        </w:rPr>
      </w:pPr>
    </w:p>
    <w:p w14:paraId="63D71572"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t>7. Time Series Stationarity and Forecasting</w:t>
      </w:r>
    </w:p>
    <w:p w14:paraId="4D5EA934"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Augmented Dickey–Fuller (ADF) test was applied to the log return series.</w:t>
      </w:r>
    </w:p>
    <w:p w14:paraId="438E1438"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ADF Statistic: strongly negative</w:t>
      </w:r>
      <w:r w:rsidRPr="001B5E0D">
        <w:rPr>
          <w:rFonts w:ascii="Times New Roman" w:hAnsi="Times New Roman" w:cs="Times New Roman"/>
        </w:rPr>
        <w:br/>
        <w:t>p-value: significantly less than 0.05</w:t>
      </w:r>
    </w:p>
    <w:p w14:paraId="3CAA8A80"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 xml:space="preserve">Since the p-value is below the significance threshold, the null hypothesis of non-stationarity can be rejected. This confirms that the log return series is stationary and suitable for time-series </w:t>
      </w:r>
      <w:proofErr w:type="spellStart"/>
      <w:r w:rsidRPr="001B5E0D">
        <w:rPr>
          <w:rFonts w:ascii="Times New Roman" w:hAnsi="Times New Roman" w:cs="Times New Roman"/>
        </w:rPr>
        <w:t>modeling</w:t>
      </w:r>
      <w:proofErr w:type="spellEnd"/>
      <w:r w:rsidRPr="001B5E0D">
        <w:rPr>
          <w:rFonts w:ascii="Times New Roman" w:hAnsi="Times New Roman" w:cs="Times New Roman"/>
        </w:rPr>
        <w:t>.</w:t>
      </w:r>
    </w:p>
    <w:p w14:paraId="75902863"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 xml:space="preserve">An </w:t>
      </w:r>
      <w:proofErr w:type="gramStart"/>
      <w:r w:rsidRPr="001B5E0D">
        <w:rPr>
          <w:rFonts w:ascii="Times New Roman" w:hAnsi="Times New Roman" w:cs="Times New Roman"/>
        </w:rPr>
        <w:t>ARIMA(</w:t>
      </w:r>
      <w:proofErr w:type="gramEnd"/>
      <w:r w:rsidRPr="001B5E0D">
        <w:rPr>
          <w:rFonts w:ascii="Times New Roman" w:hAnsi="Times New Roman" w:cs="Times New Roman"/>
        </w:rPr>
        <w:t>1,0,1) model was used to forecast short-term returns. The forecasted log returns remain close to zero, indicating that short-term price movements are expected to fluctuate around a stable average without strong directional bias.</w:t>
      </w:r>
    </w:p>
    <w:p w14:paraId="366A60A4" w14:textId="1D809FE2" w:rsidR="001B5E0D" w:rsidRPr="001B5E0D" w:rsidRDefault="001B5E0D" w:rsidP="001B5E0D">
      <w:pPr>
        <w:rPr>
          <w:rFonts w:ascii="Times New Roman" w:hAnsi="Times New Roman" w:cs="Times New Roman"/>
        </w:rPr>
      </w:pPr>
    </w:p>
    <w:p w14:paraId="2A0A4507"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t>8. Cumulative Performance Analysis</w:t>
      </w:r>
    </w:p>
    <w:p w14:paraId="6706E206"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cumulative return analysis shows that an investment in HDFC Bank during the starting period would have grown steadily over time.</w:t>
      </w:r>
    </w:p>
    <w:p w14:paraId="0E1A0122"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cumulative return indicates that the investment more than doubled across the analysis period. Despite temporary downturns such as the pandemic-driven crash in 2020, the long-term trend remains positive.</w:t>
      </w:r>
    </w:p>
    <w:p w14:paraId="16AA3FFC"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In several time periods, HDFC Bank’s cumulative returns perform close to or slightly above the benchmark index, indicating consistent long-term performance.</w:t>
      </w:r>
    </w:p>
    <w:p w14:paraId="1C6556BA" w14:textId="6A8269B4" w:rsidR="001B5E0D" w:rsidRPr="001B5E0D" w:rsidRDefault="001B5E0D" w:rsidP="001B5E0D">
      <w:pPr>
        <w:rPr>
          <w:rFonts w:ascii="Times New Roman" w:hAnsi="Times New Roman" w:cs="Times New Roman"/>
        </w:rPr>
      </w:pPr>
    </w:p>
    <w:p w14:paraId="76BCEF8A"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t>9. Rolling Risk Metrics</w:t>
      </w:r>
    </w:p>
    <w:p w14:paraId="493E7665"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Rolling volatility and rolling Sharpe ratio analysis help observe how risk and performance change across different periods.</w:t>
      </w:r>
    </w:p>
    <w:p w14:paraId="7C50E4DE"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Volatility spikes are clearly visible during the 2020 market crash, reflecting heightened uncertainty in the financial markets. After this period, volatility gradually declines and stabilizes.</w:t>
      </w:r>
    </w:p>
    <w:p w14:paraId="4669133B"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rolling Sharpe ratio fluctuates across time. During strong market periods the Sharpe ratio increases significantly, while during market downturns it may temporarily become negative.</w:t>
      </w:r>
    </w:p>
    <w:p w14:paraId="48139E91"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Overall, the rolling metrics suggest that the risk-adjusted performance of HDFC Bank varies depending on broader economic conditions but remains positive over long periods.</w:t>
      </w:r>
    </w:p>
    <w:p w14:paraId="33B6FC3D" w14:textId="281E1EF8" w:rsidR="001B5E0D" w:rsidRPr="001B5E0D" w:rsidRDefault="001B5E0D" w:rsidP="001B5E0D">
      <w:pPr>
        <w:rPr>
          <w:rFonts w:ascii="Times New Roman" w:hAnsi="Times New Roman" w:cs="Times New Roman"/>
        </w:rPr>
      </w:pPr>
    </w:p>
    <w:p w14:paraId="4CDD236C" w14:textId="77777777" w:rsidR="001B5E0D" w:rsidRPr="001B5E0D" w:rsidRDefault="001B5E0D" w:rsidP="001B5E0D">
      <w:pPr>
        <w:rPr>
          <w:rFonts w:ascii="Times New Roman" w:hAnsi="Times New Roman" w:cs="Times New Roman"/>
        </w:rPr>
      </w:pPr>
    </w:p>
    <w:p w14:paraId="7CA5F35D" w14:textId="77777777" w:rsidR="001B5E0D" w:rsidRPr="001B5E0D" w:rsidRDefault="001B5E0D" w:rsidP="001B5E0D">
      <w:pPr>
        <w:rPr>
          <w:rFonts w:ascii="Times New Roman" w:hAnsi="Times New Roman" w:cs="Times New Roman"/>
        </w:rPr>
      </w:pPr>
    </w:p>
    <w:p w14:paraId="0DF788A7"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lastRenderedPageBreak/>
        <w:t>10. Overall Investment Insight</w:t>
      </w:r>
    </w:p>
    <w:p w14:paraId="6C4235FF"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analysis suggests that HDFC Bank demonstrates characteristics of a stable large-cap banking stock with consistent long-term growth potential.</w:t>
      </w:r>
    </w:p>
    <w:p w14:paraId="431E74D8"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Although the stock experiences temporary volatility during major market disruptions, it tends to recover and continue its upward trajectory. The moderate Sharpe ratio, controlled volatility, and steady cumulative returns indicate a balanced risk-reward profile.</w:t>
      </w:r>
    </w:p>
    <w:p w14:paraId="02754A08"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Given its strong position in the banking sector, stable financial performance, and resilience during market downturns, HDFC Bank can be considered a suitable investment for long-term investors seeking steady growth with moderate market risk.</w:t>
      </w:r>
    </w:p>
    <w:p w14:paraId="5150A68E" w14:textId="77777777" w:rsidR="001B5E0D" w:rsidRPr="001B5E0D" w:rsidRDefault="001B5E0D">
      <w:pPr>
        <w:rPr>
          <w:rFonts w:ascii="Times New Roman" w:hAnsi="Times New Roman" w:cs="Times New Roman"/>
        </w:rPr>
      </w:pPr>
    </w:p>
    <w:p w14:paraId="028CCB69"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t>11. Rolling Volatility Analysis</w:t>
      </w:r>
    </w:p>
    <w:p w14:paraId="6E642062"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rolling volatility analysis illustrates how the risk profile of HDFC Bank changes over time. The 6-month rolling volatility plot shows that volatility varies significantly across different market conditions.</w:t>
      </w:r>
    </w:p>
    <w:p w14:paraId="123B3403"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During the 2020 pandemic crisis, volatility rises sharply, reflecting the extreme uncertainty present in global financial markets. Following this period, volatility gradually declines and stabilizes.</w:t>
      </w:r>
    </w:p>
    <w:p w14:paraId="04470A92"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30-day rolling volatility plot further confirms this trend. Short-term volatility spikes during periods of market stress but eventually returns to moderate levels.</w:t>
      </w:r>
    </w:p>
    <w:p w14:paraId="346D2E59"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These results indicate that although HDFC Bank experiences temporary volatility during market disruptions, its long-term volatility remains relatively stable.</w:t>
      </w:r>
    </w:p>
    <w:p w14:paraId="5B97E5B8" w14:textId="2CBD2B86" w:rsidR="001B5E0D" w:rsidRPr="001B5E0D" w:rsidRDefault="001B5E0D" w:rsidP="001B5E0D">
      <w:pPr>
        <w:rPr>
          <w:rFonts w:ascii="Times New Roman" w:hAnsi="Times New Roman" w:cs="Times New Roman"/>
        </w:rPr>
      </w:pPr>
    </w:p>
    <w:p w14:paraId="6D54B86E"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t>12. Rolling Sharpe Ratio Analysis</w:t>
      </w:r>
    </w:p>
    <w:p w14:paraId="66344613"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rolling Sharpe ratio provides insight into how the risk-adjusted performance of HDFC Bank evolves across different time periods.</w:t>
      </w:r>
    </w:p>
    <w:p w14:paraId="7E713950"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Sharpe ratio increases significantly during strong market periods, indicating that the stock generated higher returns relative to its volatility. Conversely, during market downturns, the Sharpe ratio may decline or become negative.</w:t>
      </w:r>
    </w:p>
    <w:p w14:paraId="58B0C046"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Despite short-term fluctuations, the long-term average Sharpe ratio remains positive, suggesting that the stock has generated positive risk-adjusted returns over the entire period.</w:t>
      </w:r>
    </w:p>
    <w:p w14:paraId="0FCD3458" w14:textId="703B813A" w:rsidR="001B5E0D" w:rsidRPr="001B5E0D" w:rsidRDefault="001B5E0D" w:rsidP="001B5E0D">
      <w:pPr>
        <w:rPr>
          <w:rFonts w:ascii="Times New Roman" w:hAnsi="Times New Roman" w:cs="Times New Roman"/>
        </w:rPr>
      </w:pPr>
    </w:p>
    <w:p w14:paraId="43CB6887" w14:textId="77777777" w:rsidR="001B5E0D" w:rsidRDefault="001B5E0D" w:rsidP="001B5E0D">
      <w:pPr>
        <w:rPr>
          <w:rFonts w:ascii="Times New Roman" w:hAnsi="Times New Roman" w:cs="Times New Roman"/>
          <w:b/>
          <w:bCs/>
        </w:rPr>
      </w:pPr>
    </w:p>
    <w:p w14:paraId="5B5A5649" w14:textId="77777777" w:rsidR="001B5E0D" w:rsidRDefault="001B5E0D" w:rsidP="001B5E0D">
      <w:pPr>
        <w:rPr>
          <w:rFonts w:ascii="Times New Roman" w:hAnsi="Times New Roman" w:cs="Times New Roman"/>
          <w:b/>
          <w:bCs/>
        </w:rPr>
      </w:pPr>
    </w:p>
    <w:p w14:paraId="1037C252" w14:textId="77777777" w:rsidR="001B5E0D" w:rsidRDefault="001B5E0D" w:rsidP="001B5E0D">
      <w:pPr>
        <w:rPr>
          <w:rFonts w:ascii="Times New Roman" w:hAnsi="Times New Roman" w:cs="Times New Roman"/>
          <w:b/>
          <w:bCs/>
        </w:rPr>
      </w:pPr>
    </w:p>
    <w:p w14:paraId="4E5DD18F" w14:textId="33AD08CF" w:rsidR="001B5E0D" w:rsidRPr="001B5E0D" w:rsidRDefault="001B5E0D" w:rsidP="001B5E0D">
      <w:pPr>
        <w:rPr>
          <w:rFonts w:ascii="Times New Roman" w:hAnsi="Times New Roman" w:cs="Times New Roman"/>
          <w:b/>
          <w:bCs/>
        </w:rPr>
      </w:pPr>
      <w:r w:rsidRPr="001B5E0D">
        <w:rPr>
          <w:rFonts w:ascii="Times New Roman" w:hAnsi="Times New Roman" w:cs="Times New Roman"/>
          <w:b/>
          <w:bCs/>
        </w:rPr>
        <w:lastRenderedPageBreak/>
        <w:t>13. Drawdown Analysis</w:t>
      </w:r>
    </w:p>
    <w:p w14:paraId="003D40A2"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Drawdown analysis measures the magnitude and duration of losses experienced by investors.</w:t>
      </w:r>
    </w:p>
    <w:p w14:paraId="48E5269F"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maximum drawdown for HDFC Bank occurs during the 2020 market crash, where the stock experienced a significant decline from its peak value. This period represents the largest temporary loss observed during the study period.</w:t>
      </w:r>
    </w:p>
    <w:p w14:paraId="1A077C34"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However, the stock eventually recovered after this downturn, demonstrating the resilience typical of large-cap financial institutions.</w:t>
      </w:r>
    </w:p>
    <w:p w14:paraId="2C34A1F8" w14:textId="35D98E33" w:rsidR="001B5E0D" w:rsidRPr="001B5E0D" w:rsidRDefault="001B5E0D" w:rsidP="001B5E0D">
      <w:pPr>
        <w:rPr>
          <w:rFonts w:ascii="Times New Roman" w:hAnsi="Times New Roman" w:cs="Times New Roman"/>
        </w:rPr>
      </w:pPr>
    </w:p>
    <w:p w14:paraId="7A368114"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t>14. Cumulative Return Analysis</w:t>
      </w:r>
    </w:p>
    <w:p w14:paraId="1802E23D"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cumulative return plot illustrates the overall growth of an investment in HDFC Bank over time.</w:t>
      </w:r>
    </w:p>
    <w:p w14:paraId="41AE0F4F"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Starting from an initial value of 1.0, the cumulative returns increase steadily throughout the period. Despite temporary declines during market crises, the long-term trend remains positive.</w:t>
      </w:r>
    </w:p>
    <w:p w14:paraId="4D8E18AC"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This demonstrates the importance of long-term investment horizons in equity markets.</w:t>
      </w:r>
    </w:p>
    <w:p w14:paraId="5F55698E" w14:textId="76310561" w:rsidR="001B5E0D" w:rsidRPr="001B5E0D" w:rsidRDefault="001B5E0D" w:rsidP="001B5E0D">
      <w:pPr>
        <w:rPr>
          <w:rFonts w:ascii="Times New Roman" w:hAnsi="Times New Roman" w:cs="Times New Roman"/>
        </w:rPr>
      </w:pPr>
    </w:p>
    <w:p w14:paraId="6ABF5C14" w14:textId="77777777" w:rsidR="001B5E0D" w:rsidRPr="001B5E0D" w:rsidRDefault="001B5E0D" w:rsidP="001B5E0D">
      <w:pPr>
        <w:rPr>
          <w:rFonts w:ascii="Times New Roman" w:hAnsi="Times New Roman" w:cs="Times New Roman"/>
          <w:b/>
          <w:bCs/>
        </w:rPr>
      </w:pPr>
      <w:r w:rsidRPr="001B5E0D">
        <w:rPr>
          <w:rFonts w:ascii="Times New Roman" w:hAnsi="Times New Roman" w:cs="Times New Roman"/>
          <w:b/>
          <w:bCs/>
        </w:rPr>
        <w:t>15. Summary of Key Findings</w:t>
      </w:r>
    </w:p>
    <w:p w14:paraId="4A3C4FE5"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The financial analytics performed on HDFC Bank reveal several important insights:</w:t>
      </w:r>
    </w:p>
    <w:p w14:paraId="06D1DBDC"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 The stock demonstrates steady long-term price appreciation.</w:t>
      </w:r>
      <w:r w:rsidRPr="001B5E0D">
        <w:rPr>
          <w:rFonts w:ascii="Times New Roman" w:hAnsi="Times New Roman" w:cs="Times New Roman"/>
        </w:rPr>
        <w:br/>
        <w:t>• Volatility increases during major market disruptions but stabilizes afterward.</w:t>
      </w:r>
      <w:r w:rsidRPr="001B5E0D">
        <w:rPr>
          <w:rFonts w:ascii="Times New Roman" w:hAnsi="Times New Roman" w:cs="Times New Roman"/>
        </w:rPr>
        <w:br/>
        <w:t>• The stock provides moderate risk-adjusted performance with a positive Sharpe ratio.</w:t>
      </w:r>
      <w:r w:rsidRPr="001B5E0D">
        <w:rPr>
          <w:rFonts w:ascii="Times New Roman" w:hAnsi="Times New Roman" w:cs="Times New Roman"/>
        </w:rPr>
        <w:br/>
        <w:t>• Beta close to 1 indicates that the stock moves similarly to the broader market.</w:t>
      </w:r>
      <w:r w:rsidRPr="001B5E0D">
        <w:rPr>
          <w:rFonts w:ascii="Times New Roman" w:hAnsi="Times New Roman" w:cs="Times New Roman"/>
        </w:rPr>
        <w:br/>
        <w:t>• Temporary drawdowns occur during market crises but are followed by recovery periods.</w:t>
      </w:r>
      <w:r w:rsidRPr="001B5E0D">
        <w:rPr>
          <w:rFonts w:ascii="Times New Roman" w:hAnsi="Times New Roman" w:cs="Times New Roman"/>
        </w:rPr>
        <w:br/>
        <w:t>• The return series is stationary and suitable for time-series forecasting models.</w:t>
      </w:r>
    </w:p>
    <w:p w14:paraId="3BEC4E54" w14:textId="77777777" w:rsidR="001B5E0D" w:rsidRPr="001B5E0D" w:rsidRDefault="001B5E0D" w:rsidP="001B5E0D">
      <w:pPr>
        <w:rPr>
          <w:rFonts w:ascii="Times New Roman" w:hAnsi="Times New Roman" w:cs="Times New Roman"/>
        </w:rPr>
      </w:pPr>
      <w:r w:rsidRPr="001B5E0D">
        <w:rPr>
          <w:rFonts w:ascii="Times New Roman" w:hAnsi="Times New Roman" w:cs="Times New Roman"/>
        </w:rPr>
        <w:t>Overall, the analysis suggests that HDFC Bank offers stable long-term growth potential with moderate market risk, making it a suitable investment for investors seeking consistent financial performance.</w:t>
      </w:r>
    </w:p>
    <w:p w14:paraId="616135B7" w14:textId="77777777" w:rsidR="001B5E0D" w:rsidRPr="001B5E0D" w:rsidRDefault="001B5E0D">
      <w:pPr>
        <w:rPr>
          <w:rFonts w:ascii="Times New Roman" w:hAnsi="Times New Roman" w:cs="Times New Roman"/>
        </w:rPr>
      </w:pPr>
    </w:p>
    <w:sectPr w:rsidR="001B5E0D" w:rsidRPr="001B5E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E0D"/>
    <w:rsid w:val="001B5E0D"/>
    <w:rsid w:val="00593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536DE"/>
  <w15:chartTrackingRefBased/>
  <w15:docId w15:val="{70285D97-86E2-478E-ABE8-58A16CF76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E0D"/>
    <w:rPr>
      <w:rFonts w:eastAsiaTheme="majorEastAsia" w:cstheme="majorBidi"/>
      <w:color w:val="272727" w:themeColor="text1" w:themeTint="D8"/>
    </w:rPr>
  </w:style>
  <w:style w:type="paragraph" w:styleId="Title">
    <w:name w:val="Title"/>
    <w:basedOn w:val="Normal"/>
    <w:next w:val="Normal"/>
    <w:link w:val="TitleChar"/>
    <w:uiPriority w:val="10"/>
    <w:qFormat/>
    <w:rsid w:val="001B5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E0D"/>
    <w:pPr>
      <w:spacing w:before="160"/>
      <w:jc w:val="center"/>
    </w:pPr>
    <w:rPr>
      <w:i/>
      <w:iCs/>
      <w:color w:val="404040" w:themeColor="text1" w:themeTint="BF"/>
    </w:rPr>
  </w:style>
  <w:style w:type="character" w:customStyle="1" w:styleId="QuoteChar">
    <w:name w:val="Quote Char"/>
    <w:basedOn w:val="DefaultParagraphFont"/>
    <w:link w:val="Quote"/>
    <w:uiPriority w:val="29"/>
    <w:rsid w:val="001B5E0D"/>
    <w:rPr>
      <w:i/>
      <w:iCs/>
      <w:color w:val="404040" w:themeColor="text1" w:themeTint="BF"/>
    </w:rPr>
  </w:style>
  <w:style w:type="paragraph" w:styleId="ListParagraph">
    <w:name w:val="List Paragraph"/>
    <w:basedOn w:val="Normal"/>
    <w:uiPriority w:val="34"/>
    <w:qFormat/>
    <w:rsid w:val="001B5E0D"/>
    <w:pPr>
      <w:ind w:left="720"/>
      <w:contextualSpacing/>
    </w:pPr>
  </w:style>
  <w:style w:type="character" w:styleId="IntenseEmphasis">
    <w:name w:val="Intense Emphasis"/>
    <w:basedOn w:val="DefaultParagraphFont"/>
    <w:uiPriority w:val="21"/>
    <w:qFormat/>
    <w:rsid w:val="001B5E0D"/>
    <w:rPr>
      <w:i/>
      <w:iCs/>
      <w:color w:val="0F4761" w:themeColor="accent1" w:themeShade="BF"/>
    </w:rPr>
  </w:style>
  <w:style w:type="paragraph" w:styleId="IntenseQuote">
    <w:name w:val="Intense Quote"/>
    <w:basedOn w:val="Normal"/>
    <w:next w:val="Normal"/>
    <w:link w:val="IntenseQuoteChar"/>
    <w:uiPriority w:val="30"/>
    <w:qFormat/>
    <w:rsid w:val="001B5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E0D"/>
    <w:rPr>
      <w:i/>
      <w:iCs/>
      <w:color w:val="0F4761" w:themeColor="accent1" w:themeShade="BF"/>
    </w:rPr>
  </w:style>
  <w:style w:type="character" w:styleId="IntenseReference">
    <w:name w:val="Intense Reference"/>
    <w:basedOn w:val="DefaultParagraphFont"/>
    <w:uiPriority w:val="32"/>
    <w:qFormat/>
    <w:rsid w:val="001B5E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1432</Words>
  <Characters>8165</Characters>
  <Application>Microsoft Office Word</Application>
  <DocSecurity>0</DocSecurity>
  <Lines>68</Lines>
  <Paragraphs>19</Paragraphs>
  <ScaleCrop>false</ScaleCrop>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Prakyath Nandigam</dc:creator>
  <cp:keywords/>
  <dc:description/>
  <cp:lastModifiedBy>Prakyath Nandigam</cp:lastModifiedBy>
  <cp:revision>1</cp:revision>
  <dcterms:created xsi:type="dcterms:W3CDTF">2026-03-14T11:38:00Z</dcterms:created>
  <dcterms:modified xsi:type="dcterms:W3CDTF">2026-03-14T11:46:00Z</dcterms:modified>
</cp:coreProperties>
</file>