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115BE" w14:textId="77777777" w:rsidR="00D56AC7" w:rsidRPr="00D56AC7" w:rsidRDefault="00D56AC7" w:rsidP="00D56AC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56AC7">
        <w:rPr>
          <w:rFonts w:ascii="Times New Roman" w:eastAsia="Times New Roman" w:hAnsi="Times New Roman" w:cs="Times New Roman"/>
          <w:b/>
          <w:bCs/>
          <w:kern w:val="36"/>
          <w:sz w:val="48"/>
          <w:szCs w:val="48"/>
          <w14:ligatures w14:val="none"/>
        </w:rPr>
        <w:t>ITC Limited – Analytical Insights</w:t>
      </w:r>
    </w:p>
    <w:p w14:paraId="5B4BF5CF" w14:textId="77777777" w:rsidR="00D56AC7" w:rsidRPr="00D56AC7" w:rsidRDefault="00D56AC7" w:rsidP="00D56A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AC7">
        <w:rPr>
          <w:rFonts w:ascii="Times New Roman" w:eastAsia="Times New Roman" w:hAnsi="Times New Roman" w:cs="Times New Roman"/>
          <w:b/>
          <w:bCs/>
          <w:kern w:val="0"/>
          <w:sz w:val="36"/>
          <w:szCs w:val="36"/>
          <w14:ligatures w14:val="none"/>
        </w:rPr>
        <w:t>1. Stock Price Trend Analysis</w:t>
      </w:r>
    </w:p>
    <w:p w14:paraId="0C21F399"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The historical price trend of ITC Limited from 2018 to 2026 shows a relatively stable long-term upward movement with moderate fluctuations. Compared to many growth-oriented technology stocks, ITC exhibits steady price movements due to its presence in stable sectors such as fast-moving consumer goods (FMCG), tobacco products, hospitality, and agribusiness.</w:t>
      </w:r>
    </w:p>
    <w:p w14:paraId="0D8AEF8E"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During the period between 2018 and 2021, the stock price remained relatively range-bound, reflecting slower growth compared to other sectors of the market. However, after 2022, the stock began to demonstrate stronger upward momentum as investor sentiment toward FMCG and defensive stocks improved.</w:t>
      </w:r>
    </w:p>
    <w:p w14:paraId="2614CC31"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A temporary decline occurred during early 2020, corresponding to the global market crash triggered by the COVID-19 pandemic. Similar to most equities, ITC experienced a decline during this period as market uncertainty increased. However, the stock gradually recovered and resumed its long-term growth trajectory.</w:t>
      </w:r>
    </w:p>
    <w:p w14:paraId="06EA30B9"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 xml:space="preserve">Overall, the price trend indicates that ITC demonstrates characteristics of a </w:t>
      </w:r>
      <w:r w:rsidRPr="00D56AC7">
        <w:rPr>
          <w:rFonts w:ascii="Times New Roman" w:eastAsia="Times New Roman" w:hAnsi="Times New Roman" w:cs="Times New Roman"/>
          <w:b/>
          <w:bCs/>
          <w:kern w:val="0"/>
          <w:sz w:val="24"/>
          <w:szCs w:val="24"/>
          <w14:ligatures w14:val="none"/>
        </w:rPr>
        <w:t>defensive large-cap stock</w:t>
      </w:r>
      <w:r w:rsidRPr="00D56AC7">
        <w:rPr>
          <w:rFonts w:ascii="Times New Roman" w:eastAsia="Times New Roman" w:hAnsi="Times New Roman" w:cs="Times New Roman"/>
          <w:kern w:val="0"/>
          <w:sz w:val="24"/>
          <w:szCs w:val="24"/>
          <w14:ligatures w14:val="none"/>
        </w:rPr>
        <w:t>, with stable growth and relatively lower volatility compared to many other companies in the equity market.</w:t>
      </w:r>
    </w:p>
    <w:p w14:paraId="615BD02B" w14:textId="294757C1" w:rsidR="00D56AC7" w:rsidRPr="00D56AC7" w:rsidRDefault="00D56AC7" w:rsidP="00D56AC7">
      <w:pPr>
        <w:spacing w:after="0" w:line="240" w:lineRule="auto"/>
        <w:rPr>
          <w:rFonts w:ascii="Times New Roman" w:eastAsia="Times New Roman" w:hAnsi="Times New Roman" w:cs="Times New Roman"/>
          <w:kern w:val="0"/>
          <w:sz w:val="24"/>
          <w:szCs w:val="24"/>
          <w14:ligatures w14:val="none"/>
        </w:rPr>
      </w:pPr>
    </w:p>
    <w:p w14:paraId="1A4DECD9" w14:textId="77777777" w:rsidR="00D56AC7" w:rsidRPr="00D56AC7" w:rsidRDefault="00D56AC7" w:rsidP="00D56A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AC7">
        <w:rPr>
          <w:rFonts w:ascii="Times New Roman" w:eastAsia="Times New Roman" w:hAnsi="Times New Roman" w:cs="Times New Roman"/>
          <w:b/>
          <w:bCs/>
          <w:kern w:val="0"/>
          <w:sz w:val="36"/>
          <w:szCs w:val="36"/>
          <w14:ligatures w14:val="none"/>
        </w:rPr>
        <w:t>2. Return Distribution Analysis</w:t>
      </w:r>
    </w:p>
    <w:p w14:paraId="3A83F189"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The distribution of log returns for ITC Limited appears to be centered around zero, with most daily returns clustered near the mean. This indicates that daily price changes are generally small and relatively stable.</w:t>
      </w:r>
    </w:p>
    <w:p w14:paraId="72D5F127"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 xml:space="preserve">However, the return distribution also shows occasional extreme values on both sides of the distribution. These extreme observations represent periods where the stock experienced unusually large price movements. Such behavior is typical in financial markets and suggests the presence of </w:t>
      </w:r>
      <w:r w:rsidRPr="00D56AC7">
        <w:rPr>
          <w:rFonts w:ascii="Times New Roman" w:eastAsia="Times New Roman" w:hAnsi="Times New Roman" w:cs="Times New Roman"/>
          <w:b/>
          <w:bCs/>
          <w:kern w:val="0"/>
          <w:sz w:val="24"/>
          <w:szCs w:val="24"/>
          <w14:ligatures w14:val="none"/>
        </w:rPr>
        <w:t>heavy tails</w:t>
      </w:r>
      <w:r w:rsidRPr="00D56AC7">
        <w:rPr>
          <w:rFonts w:ascii="Times New Roman" w:eastAsia="Times New Roman" w:hAnsi="Times New Roman" w:cs="Times New Roman"/>
          <w:kern w:val="0"/>
          <w:sz w:val="24"/>
          <w:szCs w:val="24"/>
          <w14:ligatures w14:val="none"/>
        </w:rPr>
        <w:t xml:space="preserve"> in the distribution.</w:t>
      </w:r>
    </w:p>
    <w:p w14:paraId="149163F3"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The kurtosis of the return distribution indicates that extreme market events occur more frequently than predicted by a normal distribution. This means that while most daily price changes remain moderate, investors must still be aware of the possibility of sudden market movements.</w:t>
      </w:r>
    </w:p>
    <w:p w14:paraId="217B6B8B" w14:textId="27F1984D"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 xml:space="preserve">Overall, the return distribution suggests that ITC exhibits </w:t>
      </w:r>
      <w:r w:rsidRPr="00D56AC7">
        <w:rPr>
          <w:rFonts w:ascii="Times New Roman" w:eastAsia="Times New Roman" w:hAnsi="Times New Roman" w:cs="Times New Roman"/>
          <w:b/>
          <w:bCs/>
          <w:kern w:val="0"/>
          <w:sz w:val="24"/>
          <w:szCs w:val="24"/>
          <w14:ligatures w14:val="none"/>
        </w:rPr>
        <w:t>relatively stable returns with occasional periods of increased volatility</w:t>
      </w:r>
      <w:r w:rsidRPr="00D56AC7">
        <w:rPr>
          <w:rFonts w:ascii="Times New Roman" w:eastAsia="Times New Roman" w:hAnsi="Times New Roman" w:cs="Times New Roman"/>
          <w:kern w:val="0"/>
          <w:sz w:val="24"/>
          <w:szCs w:val="24"/>
          <w14:ligatures w14:val="none"/>
        </w:rPr>
        <w:t>, which is common for stocks traded in dynamic financial markets.</w:t>
      </w:r>
    </w:p>
    <w:p w14:paraId="16D97A9B" w14:textId="77777777" w:rsidR="00D56AC7" w:rsidRPr="00D56AC7" w:rsidRDefault="00D56AC7" w:rsidP="00D56A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AC7">
        <w:rPr>
          <w:rFonts w:ascii="Times New Roman" w:eastAsia="Times New Roman" w:hAnsi="Times New Roman" w:cs="Times New Roman"/>
          <w:b/>
          <w:bCs/>
          <w:kern w:val="0"/>
          <w:sz w:val="36"/>
          <w:szCs w:val="36"/>
          <w14:ligatures w14:val="none"/>
        </w:rPr>
        <w:lastRenderedPageBreak/>
        <w:t>3. Return and Volatility Analysis</w:t>
      </w:r>
    </w:p>
    <w:p w14:paraId="30414E3F"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The calculated financial metrics provide insight into the performance and risk characteristics of ITC Limited.</w:t>
      </w:r>
    </w:p>
    <w:p w14:paraId="54639ABB"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 xml:space="preserve">The average annual return indicates that the stock has generated </w:t>
      </w:r>
      <w:r w:rsidRPr="00D56AC7">
        <w:rPr>
          <w:rFonts w:ascii="Times New Roman" w:eastAsia="Times New Roman" w:hAnsi="Times New Roman" w:cs="Times New Roman"/>
          <w:b/>
          <w:bCs/>
          <w:kern w:val="0"/>
          <w:sz w:val="24"/>
          <w:szCs w:val="24"/>
          <w14:ligatures w14:val="none"/>
        </w:rPr>
        <w:t>moderate long-term growth</w:t>
      </w:r>
      <w:r w:rsidRPr="00D56AC7">
        <w:rPr>
          <w:rFonts w:ascii="Times New Roman" w:eastAsia="Times New Roman" w:hAnsi="Times New Roman" w:cs="Times New Roman"/>
          <w:kern w:val="0"/>
          <w:sz w:val="24"/>
          <w:szCs w:val="24"/>
          <w14:ligatures w14:val="none"/>
        </w:rPr>
        <w:t xml:space="preserve"> over the analyzed period. Although the returns are not as aggressive as high-growth sectors, ITC provides relatively consistent performance.</w:t>
      </w:r>
    </w:p>
    <w:p w14:paraId="0C33DB97"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Volatility analysis reveals that the daily price fluctuations of ITC remain moderate. The annualized volatility suggests that the stock experiences short-term fluctuations but maintains a relatively stable long-term risk profile.</w:t>
      </w:r>
    </w:p>
    <w:p w14:paraId="3C7BF9A9"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This combination of moderate returns and controlled volatility reflects the characteristics of companies operating in consumer-focused industries, where revenue streams are typically stable and demand remains consistent even during economic downturns.</w:t>
      </w:r>
    </w:p>
    <w:p w14:paraId="6D520F07" w14:textId="2F527DE6"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 xml:space="preserve">Overall, the results indicate that ITC offers </w:t>
      </w:r>
      <w:r w:rsidRPr="00D56AC7">
        <w:rPr>
          <w:rFonts w:ascii="Times New Roman" w:eastAsia="Times New Roman" w:hAnsi="Times New Roman" w:cs="Times New Roman"/>
          <w:b/>
          <w:bCs/>
          <w:kern w:val="0"/>
          <w:sz w:val="24"/>
          <w:szCs w:val="24"/>
          <w14:ligatures w14:val="none"/>
        </w:rPr>
        <w:t>balanced performance with steady growth and manageable levels of risk</w:t>
      </w:r>
      <w:r w:rsidRPr="00D56AC7">
        <w:rPr>
          <w:rFonts w:ascii="Times New Roman" w:eastAsia="Times New Roman" w:hAnsi="Times New Roman" w:cs="Times New Roman"/>
          <w:kern w:val="0"/>
          <w:sz w:val="24"/>
          <w:szCs w:val="24"/>
          <w14:ligatures w14:val="none"/>
        </w:rPr>
        <w:t>.</w:t>
      </w:r>
    </w:p>
    <w:p w14:paraId="001770C4" w14:textId="77777777" w:rsidR="00D56AC7" w:rsidRPr="00D56AC7" w:rsidRDefault="00D56AC7" w:rsidP="00D56A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AC7">
        <w:rPr>
          <w:rFonts w:ascii="Times New Roman" w:eastAsia="Times New Roman" w:hAnsi="Times New Roman" w:cs="Times New Roman"/>
          <w:b/>
          <w:bCs/>
          <w:kern w:val="0"/>
          <w:sz w:val="36"/>
          <w:szCs w:val="36"/>
          <w14:ligatures w14:val="none"/>
        </w:rPr>
        <w:t>4. Risk-Adjusted Performance</w:t>
      </w:r>
    </w:p>
    <w:p w14:paraId="1E4DAE00"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The Sharpe ratio measures how much return an investment generates relative to the amount of risk taken.</w:t>
      </w:r>
    </w:p>
    <w:p w14:paraId="25190294"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 xml:space="preserve">The calculated Sharpe ratio for ITC indicates that the stock provides </w:t>
      </w:r>
      <w:r w:rsidRPr="00D56AC7">
        <w:rPr>
          <w:rFonts w:ascii="Times New Roman" w:eastAsia="Times New Roman" w:hAnsi="Times New Roman" w:cs="Times New Roman"/>
          <w:b/>
          <w:bCs/>
          <w:kern w:val="0"/>
          <w:sz w:val="24"/>
          <w:szCs w:val="24"/>
          <w14:ligatures w14:val="none"/>
        </w:rPr>
        <w:t>positive returns relative to its volatility</w:t>
      </w:r>
      <w:r w:rsidRPr="00D56AC7">
        <w:rPr>
          <w:rFonts w:ascii="Times New Roman" w:eastAsia="Times New Roman" w:hAnsi="Times New Roman" w:cs="Times New Roman"/>
          <w:kern w:val="0"/>
          <w:sz w:val="24"/>
          <w:szCs w:val="24"/>
          <w14:ligatures w14:val="none"/>
        </w:rPr>
        <w:t>, although the risk-adjusted performance is moderate rather than extremely high. This suggests that while the stock does not always produce exceptionally high returns, it compensates investors reasonably well for the level of risk involved.</w:t>
      </w:r>
    </w:p>
    <w:p w14:paraId="4B84C14E"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Additional performance metrics further support this conclusion by showing that the stock has been able to generate returns while maintaining relatively controlled downside risk.</w:t>
      </w:r>
    </w:p>
    <w:p w14:paraId="648B5702" w14:textId="4E04388B"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 xml:space="preserve">Overall, the risk-adjusted performance metrics suggest that ITC offers </w:t>
      </w:r>
      <w:r w:rsidRPr="00D56AC7">
        <w:rPr>
          <w:rFonts w:ascii="Times New Roman" w:eastAsia="Times New Roman" w:hAnsi="Times New Roman" w:cs="Times New Roman"/>
          <w:b/>
          <w:bCs/>
          <w:kern w:val="0"/>
          <w:sz w:val="24"/>
          <w:szCs w:val="24"/>
          <w14:ligatures w14:val="none"/>
        </w:rPr>
        <w:t>consistent returns relative to its risk level</w:t>
      </w:r>
      <w:r w:rsidRPr="00D56AC7">
        <w:rPr>
          <w:rFonts w:ascii="Times New Roman" w:eastAsia="Times New Roman" w:hAnsi="Times New Roman" w:cs="Times New Roman"/>
          <w:kern w:val="0"/>
          <w:sz w:val="24"/>
          <w:szCs w:val="24"/>
          <w14:ligatures w14:val="none"/>
        </w:rPr>
        <w:t>, making it attractive for investors who prioritize stability over aggressive growth.</w:t>
      </w:r>
    </w:p>
    <w:p w14:paraId="5095DAD1" w14:textId="77777777" w:rsidR="00D56AC7" w:rsidRPr="00D56AC7" w:rsidRDefault="00D56AC7" w:rsidP="00D56A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AC7">
        <w:rPr>
          <w:rFonts w:ascii="Times New Roman" w:eastAsia="Times New Roman" w:hAnsi="Times New Roman" w:cs="Times New Roman"/>
          <w:b/>
          <w:bCs/>
          <w:kern w:val="0"/>
          <w:sz w:val="36"/>
          <w:szCs w:val="36"/>
          <w14:ligatures w14:val="none"/>
        </w:rPr>
        <w:t>5. Market Sensitivity (Beta Analysis)</w:t>
      </w:r>
    </w:p>
    <w:p w14:paraId="1FF85DC4"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The beta coefficient measures how sensitive a stock is to movements in the overall market index.</w:t>
      </w:r>
    </w:p>
    <w:p w14:paraId="1631F9E1"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 xml:space="preserve">The calculated beta value for ITC is close to or slightly below one, indicating that the stock tends to move </w:t>
      </w:r>
      <w:r w:rsidRPr="00D56AC7">
        <w:rPr>
          <w:rFonts w:ascii="Times New Roman" w:eastAsia="Times New Roman" w:hAnsi="Times New Roman" w:cs="Times New Roman"/>
          <w:b/>
          <w:bCs/>
          <w:kern w:val="0"/>
          <w:sz w:val="24"/>
          <w:szCs w:val="24"/>
          <w14:ligatures w14:val="none"/>
        </w:rPr>
        <w:t>in line with or slightly less aggressively than the overall market</w:t>
      </w:r>
      <w:r w:rsidRPr="00D56AC7">
        <w:rPr>
          <w:rFonts w:ascii="Times New Roman" w:eastAsia="Times New Roman" w:hAnsi="Times New Roman" w:cs="Times New Roman"/>
          <w:kern w:val="0"/>
          <w:sz w:val="24"/>
          <w:szCs w:val="24"/>
          <w14:ligatures w14:val="none"/>
        </w:rPr>
        <w:t>.</w:t>
      </w:r>
    </w:p>
    <w:p w14:paraId="164BDFC4"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lastRenderedPageBreak/>
        <w:t>A beta value near one suggests that when the market increases or decreases by 1%, the stock price of ITC tends to move by approximately a similar percentage.</w:t>
      </w:r>
    </w:p>
    <w:p w14:paraId="2252B7B7" w14:textId="1AE938E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 xml:space="preserve">This indicates that ITC behaves as a </w:t>
      </w:r>
      <w:r w:rsidRPr="00D56AC7">
        <w:rPr>
          <w:rFonts w:ascii="Times New Roman" w:eastAsia="Times New Roman" w:hAnsi="Times New Roman" w:cs="Times New Roman"/>
          <w:b/>
          <w:bCs/>
          <w:kern w:val="0"/>
          <w:sz w:val="24"/>
          <w:szCs w:val="24"/>
          <w14:ligatures w14:val="none"/>
        </w:rPr>
        <w:t>relatively stable large-cap stock</w:t>
      </w:r>
      <w:r w:rsidRPr="00D56AC7">
        <w:rPr>
          <w:rFonts w:ascii="Times New Roman" w:eastAsia="Times New Roman" w:hAnsi="Times New Roman" w:cs="Times New Roman"/>
          <w:kern w:val="0"/>
          <w:sz w:val="24"/>
          <w:szCs w:val="24"/>
          <w14:ligatures w14:val="none"/>
        </w:rPr>
        <w:t>, where price movements generally follow broader market trends without exhibiting excessive volatility.</w:t>
      </w:r>
    </w:p>
    <w:p w14:paraId="5A5EB388" w14:textId="77777777" w:rsidR="00D56AC7" w:rsidRPr="00D56AC7" w:rsidRDefault="00D56AC7" w:rsidP="00D56A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AC7">
        <w:rPr>
          <w:rFonts w:ascii="Times New Roman" w:eastAsia="Times New Roman" w:hAnsi="Times New Roman" w:cs="Times New Roman"/>
          <w:b/>
          <w:bCs/>
          <w:kern w:val="0"/>
          <w:sz w:val="36"/>
          <w:szCs w:val="36"/>
          <w14:ligatures w14:val="none"/>
        </w:rPr>
        <w:t>6. Downside Risk Analysis</w:t>
      </w:r>
    </w:p>
    <w:p w14:paraId="7E1A5041"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Downside risk analysis helps evaluate the potential losses investors might experience during unfavorable market conditions.</w:t>
      </w:r>
    </w:p>
    <w:p w14:paraId="5285C460"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The Value at Risk (</w:t>
      </w:r>
      <w:proofErr w:type="spellStart"/>
      <w:r w:rsidRPr="00D56AC7">
        <w:rPr>
          <w:rFonts w:ascii="Times New Roman" w:eastAsia="Times New Roman" w:hAnsi="Times New Roman" w:cs="Times New Roman"/>
          <w:kern w:val="0"/>
          <w:sz w:val="24"/>
          <w:szCs w:val="24"/>
          <w14:ligatures w14:val="none"/>
        </w:rPr>
        <w:t>VaR</w:t>
      </w:r>
      <w:proofErr w:type="spellEnd"/>
      <w:r w:rsidRPr="00D56AC7">
        <w:rPr>
          <w:rFonts w:ascii="Times New Roman" w:eastAsia="Times New Roman" w:hAnsi="Times New Roman" w:cs="Times New Roman"/>
          <w:kern w:val="0"/>
          <w:sz w:val="24"/>
          <w:szCs w:val="24"/>
          <w14:ligatures w14:val="none"/>
        </w:rPr>
        <w:t>) at a 95% confidence level estimates the potential daily loss that could occur under normal market conditions. This metric indicates that while large losses are possible, they occur relatively infrequently.</w:t>
      </w:r>
    </w:p>
    <w:p w14:paraId="70CB6CF7"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The maximum drawdown analysis identifies the largest decline from a peak to a trough during the analysis period. The most significant drawdown occurred during the 2020 market crash when global financial markets experienced severe volatility.</w:t>
      </w:r>
    </w:p>
    <w:p w14:paraId="4720349E"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Although the stock experienced a temporary decline during this period, the recovery that followed demonstrates the company’s resilience and ability to regain investor confidence.</w:t>
      </w:r>
    </w:p>
    <w:p w14:paraId="5022BD09" w14:textId="1A3748D0"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 xml:space="preserve">Overall, the downside risk analysis indicates that ITC can experience temporary losses during market crises but maintains </w:t>
      </w:r>
      <w:r w:rsidRPr="00D56AC7">
        <w:rPr>
          <w:rFonts w:ascii="Times New Roman" w:eastAsia="Times New Roman" w:hAnsi="Times New Roman" w:cs="Times New Roman"/>
          <w:b/>
          <w:bCs/>
          <w:kern w:val="0"/>
          <w:sz w:val="24"/>
          <w:szCs w:val="24"/>
          <w14:ligatures w14:val="none"/>
        </w:rPr>
        <w:t>long-term stability and recovery potential</w:t>
      </w:r>
      <w:r w:rsidRPr="00D56AC7">
        <w:rPr>
          <w:rFonts w:ascii="Times New Roman" w:eastAsia="Times New Roman" w:hAnsi="Times New Roman" w:cs="Times New Roman"/>
          <w:kern w:val="0"/>
          <w:sz w:val="24"/>
          <w:szCs w:val="24"/>
          <w14:ligatures w14:val="none"/>
        </w:rPr>
        <w:t>.</w:t>
      </w:r>
    </w:p>
    <w:p w14:paraId="5FBAE4A6" w14:textId="77777777" w:rsidR="00D56AC7" w:rsidRPr="00D56AC7" w:rsidRDefault="00D56AC7" w:rsidP="00D56A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AC7">
        <w:rPr>
          <w:rFonts w:ascii="Times New Roman" w:eastAsia="Times New Roman" w:hAnsi="Times New Roman" w:cs="Times New Roman"/>
          <w:b/>
          <w:bCs/>
          <w:kern w:val="0"/>
          <w:sz w:val="36"/>
          <w:szCs w:val="36"/>
          <w14:ligatures w14:val="none"/>
        </w:rPr>
        <w:t>7. Time Series Stationarity and Forecasting</w:t>
      </w:r>
    </w:p>
    <w:p w14:paraId="1FE2A11A"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To evaluate the suitability of the return series for time-series modeling, the Augmented Dickey–Fuller (ADF) test was applied to the log return data.</w:t>
      </w:r>
    </w:p>
    <w:p w14:paraId="544B3265"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The ADF test results show that the p-value is significantly lower than the standard significance threshold of 0.05. Therefore, the null hypothesis of non-stationarity can be rejected.</w:t>
      </w:r>
    </w:p>
    <w:p w14:paraId="63D91F43"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 xml:space="preserve">This confirms that the log return series is </w:t>
      </w:r>
      <w:r w:rsidRPr="00D56AC7">
        <w:rPr>
          <w:rFonts w:ascii="Times New Roman" w:eastAsia="Times New Roman" w:hAnsi="Times New Roman" w:cs="Times New Roman"/>
          <w:b/>
          <w:bCs/>
          <w:kern w:val="0"/>
          <w:sz w:val="24"/>
          <w:szCs w:val="24"/>
          <w14:ligatures w14:val="none"/>
        </w:rPr>
        <w:t>stationary</w:t>
      </w:r>
      <w:r w:rsidRPr="00D56AC7">
        <w:rPr>
          <w:rFonts w:ascii="Times New Roman" w:eastAsia="Times New Roman" w:hAnsi="Times New Roman" w:cs="Times New Roman"/>
          <w:kern w:val="0"/>
          <w:sz w:val="24"/>
          <w:szCs w:val="24"/>
          <w14:ligatures w14:val="none"/>
        </w:rPr>
        <w:t>, meaning its statistical properties such as mean and variance remain stable over time.</w:t>
      </w:r>
    </w:p>
    <w:p w14:paraId="1B912DA0"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Because the return series is stationary, it can be effectively used in time-series forecasting models. An ARIMA model was applied to forecast future returns.</w:t>
      </w:r>
    </w:p>
    <w:p w14:paraId="51B2D896" w14:textId="1C069AE6"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 xml:space="preserve">The short-term forecast indicates that predicted log returns remain close to zero, suggesting </w:t>
      </w:r>
      <w:r w:rsidRPr="00D56AC7">
        <w:rPr>
          <w:rFonts w:ascii="Times New Roman" w:eastAsia="Times New Roman" w:hAnsi="Times New Roman" w:cs="Times New Roman"/>
          <w:b/>
          <w:bCs/>
          <w:kern w:val="0"/>
          <w:sz w:val="24"/>
          <w:szCs w:val="24"/>
          <w14:ligatures w14:val="none"/>
        </w:rPr>
        <w:t>small daily fluctuations rather than large predictable trends</w:t>
      </w:r>
      <w:r w:rsidRPr="00D56AC7">
        <w:rPr>
          <w:rFonts w:ascii="Times New Roman" w:eastAsia="Times New Roman" w:hAnsi="Times New Roman" w:cs="Times New Roman"/>
          <w:kern w:val="0"/>
          <w:sz w:val="24"/>
          <w:szCs w:val="24"/>
          <w14:ligatures w14:val="none"/>
        </w:rPr>
        <w:t xml:space="preserve"> in the short term.</w:t>
      </w:r>
    </w:p>
    <w:p w14:paraId="552BE0EF" w14:textId="77777777" w:rsidR="00D56AC7" w:rsidRPr="00D56AC7" w:rsidRDefault="00D56AC7" w:rsidP="00D56A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AC7">
        <w:rPr>
          <w:rFonts w:ascii="Times New Roman" w:eastAsia="Times New Roman" w:hAnsi="Times New Roman" w:cs="Times New Roman"/>
          <w:b/>
          <w:bCs/>
          <w:kern w:val="0"/>
          <w:sz w:val="36"/>
          <w:szCs w:val="36"/>
          <w14:ligatures w14:val="none"/>
        </w:rPr>
        <w:t>8. Cumulative Performance Analysis</w:t>
      </w:r>
    </w:p>
    <w:p w14:paraId="0F6126FD"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lastRenderedPageBreak/>
        <w:t>The cumulative return analysis illustrates how an investment in ITC would have grown over time.</w:t>
      </w:r>
    </w:p>
    <w:p w14:paraId="1D217C8C"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Starting from the beginning of the analysis period, the cumulative return gradually increases, indicating steady long-term growth. Although there are temporary declines during market corrections, the overall trend remains positive.</w:t>
      </w:r>
    </w:p>
    <w:p w14:paraId="28B3C906"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This pattern highlights the importance of maintaining a long-term investment perspective. Investors who held ITC over the analyzed period would have benefited from gradual capital appreciation.</w:t>
      </w:r>
    </w:p>
    <w:p w14:paraId="1D966AF8" w14:textId="423CF009"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 xml:space="preserve">The cumulative performance suggests that ITC has delivered </w:t>
      </w:r>
      <w:r w:rsidRPr="00D56AC7">
        <w:rPr>
          <w:rFonts w:ascii="Times New Roman" w:eastAsia="Times New Roman" w:hAnsi="Times New Roman" w:cs="Times New Roman"/>
          <w:b/>
          <w:bCs/>
          <w:kern w:val="0"/>
          <w:sz w:val="24"/>
          <w:szCs w:val="24"/>
          <w14:ligatures w14:val="none"/>
        </w:rPr>
        <w:t>consistent long-term returns despite short-term market fluctuations</w:t>
      </w:r>
      <w:r w:rsidRPr="00D56AC7">
        <w:rPr>
          <w:rFonts w:ascii="Times New Roman" w:eastAsia="Times New Roman" w:hAnsi="Times New Roman" w:cs="Times New Roman"/>
          <w:kern w:val="0"/>
          <w:sz w:val="24"/>
          <w:szCs w:val="24"/>
          <w14:ligatures w14:val="none"/>
        </w:rPr>
        <w:t>.</w:t>
      </w:r>
    </w:p>
    <w:p w14:paraId="2E927706" w14:textId="77777777" w:rsidR="00D56AC7" w:rsidRPr="00D56AC7" w:rsidRDefault="00D56AC7" w:rsidP="00D56A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AC7">
        <w:rPr>
          <w:rFonts w:ascii="Times New Roman" w:eastAsia="Times New Roman" w:hAnsi="Times New Roman" w:cs="Times New Roman"/>
          <w:b/>
          <w:bCs/>
          <w:kern w:val="0"/>
          <w:sz w:val="36"/>
          <w:szCs w:val="36"/>
          <w14:ligatures w14:val="none"/>
        </w:rPr>
        <w:t>9. Rolling Risk Metrics</w:t>
      </w:r>
    </w:p>
    <w:p w14:paraId="43ECED3B"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Rolling volatility and rolling Sharpe ratio analysis provide insight into how the stock’s risk and performance evolved over time.</w:t>
      </w:r>
    </w:p>
    <w:p w14:paraId="7355D848"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The rolling volatility analysis shows that volatility tends to increase during periods of market uncertainty. A significant spike in volatility can be observed during the 2020 market crash, reflecting the extreme uncertainty present in financial markets at that time.</w:t>
      </w:r>
    </w:p>
    <w:p w14:paraId="3F5738EB"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Following this period, volatility gradually declined and stabilized as market conditions improved.</w:t>
      </w:r>
    </w:p>
    <w:p w14:paraId="102F6578"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Similarly, the rolling Sharpe ratio fluctuates across different periods. During strong market phases, the Sharpe ratio increases, indicating higher returns relative to risk. During market downturns, the ratio can become negative, indicating that the returns during those periods did not adequately compensate investors for the risk taken.</w:t>
      </w:r>
    </w:p>
    <w:p w14:paraId="0F4457BE" w14:textId="19FF18E8"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 xml:space="preserve">These rolling metrics demonstrate that ITC’s </w:t>
      </w:r>
      <w:r w:rsidRPr="00D56AC7">
        <w:rPr>
          <w:rFonts w:ascii="Times New Roman" w:eastAsia="Times New Roman" w:hAnsi="Times New Roman" w:cs="Times New Roman"/>
          <w:b/>
          <w:bCs/>
          <w:kern w:val="0"/>
          <w:sz w:val="24"/>
          <w:szCs w:val="24"/>
          <w14:ligatures w14:val="none"/>
        </w:rPr>
        <w:t>risk-adjusted performance varies with broader market conditions but remains relatively stable over the long term</w:t>
      </w:r>
      <w:r w:rsidRPr="00D56AC7">
        <w:rPr>
          <w:rFonts w:ascii="Times New Roman" w:eastAsia="Times New Roman" w:hAnsi="Times New Roman" w:cs="Times New Roman"/>
          <w:kern w:val="0"/>
          <w:sz w:val="24"/>
          <w:szCs w:val="24"/>
          <w14:ligatures w14:val="none"/>
        </w:rPr>
        <w:t>.</w:t>
      </w:r>
    </w:p>
    <w:p w14:paraId="4BE6CF84" w14:textId="77777777" w:rsidR="00D56AC7" w:rsidRPr="00D56AC7" w:rsidRDefault="00D56AC7" w:rsidP="00D56A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AC7">
        <w:rPr>
          <w:rFonts w:ascii="Times New Roman" w:eastAsia="Times New Roman" w:hAnsi="Times New Roman" w:cs="Times New Roman"/>
          <w:b/>
          <w:bCs/>
          <w:kern w:val="0"/>
          <w:sz w:val="36"/>
          <w:szCs w:val="36"/>
          <w14:ligatures w14:val="none"/>
        </w:rPr>
        <w:t>10. Overall Investment Insight</w:t>
      </w:r>
    </w:p>
    <w:p w14:paraId="70B3DD55"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 xml:space="preserve">The analysis suggests that ITC Limited demonstrates the characteristics of a </w:t>
      </w:r>
      <w:r w:rsidRPr="00D56AC7">
        <w:rPr>
          <w:rFonts w:ascii="Times New Roman" w:eastAsia="Times New Roman" w:hAnsi="Times New Roman" w:cs="Times New Roman"/>
          <w:b/>
          <w:bCs/>
          <w:kern w:val="0"/>
          <w:sz w:val="24"/>
          <w:szCs w:val="24"/>
          <w14:ligatures w14:val="none"/>
        </w:rPr>
        <w:t>stable large-cap company with moderate growth potential and relatively controlled risk exposure</w:t>
      </w:r>
      <w:r w:rsidRPr="00D56AC7">
        <w:rPr>
          <w:rFonts w:ascii="Times New Roman" w:eastAsia="Times New Roman" w:hAnsi="Times New Roman" w:cs="Times New Roman"/>
          <w:kern w:val="0"/>
          <w:sz w:val="24"/>
          <w:szCs w:val="24"/>
          <w14:ligatures w14:val="none"/>
        </w:rPr>
        <w:t>.</w:t>
      </w:r>
    </w:p>
    <w:p w14:paraId="3F3EF2AD"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While the stock does not always produce extremely high short-term returns, it provides steady long-term performance supported by strong fundamentals across multiple sectors.</w:t>
      </w:r>
    </w:p>
    <w:p w14:paraId="6CF0A6CB"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 xml:space="preserve">The moderate volatility, positive cumulative returns, and stable risk-adjusted performance indicate that ITC is suitable for investors seeking </w:t>
      </w:r>
      <w:r w:rsidRPr="00D56AC7">
        <w:rPr>
          <w:rFonts w:ascii="Times New Roman" w:eastAsia="Times New Roman" w:hAnsi="Times New Roman" w:cs="Times New Roman"/>
          <w:b/>
          <w:bCs/>
          <w:kern w:val="0"/>
          <w:sz w:val="24"/>
          <w:szCs w:val="24"/>
          <w14:ligatures w14:val="none"/>
        </w:rPr>
        <w:t>consistent growth with manageable market risk</w:t>
      </w:r>
      <w:r w:rsidRPr="00D56AC7">
        <w:rPr>
          <w:rFonts w:ascii="Times New Roman" w:eastAsia="Times New Roman" w:hAnsi="Times New Roman" w:cs="Times New Roman"/>
          <w:kern w:val="0"/>
          <w:sz w:val="24"/>
          <w:szCs w:val="24"/>
          <w14:ligatures w14:val="none"/>
        </w:rPr>
        <w:t>.</w:t>
      </w:r>
    </w:p>
    <w:p w14:paraId="673BB2AE"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lastRenderedPageBreak/>
        <w:t>Despite experiencing temporary downturns during market crises, the stock has historically demonstrated resilience and the ability to recover over time.</w:t>
      </w:r>
    </w:p>
    <w:p w14:paraId="78429DA4"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 xml:space="preserve">Overall, ITC may be considered an attractive option for </w:t>
      </w:r>
      <w:r w:rsidRPr="00D56AC7">
        <w:rPr>
          <w:rFonts w:ascii="Times New Roman" w:eastAsia="Times New Roman" w:hAnsi="Times New Roman" w:cs="Times New Roman"/>
          <w:b/>
          <w:bCs/>
          <w:kern w:val="0"/>
          <w:sz w:val="24"/>
          <w:szCs w:val="24"/>
          <w14:ligatures w14:val="none"/>
        </w:rPr>
        <w:t>long-term investment strategies focused on stability, diversification, and gradual capital appreciation</w:t>
      </w:r>
      <w:r w:rsidRPr="00D56AC7">
        <w:rPr>
          <w:rFonts w:ascii="Times New Roman" w:eastAsia="Times New Roman" w:hAnsi="Times New Roman" w:cs="Times New Roman"/>
          <w:kern w:val="0"/>
          <w:sz w:val="24"/>
          <w:szCs w:val="24"/>
          <w14:ligatures w14:val="none"/>
        </w:rPr>
        <w:t>.</w:t>
      </w:r>
    </w:p>
    <w:p w14:paraId="60B8E6F6" w14:textId="77777777" w:rsidR="00D56AC7" w:rsidRPr="00D56AC7" w:rsidRDefault="00D56AC7" w:rsidP="00D56AC7">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D56AC7">
        <w:rPr>
          <w:rFonts w:ascii="Times New Roman" w:eastAsia="Times New Roman" w:hAnsi="Times New Roman" w:cs="Times New Roman"/>
          <w:b/>
          <w:bCs/>
          <w:kern w:val="36"/>
          <w:sz w:val="36"/>
          <w:szCs w:val="36"/>
          <w14:ligatures w14:val="none"/>
        </w:rPr>
        <w:t>11. Rolling Volatility Analysis</w:t>
      </w:r>
    </w:p>
    <w:p w14:paraId="30814ECC"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The rolling volatility analysis provides insight into how the risk profile of ITC Limited evolved over time. The 6-month rolling volatility plot shows that volatility is not constant but varies depending on market conditions and macroeconomic events.</w:t>
      </w:r>
    </w:p>
    <w:p w14:paraId="6BB8C35F"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A noticeable increase in volatility can be observed during the 2020 period, where volatility rises sharply due to the global financial uncertainty caused by the COVID-19 pandemic. During this time, markets across the world experienced significant instability, which resulted in larger price fluctuations for many stocks, including ITC.</w:t>
      </w:r>
    </w:p>
    <w:p w14:paraId="2A2BF67E"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Following this period of elevated volatility, the stock gradually returned to more stable levels. The rolling volatility stabilizes around its historical average as market conditions normalize. This indicates that although the stock may experience short-term volatility spikes during periods of market stress, it generally maintains a relatively stable risk profile over the long term.</w:t>
      </w:r>
    </w:p>
    <w:p w14:paraId="739C17A9"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The 30-day rolling volatility further highlights short-term fluctuations in risk. During highly volatile periods, short-term volatility increases significantly, reflecting rapid changes in investor sentiment. However, these spikes tend to be temporary and are followed by periods of stability.</w:t>
      </w:r>
    </w:p>
    <w:p w14:paraId="5449D0FC" w14:textId="2F3EBE31"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 xml:space="preserve">Overall, the rolling volatility analysis suggests that ITC experiences </w:t>
      </w:r>
      <w:r w:rsidRPr="00D56AC7">
        <w:rPr>
          <w:rFonts w:ascii="Times New Roman" w:eastAsia="Times New Roman" w:hAnsi="Times New Roman" w:cs="Times New Roman"/>
          <w:b/>
          <w:bCs/>
          <w:kern w:val="0"/>
          <w:sz w:val="24"/>
          <w:szCs w:val="24"/>
          <w14:ligatures w14:val="none"/>
        </w:rPr>
        <w:t>temporary increases in risk during major market disruptions but typically returns to moderate volatility levels afterward</w:t>
      </w:r>
      <w:r w:rsidRPr="00D56AC7">
        <w:rPr>
          <w:rFonts w:ascii="Times New Roman" w:eastAsia="Times New Roman" w:hAnsi="Times New Roman" w:cs="Times New Roman"/>
          <w:kern w:val="0"/>
          <w:sz w:val="24"/>
          <w:szCs w:val="24"/>
          <w14:ligatures w14:val="none"/>
        </w:rPr>
        <w:t>.</w:t>
      </w:r>
    </w:p>
    <w:p w14:paraId="2EE33E65" w14:textId="77777777" w:rsidR="00D56AC7" w:rsidRPr="00D56AC7" w:rsidRDefault="00D56AC7" w:rsidP="00D56AC7">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D56AC7">
        <w:rPr>
          <w:rFonts w:ascii="Times New Roman" w:eastAsia="Times New Roman" w:hAnsi="Times New Roman" w:cs="Times New Roman"/>
          <w:b/>
          <w:bCs/>
          <w:kern w:val="36"/>
          <w:sz w:val="36"/>
          <w:szCs w:val="36"/>
          <w14:ligatures w14:val="none"/>
        </w:rPr>
        <w:t>12. Rolling Sharpe Ratio Analysis</w:t>
      </w:r>
    </w:p>
    <w:p w14:paraId="5EDD8347"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The rolling Sharpe ratio provides insight into how the risk-adjusted performance of ITC Limited changes over time.</w:t>
      </w:r>
    </w:p>
    <w:p w14:paraId="73022BC8"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The analysis shows that the Sharpe ratio fluctuates across different market phases. During periods of strong stock performance and stable market conditions, the Sharpe ratio increases significantly, indicating that the stock is generating higher returns relative to its level of risk.</w:t>
      </w:r>
    </w:p>
    <w:p w14:paraId="35569490"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Conversely, during periods of market instability or declining prices, the Sharpe ratio may become negative. This indicates that the returns generated during those periods were not sufficient to compensate investors for the level of volatility experienced.</w:t>
      </w:r>
    </w:p>
    <w:p w14:paraId="558E2A5C"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lastRenderedPageBreak/>
        <w:t xml:space="preserve">The dashed horizontal line representing the long-term average Sharpe ratio indicates that, despite short-term fluctuations, the stock has maintained </w:t>
      </w:r>
      <w:r w:rsidRPr="00D56AC7">
        <w:rPr>
          <w:rFonts w:ascii="Times New Roman" w:eastAsia="Times New Roman" w:hAnsi="Times New Roman" w:cs="Times New Roman"/>
          <w:b/>
          <w:bCs/>
          <w:kern w:val="0"/>
          <w:sz w:val="24"/>
          <w:szCs w:val="24"/>
          <w14:ligatures w14:val="none"/>
        </w:rPr>
        <w:t>positive risk-adjusted returns over the long run</w:t>
      </w:r>
      <w:r w:rsidRPr="00D56AC7">
        <w:rPr>
          <w:rFonts w:ascii="Times New Roman" w:eastAsia="Times New Roman" w:hAnsi="Times New Roman" w:cs="Times New Roman"/>
          <w:kern w:val="0"/>
          <w:sz w:val="24"/>
          <w:szCs w:val="24"/>
          <w14:ligatures w14:val="none"/>
        </w:rPr>
        <w:t>.</w:t>
      </w:r>
    </w:p>
    <w:p w14:paraId="5EFEB3DD" w14:textId="1903318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 xml:space="preserve">This analysis highlights that the stock’s performance is influenced by broader economic and market conditions. However, over the full analysis period, ITC demonstrates </w:t>
      </w:r>
      <w:r w:rsidRPr="00D56AC7">
        <w:rPr>
          <w:rFonts w:ascii="Times New Roman" w:eastAsia="Times New Roman" w:hAnsi="Times New Roman" w:cs="Times New Roman"/>
          <w:b/>
          <w:bCs/>
          <w:kern w:val="0"/>
          <w:sz w:val="24"/>
          <w:szCs w:val="24"/>
          <w14:ligatures w14:val="none"/>
        </w:rPr>
        <w:t>consistent risk-adjusted performance</w:t>
      </w:r>
      <w:r w:rsidRPr="00D56AC7">
        <w:rPr>
          <w:rFonts w:ascii="Times New Roman" w:eastAsia="Times New Roman" w:hAnsi="Times New Roman" w:cs="Times New Roman"/>
          <w:kern w:val="0"/>
          <w:sz w:val="24"/>
          <w:szCs w:val="24"/>
          <w14:ligatures w14:val="none"/>
        </w:rPr>
        <w:t>, which is characteristic of stable large-cap companies.</w:t>
      </w:r>
    </w:p>
    <w:p w14:paraId="6C471946" w14:textId="77777777" w:rsidR="00D56AC7" w:rsidRPr="00D56AC7" w:rsidRDefault="00D56AC7" w:rsidP="00D56AC7">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D56AC7">
        <w:rPr>
          <w:rFonts w:ascii="Times New Roman" w:eastAsia="Times New Roman" w:hAnsi="Times New Roman" w:cs="Times New Roman"/>
          <w:b/>
          <w:bCs/>
          <w:kern w:val="36"/>
          <w:sz w:val="36"/>
          <w:szCs w:val="36"/>
          <w14:ligatures w14:val="none"/>
        </w:rPr>
        <w:t>13. Drawdown Analysis</w:t>
      </w:r>
    </w:p>
    <w:p w14:paraId="7EA17329"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Drawdown analysis helps identify the magnitude and duration of losses experienced by investors during unfavorable market conditions.</w:t>
      </w:r>
    </w:p>
    <w:p w14:paraId="12CBD8EB"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The maximum drawdown plot reveals several periods where the stock experienced declines from its previous peak values. The most significant drawdown occurred during the global market crash in 2020 when financial markets experienced extreme volatility.</w:t>
      </w:r>
    </w:p>
    <w:p w14:paraId="314D6DF0"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During this period, the stock experienced a substantial decline before eventually recovering as market conditions stabilized. Although this drawdown represents a temporary loss for investors, it also demonstrates the resilience of the stock, as prices gradually recovered after the crisis.</w:t>
      </w:r>
    </w:p>
    <w:p w14:paraId="027F5D5E"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The drawdown visualization also highlights several smaller declines that occurred throughout the analysis period. These drawdowns are typically associated with broader market corrections or sector-specific factors.</w:t>
      </w:r>
    </w:p>
    <w:p w14:paraId="4EE30FDA" w14:textId="669E148C"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Importantly, after each drawdown period, the stock eventually recovered and resumed its long-term growth trajectory. This behavior is typical for well-established companies with strong fundamentals.</w:t>
      </w:r>
    </w:p>
    <w:p w14:paraId="77E3EA8B" w14:textId="77777777" w:rsidR="00D56AC7" w:rsidRPr="00D56AC7" w:rsidRDefault="00D56AC7" w:rsidP="00D56AC7">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D56AC7">
        <w:rPr>
          <w:rFonts w:ascii="Times New Roman" w:eastAsia="Times New Roman" w:hAnsi="Times New Roman" w:cs="Times New Roman"/>
          <w:b/>
          <w:bCs/>
          <w:kern w:val="36"/>
          <w:sz w:val="36"/>
          <w:szCs w:val="36"/>
          <w14:ligatures w14:val="none"/>
        </w:rPr>
        <w:t>14. Cumulative Return Analysis</w:t>
      </w:r>
    </w:p>
    <w:p w14:paraId="7DA9DA37"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The cumulative return plot illustrates the long-term growth of an investment in ITC Limited over the analysis period.</w:t>
      </w:r>
    </w:p>
    <w:p w14:paraId="78257CC5"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Starting from a normalized initial investment value of 1.0, the cumulative return gradually increases over time, reflecting the steady appreciation of the stock price. Although temporary declines occur during periods of market stress, the overall trend remains positive.</w:t>
      </w:r>
    </w:p>
    <w:p w14:paraId="51307718"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The cumulative growth highlights the benefits of maintaining a long-term investment horizon. Investors who held ITC shares over multiple years would have experienced gradual capital appreciation despite short-term volatility.</w:t>
      </w:r>
    </w:p>
    <w:p w14:paraId="4B55B25A"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The upward trend in cumulative returns indicates that the company has been able to generate sustained value for investors over time.</w:t>
      </w:r>
    </w:p>
    <w:p w14:paraId="1787DE28" w14:textId="3249547B"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lastRenderedPageBreak/>
        <w:t xml:space="preserve">This analysis reinforces the idea that ITC represents a </w:t>
      </w:r>
      <w:r w:rsidRPr="00D56AC7">
        <w:rPr>
          <w:rFonts w:ascii="Times New Roman" w:eastAsia="Times New Roman" w:hAnsi="Times New Roman" w:cs="Times New Roman"/>
          <w:b/>
          <w:bCs/>
          <w:kern w:val="0"/>
          <w:sz w:val="24"/>
          <w:szCs w:val="24"/>
          <w14:ligatures w14:val="none"/>
        </w:rPr>
        <w:t>stable long-term investment option</w:t>
      </w:r>
      <w:r w:rsidRPr="00D56AC7">
        <w:rPr>
          <w:rFonts w:ascii="Times New Roman" w:eastAsia="Times New Roman" w:hAnsi="Times New Roman" w:cs="Times New Roman"/>
          <w:kern w:val="0"/>
          <w:sz w:val="24"/>
          <w:szCs w:val="24"/>
          <w14:ligatures w14:val="none"/>
        </w:rPr>
        <w:t>, particularly for investors seeking steady growth rather than aggressive short-term gains.</w:t>
      </w:r>
    </w:p>
    <w:p w14:paraId="5262645F" w14:textId="77777777" w:rsidR="00D56AC7" w:rsidRPr="00D56AC7" w:rsidRDefault="00D56AC7" w:rsidP="00D56AC7">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D56AC7">
        <w:rPr>
          <w:rFonts w:ascii="Times New Roman" w:eastAsia="Times New Roman" w:hAnsi="Times New Roman" w:cs="Times New Roman"/>
          <w:b/>
          <w:bCs/>
          <w:kern w:val="36"/>
          <w:sz w:val="36"/>
          <w:szCs w:val="36"/>
          <w14:ligatures w14:val="none"/>
        </w:rPr>
        <w:t>15. Summary of Key Findings</w:t>
      </w:r>
    </w:p>
    <w:p w14:paraId="23B16110"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The financial analysis conducted on ITC Limited reveals several important insights regarding the stock’s performance and risk characteristics:</w:t>
      </w:r>
    </w:p>
    <w:p w14:paraId="66E56067"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 xml:space="preserve">• The stock demonstrates </w:t>
      </w:r>
      <w:r w:rsidRPr="00D56AC7">
        <w:rPr>
          <w:rFonts w:ascii="Times New Roman" w:eastAsia="Times New Roman" w:hAnsi="Times New Roman" w:cs="Times New Roman"/>
          <w:b/>
          <w:bCs/>
          <w:kern w:val="0"/>
          <w:sz w:val="24"/>
          <w:szCs w:val="24"/>
          <w14:ligatures w14:val="none"/>
        </w:rPr>
        <w:t>steady long-term price appreciation</w:t>
      </w:r>
      <w:r w:rsidRPr="00D56AC7">
        <w:rPr>
          <w:rFonts w:ascii="Times New Roman" w:eastAsia="Times New Roman" w:hAnsi="Times New Roman" w:cs="Times New Roman"/>
          <w:kern w:val="0"/>
          <w:sz w:val="24"/>
          <w:szCs w:val="24"/>
          <w14:ligatures w14:val="none"/>
        </w:rPr>
        <w:t xml:space="preserve"> with relatively moderate volatility.</w:t>
      </w:r>
      <w:r w:rsidRPr="00D56AC7">
        <w:rPr>
          <w:rFonts w:ascii="Times New Roman" w:eastAsia="Times New Roman" w:hAnsi="Times New Roman" w:cs="Times New Roman"/>
          <w:kern w:val="0"/>
          <w:sz w:val="24"/>
          <w:szCs w:val="24"/>
          <w14:ligatures w14:val="none"/>
        </w:rPr>
        <w:br/>
        <w:t xml:space="preserve">• Periods of increased volatility are typically associated with major market events such as the </w:t>
      </w:r>
      <w:r w:rsidRPr="00D56AC7">
        <w:rPr>
          <w:rFonts w:ascii="Times New Roman" w:eastAsia="Times New Roman" w:hAnsi="Times New Roman" w:cs="Times New Roman"/>
          <w:b/>
          <w:bCs/>
          <w:kern w:val="0"/>
          <w:sz w:val="24"/>
          <w:szCs w:val="24"/>
          <w14:ligatures w14:val="none"/>
        </w:rPr>
        <w:t>2020 pandemic-driven market crash</w:t>
      </w:r>
      <w:r w:rsidRPr="00D56AC7">
        <w:rPr>
          <w:rFonts w:ascii="Times New Roman" w:eastAsia="Times New Roman" w:hAnsi="Times New Roman" w:cs="Times New Roman"/>
          <w:kern w:val="0"/>
          <w:sz w:val="24"/>
          <w:szCs w:val="24"/>
          <w14:ligatures w14:val="none"/>
        </w:rPr>
        <w:t>.</w:t>
      </w:r>
      <w:r w:rsidRPr="00D56AC7">
        <w:rPr>
          <w:rFonts w:ascii="Times New Roman" w:eastAsia="Times New Roman" w:hAnsi="Times New Roman" w:cs="Times New Roman"/>
          <w:kern w:val="0"/>
          <w:sz w:val="24"/>
          <w:szCs w:val="24"/>
          <w14:ligatures w14:val="none"/>
        </w:rPr>
        <w:br/>
        <w:t xml:space="preserve">• The stock shows </w:t>
      </w:r>
      <w:r w:rsidRPr="00D56AC7">
        <w:rPr>
          <w:rFonts w:ascii="Times New Roman" w:eastAsia="Times New Roman" w:hAnsi="Times New Roman" w:cs="Times New Roman"/>
          <w:b/>
          <w:bCs/>
          <w:kern w:val="0"/>
          <w:sz w:val="24"/>
          <w:szCs w:val="24"/>
          <w14:ligatures w14:val="none"/>
        </w:rPr>
        <w:t>moderate but stable risk-adjusted performance</w:t>
      </w:r>
      <w:r w:rsidRPr="00D56AC7">
        <w:rPr>
          <w:rFonts w:ascii="Times New Roman" w:eastAsia="Times New Roman" w:hAnsi="Times New Roman" w:cs="Times New Roman"/>
          <w:kern w:val="0"/>
          <w:sz w:val="24"/>
          <w:szCs w:val="24"/>
          <w14:ligatures w14:val="none"/>
        </w:rPr>
        <w:t>, indicating balanced returns relative to risk.</w:t>
      </w:r>
      <w:r w:rsidRPr="00D56AC7">
        <w:rPr>
          <w:rFonts w:ascii="Times New Roman" w:eastAsia="Times New Roman" w:hAnsi="Times New Roman" w:cs="Times New Roman"/>
          <w:kern w:val="0"/>
          <w:sz w:val="24"/>
          <w:szCs w:val="24"/>
          <w14:ligatures w14:val="none"/>
        </w:rPr>
        <w:br/>
        <w:t xml:space="preserve">• The beta value suggests that ITC generally moves </w:t>
      </w:r>
      <w:r w:rsidRPr="00D56AC7">
        <w:rPr>
          <w:rFonts w:ascii="Times New Roman" w:eastAsia="Times New Roman" w:hAnsi="Times New Roman" w:cs="Times New Roman"/>
          <w:b/>
          <w:bCs/>
          <w:kern w:val="0"/>
          <w:sz w:val="24"/>
          <w:szCs w:val="24"/>
          <w14:ligatures w14:val="none"/>
        </w:rPr>
        <w:t>in line with or slightly less aggressively than the overall market index</w:t>
      </w:r>
      <w:r w:rsidRPr="00D56AC7">
        <w:rPr>
          <w:rFonts w:ascii="Times New Roman" w:eastAsia="Times New Roman" w:hAnsi="Times New Roman" w:cs="Times New Roman"/>
          <w:kern w:val="0"/>
          <w:sz w:val="24"/>
          <w:szCs w:val="24"/>
          <w14:ligatures w14:val="none"/>
        </w:rPr>
        <w:t>.</w:t>
      </w:r>
      <w:r w:rsidRPr="00D56AC7">
        <w:rPr>
          <w:rFonts w:ascii="Times New Roman" w:eastAsia="Times New Roman" w:hAnsi="Times New Roman" w:cs="Times New Roman"/>
          <w:kern w:val="0"/>
          <w:sz w:val="24"/>
          <w:szCs w:val="24"/>
          <w14:ligatures w14:val="none"/>
        </w:rPr>
        <w:br/>
        <w:t xml:space="preserve">• Significant drawdowns may occur during major market disruptions, but the stock has historically shown </w:t>
      </w:r>
      <w:r w:rsidRPr="00D56AC7">
        <w:rPr>
          <w:rFonts w:ascii="Times New Roman" w:eastAsia="Times New Roman" w:hAnsi="Times New Roman" w:cs="Times New Roman"/>
          <w:b/>
          <w:bCs/>
          <w:kern w:val="0"/>
          <w:sz w:val="24"/>
          <w:szCs w:val="24"/>
          <w14:ligatures w14:val="none"/>
        </w:rPr>
        <w:t>strong recovery potential</w:t>
      </w:r>
      <w:r w:rsidRPr="00D56AC7">
        <w:rPr>
          <w:rFonts w:ascii="Times New Roman" w:eastAsia="Times New Roman" w:hAnsi="Times New Roman" w:cs="Times New Roman"/>
          <w:kern w:val="0"/>
          <w:sz w:val="24"/>
          <w:szCs w:val="24"/>
          <w14:ligatures w14:val="none"/>
        </w:rPr>
        <w:t>.</w:t>
      </w:r>
      <w:r w:rsidRPr="00D56AC7">
        <w:rPr>
          <w:rFonts w:ascii="Times New Roman" w:eastAsia="Times New Roman" w:hAnsi="Times New Roman" w:cs="Times New Roman"/>
          <w:kern w:val="0"/>
          <w:sz w:val="24"/>
          <w:szCs w:val="24"/>
          <w14:ligatures w14:val="none"/>
        </w:rPr>
        <w:br/>
        <w:t xml:space="preserve">• The return series is </w:t>
      </w:r>
      <w:r w:rsidRPr="00D56AC7">
        <w:rPr>
          <w:rFonts w:ascii="Times New Roman" w:eastAsia="Times New Roman" w:hAnsi="Times New Roman" w:cs="Times New Roman"/>
          <w:b/>
          <w:bCs/>
          <w:kern w:val="0"/>
          <w:sz w:val="24"/>
          <w:szCs w:val="24"/>
          <w14:ligatures w14:val="none"/>
        </w:rPr>
        <w:t>stationary</w:t>
      </w:r>
      <w:r w:rsidRPr="00D56AC7">
        <w:rPr>
          <w:rFonts w:ascii="Times New Roman" w:eastAsia="Times New Roman" w:hAnsi="Times New Roman" w:cs="Times New Roman"/>
          <w:kern w:val="0"/>
          <w:sz w:val="24"/>
          <w:szCs w:val="24"/>
          <w14:ligatures w14:val="none"/>
        </w:rPr>
        <w:t>, making it suitable for time-series forecasting models such as ARIMA.</w:t>
      </w:r>
      <w:r w:rsidRPr="00D56AC7">
        <w:rPr>
          <w:rFonts w:ascii="Times New Roman" w:eastAsia="Times New Roman" w:hAnsi="Times New Roman" w:cs="Times New Roman"/>
          <w:kern w:val="0"/>
          <w:sz w:val="24"/>
          <w:szCs w:val="24"/>
          <w14:ligatures w14:val="none"/>
        </w:rPr>
        <w:br/>
        <w:t xml:space="preserve">• Cumulative returns demonstrate that the stock has generated </w:t>
      </w:r>
      <w:r w:rsidRPr="00D56AC7">
        <w:rPr>
          <w:rFonts w:ascii="Times New Roman" w:eastAsia="Times New Roman" w:hAnsi="Times New Roman" w:cs="Times New Roman"/>
          <w:b/>
          <w:bCs/>
          <w:kern w:val="0"/>
          <w:sz w:val="24"/>
          <w:szCs w:val="24"/>
          <w14:ligatures w14:val="none"/>
        </w:rPr>
        <w:t>consistent long-term value for investors</w:t>
      </w:r>
      <w:r w:rsidRPr="00D56AC7">
        <w:rPr>
          <w:rFonts w:ascii="Times New Roman" w:eastAsia="Times New Roman" w:hAnsi="Times New Roman" w:cs="Times New Roman"/>
          <w:kern w:val="0"/>
          <w:sz w:val="24"/>
          <w:szCs w:val="24"/>
          <w14:ligatures w14:val="none"/>
        </w:rPr>
        <w:t>.</w:t>
      </w:r>
    </w:p>
    <w:p w14:paraId="08B03519"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 xml:space="preserve">Overall, the analysis indicates that ITC Limited represents a </w:t>
      </w:r>
      <w:r w:rsidRPr="00D56AC7">
        <w:rPr>
          <w:rFonts w:ascii="Times New Roman" w:eastAsia="Times New Roman" w:hAnsi="Times New Roman" w:cs="Times New Roman"/>
          <w:b/>
          <w:bCs/>
          <w:kern w:val="0"/>
          <w:sz w:val="24"/>
          <w:szCs w:val="24"/>
          <w14:ligatures w14:val="none"/>
        </w:rPr>
        <w:t>stable large-cap investment with moderate growth potential and controlled risk exposure</w:t>
      </w:r>
      <w:r w:rsidRPr="00D56AC7">
        <w:rPr>
          <w:rFonts w:ascii="Times New Roman" w:eastAsia="Times New Roman" w:hAnsi="Times New Roman" w:cs="Times New Roman"/>
          <w:kern w:val="0"/>
          <w:sz w:val="24"/>
          <w:szCs w:val="24"/>
          <w14:ligatures w14:val="none"/>
        </w:rPr>
        <w:t>. While the stock may experience temporary fluctuations during periods of market uncertainty, its diversified business operations and strong fundamentals contribute to long-term resilience.</w:t>
      </w:r>
    </w:p>
    <w:p w14:paraId="6AF1C636" w14:textId="77777777" w:rsidR="00D56AC7" w:rsidRPr="00D56AC7" w:rsidRDefault="00D56AC7" w:rsidP="00D56A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6AC7">
        <w:rPr>
          <w:rFonts w:ascii="Times New Roman" w:eastAsia="Times New Roman" w:hAnsi="Times New Roman" w:cs="Times New Roman"/>
          <w:kern w:val="0"/>
          <w:sz w:val="24"/>
          <w:szCs w:val="24"/>
          <w14:ligatures w14:val="none"/>
        </w:rPr>
        <w:t xml:space="preserve">For investors seeking </w:t>
      </w:r>
      <w:r w:rsidRPr="00D56AC7">
        <w:rPr>
          <w:rFonts w:ascii="Times New Roman" w:eastAsia="Times New Roman" w:hAnsi="Times New Roman" w:cs="Times New Roman"/>
          <w:b/>
          <w:bCs/>
          <w:kern w:val="0"/>
          <w:sz w:val="24"/>
          <w:szCs w:val="24"/>
          <w14:ligatures w14:val="none"/>
        </w:rPr>
        <w:t>consistent long-term returns with relatively moderate volatility</w:t>
      </w:r>
      <w:r w:rsidRPr="00D56AC7">
        <w:rPr>
          <w:rFonts w:ascii="Times New Roman" w:eastAsia="Times New Roman" w:hAnsi="Times New Roman" w:cs="Times New Roman"/>
          <w:kern w:val="0"/>
          <w:sz w:val="24"/>
          <w:szCs w:val="24"/>
          <w14:ligatures w14:val="none"/>
        </w:rPr>
        <w:t>, ITC may be considered a suitable candidate for long-term portfolio diversification.</w:t>
      </w:r>
    </w:p>
    <w:p w14:paraId="107D07DA" w14:textId="77777777" w:rsidR="009856D9" w:rsidRPr="00D56AC7" w:rsidRDefault="009856D9">
      <w:pPr>
        <w:rPr>
          <w:rFonts w:ascii="Times New Roman" w:hAnsi="Times New Roman" w:cs="Times New Roman"/>
        </w:rPr>
      </w:pPr>
    </w:p>
    <w:sectPr w:rsidR="009856D9" w:rsidRPr="00D56A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AC7"/>
    <w:rsid w:val="009856D9"/>
    <w:rsid w:val="00D56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21B04"/>
  <w15:chartTrackingRefBased/>
  <w15:docId w15:val="{9701E8D0-CEB8-41C5-AA2D-B3086340A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56AC7"/>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D56AC7"/>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AC7"/>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D56AC7"/>
    <w:rPr>
      <w:rFonts w:ascii="Times New Roman" w:eastAsia="Times New Roman" w:hAnsi="Times New Roman" w:cs="Times New Roman"/>
      <w:b/>
      <w:bCs/>
      <w:kern w:val="0"/>
      <w:sz w:val="36"/>
      <w:szCs w:val="36"/>
      <w14:ligatures w14:val="none"/>
    </w:rPr>
  </w:style>
  <w:style w:type="character" w:customStyle="1" w:styleId="bzpyqfadein">
    <w:name w:val="bz_pyq_fadein"/>
    <w:basedOn w:val="DefaultParagraphFont"/>
    <w:rsid w:val="00D56AC7"/>
  </w:style>
  <w:style w:type="paragraph" w:styleId="NormalWeb">
    <w:name w:val="Normal (Web)"/>
    <w:basedOn w:val="Normal"/>
    <w:uiPriority w:val="99"/>
    <w:semiHidden/>
    <w:unhideWhenUsed/>
    <w:rsid w:val="00D56AC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38552">
      <w:bodyDiv w:val="1"/>
      <w:marLeft w:val="0"/>
      <w:marRight w:val="0"/>
      <w:marTop w:val="0"/>
      <w:marBottom w:val="0"/>
      <w:divBdr>
        <w:top w:val="none" w:sz="0" w:space="0" w:color="auto"/>
        <w:left w:val="none" w:sz="0" w:space="0" w:color="auto"/>
        <w:bottom w:val="none" w:sz="0" w:space="0" w:color="auto"/>
        <w:right w:val="none" w:sz="0" w:space="0" w:color="auto"/>
      </w:divBdr>
    </w:div>
    <w:div w:id="2072262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2296</Words>
  <Characters>13090</Characters>
  <Application>Microsoft Office Word</Application>
  <DocSecurity>0</DocSecurity>
  <Lines>109</Lines>
  <Paragraphs>30</Paragraphs>
  <ScaleCrop>false</ScaleCrop>
  <Company/>
  <LinksUpToDate>false</LinksUpToDate>
  <CharactersWithSpaces>15356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Girish Kumar</dc:creator>
  <cp:keywords/>
  <dc:description/>
  <cp:lastModifiedBy>Girish Kumar</cp:lastModifiedBy>
  <cp:revision>1</cp:revision>
  <dcterms:created xsi:type="dcterms:W3CDTF">2026-03-14T11:08:00Z</dcterms:created>
  <dcterms:modified xsi:type="dcterms:W3CDTF">2026-03-14T11:11:00Z</dcterms:modified>
</cp:coreProperties>
</file>