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115BE" w14:textId="2D80943E" w:rsidR="00D56AC7" w:rsidRPr="00D56AC7" w:rsidRDefault="00015C79" w:rsidP="00D56AC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TCS</w:t>
      </w:r>
      <w:r w:rsidR="00D56AC7" w:rsidRPr="00D56AC7">
        <w:rPr>
          <w:rFonts w:ascii="Times New Roman" w:eastAsia="Times New Roman" w:hAnsi="Times New Roman" w:cs="Times New Roman"/>
          <w:b/>
          <w:bCs/>
          <w:kern w:val="36"/>
          <w:sz w:val="48"/>
          <w:szCs w:val="48"/>
          <w14:ligatures w14:val="none"/>
        </w:rPr>
        <w:t xml:space="preserve"> – Analytical Insights</w:t>
      </w:r>
    </w:p>
    <w:p w14:paraId="5B4BF5CF" w14:textId="77777777" w:rsidR="00D56AC7" w:rsidRPr="00D56AC7" w:rsidRDefault="00D56AC7" w:rsidP="00D56AC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6AC7">
        <w:rPr>
          <w:rFonts w:ascii="Times New Roman" w:eastAsia="Times New Roman" w:hAnsi="Times New Roman" w:cs="Times New Roman"/>
          <w:b/>
          <w:bCs/>
          <w:kern w:val="0"/>
          <w:sz w:val="36"/>
          <w:szCs w:val="36"/>
          <w14:ligatures w14:val="none"/>
        </w:rPr>
        <w:t>1. Stock Price Trend Analysis</w:t>
      </w:r>
    </w:p>
    <w:p w14:paraId="103B6BBD" w14:textId="77777777" w:rsidR="00015C79" w:rsidRPr="00015C79" w:rsidRDefault="00015C79" w:rsidP="00015C79">
      <w:pPr>
        <w:spacing w:after="0" w:line="240" w:lineRule="auto"/>
        <w:rPr>
          <w:rFonts w:ascii="Times New Roman" w:eastAsia="Times New Roman" w:hAnsi="Times New Roman" w:cs="Times New Roman"/>
          <w:kern w:val="0"/>
          <w:sz w:val="24"/>
          <w:szCs w:val="24"/>
          <w14:ligatures w14:val="none"/>
        </w:rPr>
      </w:pPr>
      <w:r w:rsidRPr="00015C79">
        <w:rPr>
          <w:rFonts w:ascii="Times New Roman" w:eastAsia="Times New Roman" w:hAnsi="Times New Roman" w:cs="Times New Roman"/>
          <w:kern w:val="0"/>
          <w:sz w:val="24"/>
          <w:szCs w:val="24"/>
          <w14:ligatures w14:val="none"/>
        </w:rPr>
        <w:t>The historical stock price trend of Tata Consultancy Services (TCS) from 2018 to 2026 demonstrates a strong long-term upward trajectory with moderate fluctuations. As one of the largest companies in the Indian IT services sector, TCS benefits from consistent global demand for digital transformation, cloud services, and enterprise technology solutions.</w:t>
      </w:r>
    </w:p>
    <w:p w14:paraId="52A0FC83" w14:textId="77777777" w:rsidR="00015C79" w:rsidRPr="00015C79" w:rsidRDefault="00015C79" w:rsidP="00015C79">
      <w:pPr>
        <w:spacing w:after="0" w:line="240" w:lineRule="auto"/>
        <w:rPr>
          <w:rFonts w:ascii="Times New Roman" w:eastAsia="Times New Roman" w:hAnsi="Times New Roman" w:cs="Times New Roman"/>
          <w:kern w:val="0"/>
          <w:sz w:val="24"/>
          <w:szCs w:val="24"/>
          <w14:ligatures w14:val="none"/>
        </w:rPr>
      </w:pPr>
    </w:p>
    <w:p w14:paraId="0504190A" w14:textId="77777777" w:rsidR="00015C79" w:rsidRPr="00015C79" w:rsidRDefault="00015C79" w:rsidP="00015C79">
      <w:pPr>
        <w:spacing w:after="0" w:line="240" w:lineRule="auto"/>
        <w:rPr>
          <w:rFonts w:ascii="Times New Roman" w:eastAsia="Times New Roman" w:hAnsi="Times New Roman" w:cs="Times New Roman"/>
          <w:kern w:val="0"/>
          <w:sz w:val="24"/>
          <w:szCs w:val="24"/>
          <w14:ligatures w14:val="none"/>
        </w:rPr>
      </w:pPr>
      <w:r w:rsidRPr="00015C79">
        <w:rPr>
          <w:rFonts w:ascii="Times New Roman" w:eastAsia="Times New Roman" w:hAnsi="Times New Roman" w:cs="Times New Roman"/>
          <w:kern w:val="0"/>
          <w:sz w:val="24"/>
          <w:szCs w:val="24"/>
          <w14:ligatures w14:val="none"/>
        </w:rPr>
        <w:t>Between 2018 and 2019, the stock experienced gradual growth driven by strong revenue performance and expanding digital services. Similar to most global equities, the stock price experienced a sharp decline during early 2020 due to the global financial uncertainty triggered by the COVID-19 pandemic.</w:t>
      </w:r>
    </w:p>
    <w:p w14:paraId="09415A3F" w14:textId="77777777" w:rsidR="00015C79" w:rsidRPr="00015C79" w:rsidRDefault="00015C79" w:rsidP="00015C79">
      <w:pPr>
        <w:spacing w:after="0" w:line="240" w:lineRule="auto"/>
        <w:rPr>
          <w:rFonts w:ascii="Times New Roman" w:eastAsia="Times New Roman" w:hAnsi="Times New Roman" w:cs="Times New Roman"/>
          <w:kern w:val="0"/>
          <w:sz w:val="24"/>
          <w:szCs w:val="24"/>
          <w14:ligatures w14:val="none"/>
        </w:rPr>
      </w:pPr>
    </w:p>
    <w:p w14:paraId="2B2FCC8C" w14:textId="77777777" w:rsidR="00015C79" w:rsidRPr="00015C79" w:rsidRDefault="00015C79" w:rsidP="00015C79">
      <w:pPr>
        <w:spacing w:after="0" w:line="240" w:lineRule="auto"/>
        <w:rPr>
          <w:rFonts w:ascii="Times New Roman" w:eastAsia="Times New Roman" w:hAnsi="Times New Roman" w:cs="Times New Roman"/>
          <w:kern w:val="0"/>
          <w:sz w:val="24"/>
          <w:szCs w:val="24"/>
          <w14:ligatures w14:val="none"/>
        </w:rPr>
      </w:pPr>
      <w:r w:rsidRPr="00015C79">
        <w:rPr>
          <w:rFonts w:ascii="Times New Roman" w:eastAsia="Times New Roman" w:hAnsi="Times New Roman" w:cs="Times New Roman"/>
          <w:kern w:val="0"/>
          <w:sz w:val="24"/>
          <w:szCs w:val="24"/>
          <w14:ligatures w14:val="none"/>
        </w:rPr>
        <w:t>However, the stock quickly recovered during the latter half of 2020 as demand for IT services increased significantly during the global shift toward remote work and digital infrastructure. From 2021 onward, TCS demonstrated sustained upward momentum as technology companies benefited from continued digital transformation across industries.</w:t>
      </w:r>
    </w:p>
    <w:p w14:paraId="63C6F066" w14:textId="77777777" w:rsidR="00015C79" w:rsidRPr="00015C79" w:rsidRDefault="00015C79" w:rsidP="00015C79">
      <w:pPr>
        <w:spacing w:after="0" w:line="240" w:lineRule="auto"/>
        <w:rPr>
          <w:rFonts w:ascii="Times New Roman" w:eastAsia="Times New Roman" w:hAnsi="Times New Roman" w:cs="Times New Roman"/>
          <w:kern w:val="0"/>
          <w:sz w:val="24"/>
          <w:szCs w:val="24"/>
          <w14:ligatures w14:val="none"/>
        </w:rPr>
      </w:pPr>
    </w:p>
    <w:p w14:paraId="615BD02B" w14:textId="62015537" w:rsidR="00D56AC7" w:rsidRPr="00D56AC7" w:rsidRDefault="00015C79" w:rsidP="00015C79">
      <w:pPr>
        <w:spacing w:after="0" w:line="240" w:lineRule="auto"/>
        <w:rPr>
          <w:rFonts w:ascii="Times New Roman" w:eastAsia="Times New Roman" w:hAnsi="Times New Roman" w:cs="Times New Roman"/>
          <w:kern w:val="0"/>
          <w:sz w:val="24"/>
          <w:szCs w:val="24"/>
          <w14:ligatures w14:val="none"/>
        </w:rPr>
      </w:pPr>
      <w:r w:rsidRPr="00015C79">
        <w:rPr>
          <w:rFonts w:ascii="Times New Roman" w:eastAsia="Times New Roman" w:hAnsi="Times New Roman" w:cs="Times New Roman"/>
          <w:kern w:val="0"/>
          <w:sz w:val="24"/>
          <w:szCs w:val="24"/>
          <w14:ligatures w14:val="none"/>
        </w:rPr>
        <w:t>Overall, the long-term price trend suggests that TCS represents a strong growth-oriented large-cap technology stock with relatively stable long-term appreciation despite short-term market fluctuations.</w:t>
      </w:r>
    </w:p>
    <w:p w14:paraId="1A4DECD9" w14:textId="77777777" w:rsidR="00D56AC7" w:rsidRPr="00D56AC7" w:rsidRDefault="00D56AC7" w:rsidP="00D56AC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6AC7">
        <w:rPr>
          <w:rFonts w:ascii="Times New Roman" w:eastAsia="Times New Roman" w:hAnsi="Times New Roman" w:cs="Times New Roman"/>
          <w:b/>
          <w:bCs/>
          <w:kern w:val="0"/>
          <w:sz w:val="36"/>
          <w:szCs w:val="36"/>
          <w14:ligatures w14:val="none"/>
        </w:rPr>
        <w:t>2. Return Distribution Analysis</w:t>
      </w:r>
    </w:p>
    <w:p w14:paraId="60E87F76" w14:textId="4C537E8D" w:rsidR="00015C79" w:rsidRPr="00015C79" w:rsidRDefault="00015C79" w:rsidP="00015C79">
      <w:pPr>
        <w:spacing w:before="100" w:beforeAutospacing="1" w:after="100" w:afterAutospacing="1" w:line="240" w:lineRule="auto"/>
        <w:outlineLvl w:val="1"/>
        <w:rPr>
          <w:rFonts w:ascii="Times New Roman" w:eastAsia="Times New Roman" w:hAnsi="Times New Roman" w:cs="Times New Roman"/>
          <w:kern w:val="0"/>
          <w:sz w:val="24"/>
          <w:szCs w:val="24"/>
          <w14:ligatures w14:val="none"/>
        </w:rPr>
      </w:pPr>
      <w:r w:rsidRPr="00015C79">
        <w:rPr>
          <w:rFonts w:ascii="Times New Roman" w:eastAsia="Times New Roman" w:hAnsi="Times New Roman" w:cs="Times New Roman"/>
          <w:kern w:val="0"/>
          <w:sz w:val="24"/>
          <w:szCs w:val="24"/>
          <w14:ligatures w14:val="none"/>
        </w:rPr>
        <w:t>The distribution of log returns for TCS stock appears centered around zero, indicating that most daily price movements are relatively small and balanced between gains and losses. This is typical for actively traded equities where daily fluctuations are influenced by market sentiment and macroeconomic conditions.</w:t>
      </w:r>
    </w:p>
    <w:p w14:paraId="7EF9BFAB" w14:textId="3A2AB9CB" w:rsidR="00015C79" w:rsidRPr="00015C79" w:rsidRDefault="00015C79" w:rsidP="00015C79">
      <w:pPr>
        <w:spacing w:before="100" w:beforeAutospacing="1" w:after="100" w:afterAutospacing="1" w:line="240" w:lineRule="auto"/>
        <w:outlineLvl w:val="1"/>
        <w:rPr>
          <w:rFonts w:ascii="Times New Roman" w:eastAsia="Times New Roman" w:hAnsi="Times New Roman" w:cs="Times New Roman"/>
          <w:kern w:val="0"/>
          <w:sz w:val="24"/>
          <w:szCs w:val="24"/>
          <w14:ligatures w14:val="none"/>
        </w:rPr>
      </w:pPr>
      <w:r w:rsidRPr="00015C79">
        <w:rPr>
          <w:rFonts w:ascii="Times New Roman" w:eastAsia="Times New Roman" w:hAnsi="Times New Roman" w:cs="Times New Roman"/>
          <w:kern w:val="0"/>
          <w:sz w:val="24"/>
          <w:szCs w:val="24"/>
          <w14:ligatures w14:val="none"/>
        </w:rPr>
        <w:t>The distribution also reveals occasional extreme observations on both the positive and negative sides. These values represent periods of unusually large price changes, often triggered by global market events, earnings announcements, or macroeconomic developments.</w:t>
      </w:r>
    </w:p>
    <w:p w14:paraId="460D1ABA" w14:textId="19153315" w:rsidR="00015C79" w:rsidRPr="00015C79" w:rsidRDefault="00015C79" w:rsidP="00015C79">
      <w:pPr>
        <w:spacing w:before="100" w:beforeAutospacing="1" w:after="100" w:afterAutospacing="1" w:line="240" w:lineRule="auto"/>
        <w:outlineLvl w:val="1"/>
        <w:rPr>
          <w:rFonts w:ascii="Times New Roman" w:eastAsia="Times New Roman" w:hAnsi="Times New Roman" w:cs="Times New Roman"/>
          <w:kern w:val="0"/>
          <w:sz w:val="24"/>
          <w:szCs w:val="24"/>
          <w14:ligatures w14:val="none"/>
        </w:rPr>
      </w:pPr>
      <w:r w:rsidRPr="00015C79">
        <w:rPr>
          <w:rFonts w:ascii="Times New Roman" w:eastAsia="Times New Roman" w:hAnsi="Times New Roman" w:cs="Times New Roman"/>
          <w:kern w:val="0"/>
          <w:sz w:val="24"/>
          <w:szCs w:val="24"/>
          <w14:ligatures w14:val="none"/>
        </w:rPr>
        <w:t>The presence of heavier tails compared to a normal distribution suggests that extreme market movements occur more frequently than predicted by a purely normal distribution. This behavior is common in financial markets and reflects the dynamic nature of investor sentiment and market reactions.</w:t>
      </w:r>
    </w:p>
    <w:p w14:paraId="2430D30B" w14:textId="77777777" w:rsidR="00015C79" w:rsidRDefault="00015C79" w:rsidP="00015C79">
      <w:pPr>
        <w:spacing w:before="100" w:beforeAutospacing="1" w:after="100" w:afterAutospacing="1" w:line="240" w:lineRule="auto"/>
        <w:outlineLvl w:val="1"/>
        <w:rPr>
          <w:rFonts w:ascii="Times New Roman" w:eastAsia="Times New Roman" w:hAnsi="Times New Roman" w:cs="Times New Roman"/>
          <w:kern w:val="0"/>
          <w:sz w:val="24"/>
          <w:szCs w:val="24"/>
          <w14:ligatures w14:val="none"/>
        </w:rPr>
      </w:pPr>
      <w:r w:rsidRPr="00015C79">
        <w:rPr>
          <w:rFonts w:ascii="Times New Roman" w:eastAsia="Times New Roman" w:hAnsi="Times New Roman" w:cs="Times New Roman"/>
          <w:kern w:val="0"/>
          <w:sz w:val="24"/>
          <w:szCs w:val="24"/>
          <w14:ligatures w14:val="none"/>
        </w:rPr>
        <w:t>Overall, the return distribution indicates that while TCS experiences mostly moderate daily fluctuations, investors should remain aware of occasional periods of heightened volatility.</w:t>
      </w:r>
    </w:p>
    <w:p w14:paraId="77F7C1F7" w14:textId="77777777" w:rsidR="00015C79" w:rsidRDefault="00015C79" w:rsidP="00015C79">
      <w:pPr>
        <w:spacing w:before="100" w:beforeAutospacing="1" w:after="100" w:afterAutospacing="1" w:line="240" w:lineRule="auto"/>
        <w:outlineLvl w:val="1"/>
        <w:rPr>
          <w:rFonts w:ascii="Times New Roman" w:eastAsia="Times New Roman" w:hAnsi="Times New Roman" w:cs="Times New Roman"/>
          <w:kern w:val="0"/>
          <w:sz w:val="24"/>
          <w:szCs w:val="24"/>
          <w14:ligatures w14:val="none"/>
        </w:rPr>
      </w:pPr>
    </w:p>
    <w:p w14:paraId="16D97A9B" w14:textId="001D1D40" w:rsidR="00D56AC7" w:rsidRPr="00D56AC7" w:rsidRDefault="00D56AC7" w:rsidP="00015C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6AC7">
        <w:rPr>
          <w:rFonts w:ascii="Times New Roman" w:eastAsia="Times New Roman" w:hAnsi="Times New Roman" w:cs="Times New Roman"/>
          <w:b/>
          <w:bCs/>
          <w:kern w:val="0"/>
          <w:sz w:val="36"/>
          <w:szCs w:val="36"/>
          <w14:ligatures w14:val="none"/>
        </w:rPr>
        <w:lastRenderedPageBreak/>
        <w:t>3. Return and Volatility Analysis</w:t>
      </w:r>
    </w:p>
    <w:p w14:paraId="2F509D45" w14:textId="40966462" w:rsidR="00015C79" w:rsidRPr="00015C79" w:rsidRDefault="00015C79" w:rsidP="00015C79">
      <w:pPr>
        <w:spacing w:before="100" w:beforeAutospacing="1" w:after="100" w:afterAutospacing="1" w:line="240" w:lineRule="auto"/>
        <w:outlineLvl w:val="1"/>
        <w:rPr>
          <w:rFonts w:ascii="Times New Roman" w:eastAsia="Times New Roman" w:hAnsi="Times New Roman" w:cs="Times New Roman"/>
          <w:kern w:val="0"/>
          <w:sz w:val="24"/>
          <w:szCs w:val="24"/>
          <w14:ligatures w14:val="none"/>
        </w:rPr>
      </w:pPr>
      <w:r w:rsidRPr="00015C79">
        <w:rPr>
          <w:rFonts w:ascii="Times New Roman" w:eastAsia="Times New Roman" w:hAnsi="Times New Roman" w:cs="Times New Roman"/>
          <w:kern w:val="0"/>
          <w:sz w:val="24"/>
          <w:szCs w:val="24"/>
          <w14:ligatures w14:val="none"/>
        </w:rPr>
        <w:t>The calculated financial metrics provide valuable insights into the performance and risk characteristics of TCS stock.</w:t>
      </w:r>
    </w:p>
    <w:p w14:paraId="30BC8D48" w14:textId="47591C10" w:rsidR="00015C79" w:rsidRPr="00015C79" w:rsidRDefault="00015C79" w:rsidP="00015C79">
      <w:pPr>
        <w:spacing w:before="100" w:beforeAutospacing="1" w:after="100" w:afterAutospacing="1" w:line="240" w:lineRule="auto"/>
        <w:outlineLvl w:val="1"/>
        <w:rPr>
          <w:rFonts w:ascii="Times New Roman" w:eastAsia="Times New Roman" w:hAnsi="Times New Roman" w:cs="Times New Roman"/>
          <w:kern w:val="0"/>
          <w:sz w:val="24"/>
          <w:szCs w:val="24"/>
          <w14:ligatures w14:val="none"/>
        </w:rPr>
      </w:pPr>
      <w:r w:rsidRPr="00015C79">
        <w:rPr>
          <w:rFonts w:ascii="Times New Roman" w:eastAsia="Times New Roman" w:hAnsi="Times New Roman" w:cs="Times New Roman"/>
          <w:kern w:val="0"/>
          <w:sz w:val="24"/>
          <w:szCs w:val="24"/>
          <w14:ligatures w14:val="none"/>
        </w:rPr>
        <w:t>The average annual return indicates that TCS has generated strong long-term growth over the analyzed period. Compared to many traditional sectors, the technology industry has experienced higher demand growth due to increased digital adoption worldwide.</w:t>
      </w:r>
    </w:p>
    <w:p w14:paraId="1FABF97C" w14:textId="0F36E0C2" w:rsidR="00015C79" w:rsidRPr="00015C79" w:rsidRDefault="00015C79" w:rsidP="00015C79">
      <w:pPr>
        <w:spacing w:before="100" w:beforeAutospacing="1" w:after="100" w:afterAutospacing="1" w:line="240" w:lineRule="auto"/>
        <w:outlineLvl w:val="1"/>
        <w:rPr>
          <w:rFonts w:ascii="Times New Roman" w:eastAsia="Times New Roman" w:hAnsi="Times New Roman" w:cs="Times New Roman"/>
          <w:kern w:val="0"/>
          <w:sz w:val="24"/>
          <w:szCs w:val="24"/>
          <w14:ligatures w14:val="none"/>
        </w:rPr>
      </w:pPr>
      <w:r w:rsidRPr="00015C79">
        <w:rPr>
          <w:rFonts w:ascii="Times New Roman" w:eastAsia="Times New Roman" w:hAnsi="Times New Roman" w:cs="Times New Roman"/>
          <w:kern w:val="0"/>
          <w:sz w:val="24"/>
          <w:szCs w:val="24"/>
          <w14:ligatures w14:val="none"/>
        </w:rPr>
        <w:t>Volatility analysis shows that the stock experiences moderate daily fluctuations. While technology stocks can exhibit periods of higher volatility compared to defensive sectors, the annualized volatility of TCS remains relatively controlled compared to many other technology companies globally.</w:t>
      </w:r>
    </w:p>
    <w:p w14:paraId="37AD3C79" w14:textId="3D15FA7A" w:rsidR="00015C79" w:rsidRPr="00015C79" w:rsidRDefault="00015C79" w:rsidP="00015C79">
      <w:pPr>
        <w:spacing w:before="100" w:beforeAutospacing="1" w:after="100" w:afterAutospacing="1" w:line="240" w:lineRule="auto"/>
        <w:outlineLvl w:val="1"/>
        <w:rPr>
          <w:rFonts w:ascii="Times New Roman" w:eastAsia="Times New Roman" w:hAnsi="Times New Roman" w:cs="Times New Roman"/>
          <w:kern w:val="0"/>
          <w:sz w:val="24"/>
          <w:szCs w:val="24"/>
          <w14:ligatures w14:val="none"/>
        </w:rPr>
      </w:pPr>
      <w:r w:rsidRPr="00015C79">
        <w:rPr>
          <w:rFonts w:ascii="Times New Roman" w:eastAsia="Times New Roman" w:hAnsi="Times New Roman" w:cs="Times New Roman"/>
          <w:kern w:val="0"/>
          <w:sz w:val="24"/>
          <w:szCs w:val="24"/>
          <w14:ligatures w14:val="none"/>
        </w:rPr>
        <w:t>This combination of strong long-term returns and manageable volatility reflects the strength of TCS as a leading IT services provider with diversified global operations.</w:t>
      </w:r>
    </w:p>
    <w:p w14:paraId="6198C6F8" w14:textId="77777777" w:rsidR="00015C79" w:rsidRDefault="00015C79" w:rsidP="00015C79">
      <w:pPr>
        <w:spacing w:before="100" w:beforeAutospacing="1" w:after="100" w:afterAutospacing="1" w:line="240" w:lineRule="auto"/>
        <w:outlineLvl w:val="1"/>
        <w:rPr>
          <w:rFonts w:ascii="Times New Roman" w:eastAsia="Times New Roman" w:hAnsi="Times New Roman" w:cs="Times New Roman"/>
          <w:kern w:val="0"/>
          <w:sz w:val="24"/>
          <w:szCs w:val="24"/>
          <w14:ligatures w14:val="none"/>
        </w:rPr>
      </w:pPr>
      <w:r w:rsidRPr="00015C79">
        <w:rPr>
          <w:rFonts w:ascii="Times New Roman" w:eastAsia="Times New Roman" w:hAnsi="Times New Roman" w:cs="Times New Roman"/>
          <w:kern w:val="0"/>
          <w:sz w:val="24"/>
          <w:szCs w:val="24"/>
          <w14:ligatures w14:val="none"/>
        </w:rPr>
        <w:t>Overall, the results suggest that TCS offers attractive long-term growth potential while maintaining a manageable level of investment risk.</w:t>
      </w:r>
    </w:p>
    <w:p w14:paraId="001770C4" w14:textId="6AFF5CD2" w:rsidR="00D56AC7" w:rsidRPr="00D56AC7" w:rsidRDefault="00D56AC7" w:rsidP="00015C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6AC7">
        <w:rPr>
          <w:rFonts w:ascii="Times New Roman" w:eastAsia="Times New Roman" w:hAnsi="Times New Roman" w:cs="Times New Roman"/>
          <w:b/>
          <w:bCs/>
          <w:kern w:val="0"/>
          <w:sz w:val="36"/>
          <w:szCs w:val="36"/>
          <w14:ligatures w14:val="none"/>
        </w:rPr>
        <w:t>4. Risk-Adjusted Performance</w:t>
      </w:r>
    </w:p>
    <w:p w14:paraId="5564967D" w14:textId="57BB37A6" w:rsidR="00015C79" w:rsidRPr="00015C79" w:rsidRDefault="00015C79" w:rsidP="00015C79">
      <w:pPr>
        <w:spacing w:before="100" w:beforeAutospacing="1" w:after="100" w:afterAutospacing="1" w:line="240" w:lineRule="auto"/>
        <w:outlineLvl w:val="1"/>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T</w:t>
      </w:r>
      <w:r w:rsidRPr="00015C79">
        <w:rPr>
          <w:rFonts w:ascii="Times New Roman" w:eastAsia="Times New Roman" w:hAnsi="Times New Roman" w:cs="Times New Roman"/>
          <w:kern w:val="0"/>
          <w:sz w:val="24"/>
          <w:szCs w:val="24"/>
          <w14:ligatures w14:val="none"/>
        </w:rPr>
        <w:t>he Sharpe ratio measures how effectively a stock generates returns relative to the amount of risk taken.</w:t>
      </w:r>
    </w:p>
    <w:p w14:paraId="5FAD012D" w14:textId="4452B631" w:rsidR="00015C79" w:rsidRPr="00015C79" w:rsidRDefault="00015C79" w:rsidP="00015C79">
      <w:pPr>
        <w:spacing w:before="100" w:beforeAutospacing="1" w:after="100" w:afterAutospacing="1" w:line="240" w:lineRule="auto"/>
        <w:outlineLvl w:val="1"/>
        <w:rPr>
          <w:rFonts w:ascii="Times New Roman" w:eastAsia="Times New Roman" w:hAnsi="Times New Roman" w:cs="Times New Roman"/>
          <w:kern w:val="0"/>
          <w:sz w:val="24"/>
          <w:szCs w:val="24"/>
          <w14:ligatures w14:val="none"/>
        </w:rPr>
      </w:pPr>
      <w:r w:rsidRPr="00015C79">
        <w:rPr>
          <w:rFonts w:ascii="Times New Roman" w:eastAsia="Times New Roman" w:hAnsi="Times New Roman" w:cs="Times New Roman"/>
          <w:kern w:val="0"/>
          <w:sz w:val="24"/>
          <w:szCs w:val="24"/>
          <w14:ligatures w14:val="none"/>
        </w:rPr>
        <w:t>The calculated Sharpe ratio for TCS indicates positive risk-adjusted performance over the analysis period. This suggests that the stock has been able to generate consistent returns relative to the level of volatility experienced.</w:t>
      </w:r>
    </w:p>
    <w:p w14:paraId="759952F6" w14:textId="00FB102A" w:rsidR="00015C79" w:rsidRPr="00015C79" w:rsidRDefault="00015C79" w:rsidP="00015C79">
      <w:pPr>
        <w:spacing w:before="100" w:beforeAutospacing="1" w:after="100" w:afterAutospacing="1" w:line="240" w:lineRule="auto"/>
        <w:outlineLvl w:val="1"/>
        <w:rPr>
          <w:rFonts w:ascii="Times New Roman" w:eastAsia="Times New Roman" w:hAnsi="Times New Roman" w:cs="Times New Roman"/>
          <w:kern w:val="0"/>
          <w:sz w:val="24"/>
          <w:szCs w:val="24"/>
          <w14:ligatures w14:val="none"/>
        </w:rPr>
      </w:pPr>
      <w:r w:rsidRPr="00015C79">
        <w:rPr>
          <w:rFonts w:ascii="Times New Roman" w:eastAsia="Times New Roman" w:hAnsi="Times New Roman" w:cs="Times New Roman"/>
          <w:kern w:val="0"/>
          <w:sz w:val="24"/>
          <w:szCs w:val="24"/>
          <w14:ligatures w14:val="none"/>
        </w:rPr>
        <w:t>Technology companies often benefit from strong growth opportunities, and TCS has successfully leveraged global demand for IT services to maintain consistent financial performance.</w:t>
      </w:r>
    </w:p>
    <w:p w14:paraId="18F092AB" w14:textId="3AFD2A44" w:rsidR="00015C79" w:rsidRPr="00015C79" w:rsidRDefault="00015C79" w:rsidP="00015C79">
      <w:pPr>
        <w:spacing w:before="100" w:beforeAutospacing="1" w:after="100" w:afterAutospacing="1" w:line="240" w:lineRule="auto"/>
        <w:outlineLvl w:val="1"/>
        <w:rPr>
          <w:rFonts w:ascii="Times New Roman" w:eastAsia="Times New Roman" w:hAnsi="Times New Roman" w:cs="Times New Roman"/>
          <w:kern w:val="0"/>
          <w:sz w:val="24"/>
          <w:szCs w:val="24"/>
          <w14:ligatures w14:val="none"/>
        </w:rPr>
      </w:pPr>
      <w:r w:rsidRPr="00015C79">
        <w:rPr>
          <w:rFonts w:ascii="Times New Roman" w:eastAsia="Times New Roman" w:hAnsi="Times New Roman" w:cs="Times New Roman"/>
          <w:kern w:val="0"/>
          <w:sz w:val="24"/>
          <w:szCs w:val="24"/>
          <w14:ligatures w14:val="none"/>
        </w:rPr>
        <w:t>The risk-adjusted performance metrics therefore indicate that TCS has been able to deliver competitive returns while maintaining relatively stable risk levels.</w:t>
      </w:r>
    </w:p>
    <w:p w14:paraId="560DA07E" w14:textId="77777777" w:rsidR="00015C79" w:rsidRDefault="00015C79" w:rsidP="00015C79">
      <w:pPr>
        <w:spacing w:before="100" w:beforeAutospacing="1" w:after="100" w:afterAutospacing="1" w:line="240" w:lineRule="auto"/>
        <w:outlineLvl w:val="1"/>
        <w:rPr>
          <w:rFonts w:ascii="Times New Roman" w:eastAsia="Times New Roman" w:hAnsi="Times New Roman" w:cs="Times New Roman"/>
          <w:kern w:val="0"/>
          <w:sz w:val="24"/>
          <w:szCs w:val="24"/>
          <w14:ligatures w14:val="none"/>
        </w:rPr>
      </w:pPr>
      <w:r w:rsidRPr="00015C79">
        <w:rPr>
          <w:rFonts w:ascii="Times New Roman" w:eastAsia="Times New Roman" w:hAnsi="Times New Roman" w:cs="Times New Roman"/>
          <w:kern w:val="0"/>
          <w:sz w:val="24"/>
          <w:szCs w:val="24"/>
          <w14:ligatures w14:val="none"/>
        </w:rPr>
        <w:t>Overall, the Sharpe ratio suggests that TCS provides attractive investment performance when considering both return and risk.</w:t>
      </w:r>
    </w:p>
    <w:p w14:paraId="5095DAD1" w14:textId="7FED84D3" w:rsidR="00D56AC7" w:rsidRPr="00D56AC7" w:rsidRDefault="00D56AC7" w:rsidP="00015C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6AC7">
        <w:rPr>
          <w:rFonts w:ascii="Times New Roman" w:eastAsia="Times New Roman" w:hAnsi="Times New Roman" w:cs="Times New Roman"/>
          <w:b/>
          <w:bCs/>
          <w:kern w:val="0"/>
          <w:sz w:val="36"/>
          <w:szCs w:val="36"/>
          <w14:ligatures w14:val="none"/>
        </w:rPr>
        <w:t>5. Market Sensitivity (Beta Analysis)</w:t>
      </w:r>
    </w:p>
    <w:p w14:paraId="22DE0507" w14:textId="77777777" w:rsidR="00015C79" w:rsidRPr="00015C79" w:rsidRDefault="00015C79" w:rsidP="00015C79">
      <w:pPr>
        <w:spacing w:before="100" w:beforeAutospacing="1" w:after="100" w:afterAutospacing="1" w:line="240" w:lineRule="auto"/>
        <w:outlineLvl w:val="1"/>
        <w:rPr>
          <w:rFonts w:ascii="Times New Roman" w:eastAsia="Times New Roman" w:hAnsi="Times New Roman" w:cs="Times New Roman"/>
          <w:kern w:val="0"/>
          <w:sz w:val="24"/>
          <w:szCs w:val="24"/>
          <w:lang w:val="en-IN"/>
          <w14:ligatures w14:val="none"/>
        </w:rPr>
      </w:pPr>
      <w:r w:rsidRPr="00015C79">
        <w:rPr>
          <w:rFonts w:ascii="Times New Roman" w:eastAsia="Times New Roman" w:hAnsi="Times New Roman" w:cs="Times New Roman"/>
          <w:kern w:val="0"/>
          <w:sz w:val="24"/>
          <w:szCs w:val="24"/>
          <w:lang w:val="en-IN"/>
          <w14:ligatures w14:val="none"/>
        </w:rPr>
        <w:t>The beta coefficient measures how sensitive a stock is to movements in the overall market index.</w:t>
      </w:r>
    </w:p>
    <w:p w14:paraId="3A739717" w14:textId="77777777" w:rsidR="00015C79" w:rsidRPr="00015C79" w:rsidRDefault="00015C79" w:rsidP="00015C79">
      <w:pPr>
        <w:spacing w:before="100" w:beforeAutospacing="1" w:after="100" w:afterAutospacing="1" w:line="240" w:lineRule="auto"/>
        <w:outlineLvl w:val="1"/>
        <w:rPr>
          <w:rFonts w:ascii="Times New Roman" w:eastAsia="Times New Roman" w:hAnsi="Times New Roman" w:cs="Times New Roman"/>
          <w:kern w:val="0"/>
          <w:sz w:val="24"/>
          <w:szCs w:val="24"/>
          <w:lang w:val="en-IN"/>
          <w14:ligatures w14:val="none"/>
        </w:rPr>
      </w:pPr>
      <w:r w:rsidRPr="00015C79">
        <w:rPr>
          <w:rFonts w:ascii="Times New Roman" w:eastAsia="Times New Roman" w:hAnsi="Times New Roman" w:cs="Times New Roman"/>
          <w:kern w:val="0"/>
          <w:sz w:val="24"/>
          <w:szCs w:val="24"/>
          <w:lang w:val="en-IN"/>
          <w14:ligatures w14:val="none"/>
        </w:rPr>
        <w:t xml:space="preserve">The calculated beta value for TCS is generally close to one, indicating that the stock tends to move broadly in line with the overall market. This means that when the NIFTY 50 index </w:t>
      </w:r>
      <w:r w:rsidRPr="00015C79">
        <w:rPr>
          <w:rFonts w:ascii="Times New Roman" w:eastAsia="Times New Roman" w:hAnsi="Times New Roman" w:cs="Times New Roman"/>
          <w:kern w:val="0"/>
          <w:sz w:val="24"/>
          <w:szCs w:val="24"/>
          <w:lang w:val="en-IN"/>
          <w14:ligatures w14:val="none"/>
        </w:rPr>
        <w:lastRenderedPageBreak/>
        <w:t>increases or decreases by a certain percentage, TCS stock typically exhibits similar directional movement.</w:t>
      </w:r>
    </w:p>
    <w:p w14:paraId="7F781402" w14:textId="77777777" w:rsidR="00015C79" w:rsidRPr="00015C79" w:rsidRDefault="00015C79" w:rsidP="00015C79">
      <w:pPr>
        <w:spacing w:before="100" w:beforeAutospacing="1" w:after="100" w:afterAutospacing="1" w:line="240" w:lineRule="auto"/>
        <w:outlineLvl w:val="1"/>
        <w:rPr>
          <w:rFonts w:ascii="Times New Roman" w:eastAsia="Times New Roman" w:hAnsi="Times New Roman" w:cs="Times New Roman"/>
          <w:kern w:val="0"/>
          <w:sz w:val="24"/>
          <w:szCs w:val="24"/>
          <w:lang w:val="en-IN"/>
          <w14:ligatures w14:val="none"/>
        </w:rPr>
      </w:pPr>
      <w:r w:rsidRPr="00015C79">
        <w:rPr>
          <w:rFonts w:ascii="Times New Roman" w:eastAsia="Times New Roman" w:hAnsi="Times New Roman" w:cs="Times New Roman"/>
          <w:kern w:val="0"/>
          <w:sz w:val="24"/>
          <w:szCs w:val="24"/>
          <w:lang w:val="en-IN"/>
          <w14:ligatures w14:val="none"/>
        </w:rPr>
        <w:t>However, as a large and fundamentally strong technology company, TCS may sometimes show slightly lower volatility than smaller technology firms.</w:t>
      </w:r>
    </w:p>
    <w:p w14:paraId="3CA49BF2" w14:textId="77777777" w:rsidR="00015C79" w:rsidRPr="00015C79" w:rsidRDefault="00015C79" w:rsidP="00015C79">
      <w:pPr>
        <w:spacing w:before="100" w:beforeAutospacing="1" w:after="100" w:afterAutospacing="1" w:line="240" w:lineRule="auto"/>
        <w:outlineLvl w:val="1"/>
        <w:rPr>
          <w:rFonts w:ascii="Times New Roman" w:eastAsia="Times New Roman" w:hAnsi="Times New Roman" w:cs="Times New Roman"/>
          <w:kern w:val="0"/>
          <w:sz w:val="24"/>
          <w:szCs w:val="24"/>
          <w:lang w:val="en-IN"/>
          <w14:ligatures w14:val="none"/>
        </w:rPr>
      </w:pPr>
      <w:r w:rsidRPr="00015C79">
        <w:rPr>
          <w:rFonts w:ascii="Times New Roman" w:eastAsia="Times New Roman" w:hAnsi="Times New Roman" w:cs="Times New Roman"/>
          <w:kern w:val="0"/>
          <w:sz w:val="24"/>
          <w:szCs w:val="24"/>
          <w:lang w:val="en-IN"/>
          <w14:ligatures w14:val="none"/>
        </w:rPr>
        <w:t>This behavior indicates that while TCS is influenced by broader market trends, it maintains relatively stable price movements due to its strong market position and consistent revenue streams.</w:t>
      </w:r>
    </w:p>
    <w:p w14:paraId="11FF5946" w14:textId="77777777" w:rsidR="00015C79" w:rsidRPr="00015C79" w:rsidRDefault="00015C79" w:rsidP="00015C79">
      <w:pPr>
        <w:spacing w:before="100" w:beforeAutospacing="1" w:after="100" w:afterAutospacing="1" w:line="240" w:lineRule="auto"/>
        <w:outlineLvl w:val="1"/>
        <w:rPr>
          <w:rFonts w:ascii="Times New Roman" w:eastAsia="Times New Roman" w:hAnsi="Times New Roman" w:cs="Times New Roman"/>
          <w:kern w:val="0"/>
          <w:sz w:val="24"/>
          <w:szCs w:val="24"/>
          <w:lang w:val="en-IN"/>
          <w14:ligatures w14:val="none"/>
        </w:rPr>
      </w:pPr>
      <w:r w:rsidRPr="00015C79">
        <w:rPr>
          <w:rFonts w:ascii="Times New Roman" w:eastAsia="Times New Roman" w:hAnsi="Times New Roman" w:cs="Times New Roman"/>
          <w:kern w:val="0"/>
          <w:sz w:val="24"/>
          <w:szCs w:val="24"/>
          <w:lang w:val="en-IN"/>
          <w14:ligatures w14:val="none"/>
        </w:rPr>
        <w:t>Overall, the beta analysis suggests that TCS behaves as a stable large-cap stock whose performance is closely tied to overall market movements.</w:t>
      </w:r>
    </w:p>
    <w:p w14:paraId="5A5EB388" w14:textId="77777777" w:rsidR="00D56AC7" w:rsidRPr="00D56AC7" w:rsidRDefault="00D56AC7" w:rsidP="00D56AC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6AC7">
        <w:rPr>
          <w:rFonts w:ascii="Times New Roman" w:eastAsia="Times New Roman" w:hAnsi="Times New Roman" w:cs="Times New Roman"/>
          <w:b/>
          <w:bCs/>
          <w:kern w:val="0"/>
          <w:sz w:val="36"/>
          <w:szCs w:val="36"/>
          <w14:ligatures w14:val="none"/>
        </w:rPr>
        <w:t>6. Downside Risk Analysis</w:t>
      </w:r>
    </w:p>
    <w:p w14:paraId="6909C47B" w14:textId="77777777" w:rsidR="00015C79" w:rsidRPr="00015C79" w:rsidRDefault="00015C79" w:rsidP="00015C79">
      <w:pPr>
        <w:spacing w:before="100" w:beforeAutospacing="1" w:after="100" w:afterAutospacing="1" w:line="240" w:lineRule="auto"/>
        <w:outlineLvl w:val="1"/>
        <w:rPr>
          <w:rFonts w:ascii="Times New Roman" w:eastAsia="Times New Roman" w:hAnsi="Times New Roman" w:cs="Times New Roman"/>
          <w:kern w:val="0"/>
          <w:sz w:val="24"/>
          <w:szCs w:val="24"/>
          <w:lang w:val="en-IN"/>
          <w14:ligatures w14:val="none"/>
        </w:rPr>
      </w:pPr>
      <w:r w:rsidRPr="00015C79">
        <w:rPr>
          <w:rFonts w:ascii="Times New Roman" w:eastAsia="Times New Roman" w:hAnsi="Times New Roman" w:cs="Times New Roman"/>
          <w:kern w:val="0"/>
          <w:sz w:val="24"/>
          <w:szCs w:val="24"/>
          <w:lang w:val="en-IN"/>
          <w14:ligatures w14:val="none"/>
        </w:rPr>
        <w:t>Downside risk analysis evaluates the potential losses investors might experience during unfavorable market conditions.</w:t>
      </w:r>
    </w:p>
    <w:p w14:paraId="36C3A4E9" w14:textId="77777777" w:rsidR="00015C79" w:rsidRPr="00015C79" w:rsidRDefault="00015C79" w:rsidP="00015C79">
      <w:pPr>
        <w:spacing w:before="100" w:beforeAutospacing="1" w:after="100" w:afterAutospacing="1" w:line="240" w:lineRule="auto"/>
        <w:outlineLvl w:val="1"/>
        <w:rPr>
          <w:rFonts w:ascii="Times New Roman" w:eastAsia="Times New Roman" w:hAnsi="Times New Roman" w:cs="Times New Roman"/>
          <w:kern w:val="0"/>
          <w:sz w:val="24"/>
          <w:szCs w:val="24"/>
          <w:lang w:val="en-IN"/>
          <w14:ligatures w14:val="none"/>
        </w:rPr>
      </w:pPr>
      <w:r w:rsidRPr="00015C79">
        <w:rPr>
          <w:rFonts w:ascii="Times New Roman" w:eastAsia="Times New Roman" w:hAnsi="Times New Roman" w:cs="Times New Roman"/>
          <w:kern w:val="0"/>
          <w:sz w:val="24"/>
          <w:szCs w:val="24"/>
          <w:lang w:val="en-IN"/>
          <w14:ligatures w14:val="none"/>
        </w:rPr>
        <w:t>The Value at Risk (VaR) at a 95% confidence level estimates the potential maximum daily loss under normal market conditions. This metric suggests that while large losses are possible, they occur relatively infrequently.</w:t>
      </w:r>
    </w:p>
    <w:p w14:paraId="0A9A4CA6" w14:textId="77777777" w:rsidR="00015C79" w:rsidRPr="00015C79" w:rsidRDefault="00015C79" w:rsidP="00015C79">
      <w:pPr>
        <w:spacing w:before="100" w:beforeAutospacing="1" w:after="100" w:afterAutospacing="1" w:line="240" w:lineRule="auto"/>
        <w:outlineLvl w:val="1"/>
        <w:rPr>
          <w:rFonts w:ascii="Times New Roman" w:eastAsia="Times New Roman" w:hAnsi="Times New Roman" w:cs="Times New Roman"/>
          <w:kern w:val="0"/>
          <w:sz w:val="24"/>
          <w:szCs w:val="24"/>
          <w:lang w:val="en-IN"/>
          <w14:ligatures w14:val="none"/>
        </w:rPr>
      </w:pPr>
      <w:r w:rsidRPr="00015C79">
        <w:rPr>
          <w:rFonts w:ascii="Times New Roman" w:eastAsia="Times New Roman" w:hAnsi="Times New Roman" w:cs="Times New Roman"/>
          <w:kern w:val="0"/>
          <w:sz w:val="24"/>
          <w:szCs w:val="24"/>
          <w:lang w:val="en-IN"/>
          <w14:ligatures w14:val="none"/>
        </w:rPr>
        <w:t>Maximum drawdown analysis identifies the largest decline from a peak to a trough during the analysis period. The most significant drawdown occurred during the global market disruption in 2020 when the pandemic created severe financial uncertainty.</w:t>
      </w:r>
    </w:p>
    <w:p w14:paraId="5C7B3327" w14:textId="77777777" w:rsidR="00015C79" w:rsidRPr="00015C79" w:rsidRDefault="00015C79" w:rsidP="00015C79">
      <w:pPr>
        <w:spacing w:before="100" w:beforeAutospacing="1" w:after="100" w:afterAutospacing="1" w:line="240" w:lineRule="auto"/>
        <w:outlineLvl w:val="1"/>
        <w:rPr>
          <w:rFonts w:ascii="Times New Roman" w:eastAsia="Times New Roman" w:hAnsi="Times New Roman" w:cs="Times New Roman"/>
          <w:kern w:val="0"/>
          <w:sz w:val="24"/>
          <w:szCs w:val="24"/>
          <w:lang w:val="en-IN"/>
          <w14:ligatures w14:val="none"/>
        </w:rPr>
      </w:pPr>
      <w:r w:rsidRPr="00015C79">
        <w:rPr>
          <w:rFonts w:ascii="Times New Roman" w:eastAsia="Times New Roman" w:hAnsi="Times New Roman" w:cs="Times New Roman"/>
          <w:kern w:val="0"/>
          <w:sz w:val="24"/>
          <w:szCs w:val="24"/>
          <w:lang w:val="en-IN"/>
          <w14:ligatures w14:val="none"/>
        </w:rPr>
        <w:t>Despite this temporary decline, the stock recovered quickly as the technology sector experienced increased demand due to digital transformation and remote work adoption.</w:t>
      </w:r>
    </w:p>
    <w:p w14:paraId="7D663781" w14:textId="77777777" w:rsidR="00015C79" w:rsidRPr="00015C79" w:rsidRDefault="00015C79" w:rsidP="00015C79">
      <w:pPr>
        <w:spacing w:before="100" w:beforeAutospacing="1" w:after="100" w:afterAutospacing="1" w:line="240" w:lineRule="auto"/>
        <w:outlineLvl w:val="1"/>
        <w:rPr>
          <w:rFonts w:ascii="Times New Roman" w:eastAsia="Times New Roman" w:hAnsi="Times New Roman" w:cs="Times New Roman"/>
          <w:kern w:val="0"/>
          <w:sz w:val="24"/>
          <w:szCs w:val="24"/>
          <w:lang w:val="en-IN"/>
          <w14:ligatures w14:val="none"/>
        </w:rPr>
      </w:pPr>
      <w:r w:rsidRPr="00015C79">
        <w:rPr>
          <w:rFonts w:ascii="Times New Roman" w:eastAsia="Times New Roman" w:hAnsi="Times New Roman" w:cs="Times New Roman"/>
          <w:kern w:val="0"/>
          <w:sz w:val="24"/>
          <w:szCs w:val="24"/>
          <w:lang w:val="en-IN"/>
          <w14:ligatures w14:val="none"/>
        </w:rPr>
        <w:t>Overall, the downside risk analysis indicates that although TCS may experience temporary declines during market crises, it demonstrates strong recovery potential and resilience over the long term.</w:t>
      </w:r>
    </w:p>
    <w:p w14:paraId="5FBAE4A6" w14:textId="77777777" w:rsidR="00D56AC7" w:rsidRPr="00D56AC7" w:rsidRDefault="00D56AC7" w:rsidP="00D56AC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6AC7">
        <w:rPr>
          <w:rFonts w:ascii="Times New Roman" w:eastAsia="Times New Roman" w:hAnsi="Times New Roman" w:cs="Times New Roman"/>
          <w:b/>
          <w:bCs/>
          <w:kern w:val="0"/>
          <w:sz w:val="36"/>
          <w:szCs w:val="36"/>
          <w14:ligatures w14:val="none"/>
        </w:rPr>
        <w:t>7. Time Series Stationarity and Forecasting</w:t>
      </w:r>
    </w:p>
    <w:p w14:paraId="13B2AE59" w14:textId="77777777" w:rsidR="00015C79" w:rsidRPr="00015C79" w:rsidRDefault="00015C79" w:rsidP="00015C79">
      <w:pPr>
        <w:spacing w:before="100" w:beforeAutospacing="1" w:after="100" w:afterAutospacing="1" w:line="240" w:lineRule="auto"/>
        <w:outlineLvl w:val="1"/>
        <w:rPr>
          <w:rFonts w:ascii="Times New Roman" w:eastAsia="Times New Roman" w:hAnsi="Times New Roman" w:cs="Times New Roman"/>
          <w:kern w:val="0"/>
          <w:sz w:val="24"/>
          <w:szCs w:val="24"/>
          <w:lang w:val="en-IN"/>
          <w14:ligatures w14:val="none"/>
        </w:rPr>
      </w:pPr>
      <w:r w:rsidRPr="00015C79">
        <w:rPr>
          <w:rFonts w:ascii="Times New Roman" w:eastAsia="Times New Roman" w:hAnsi="Times New Roman" w:cs="Times New Roman"/>
          <w:kern w:val="0"/>
          <w:sz w:val="24"/>
          <w:szCs w:val="24"/>
          <w:lang w:val="en-IN"/>
          <w14:ligatures w14:val="none"/>
        </w:rPr>
        <w:t>To evaluate whether the return series is suitable for time-series modeling, the Augmented Dickey-Fuller (ADF) test was applied to the log return data.</w:t>
      </w:r>
    </w:p>
    <w:p w14:paraId="48D74342" w14:textId="77777777" w:rsidR="00015C79" w:rsidRPr="00015C79" w:rsidRDefault="00015C79" w:rsidP="00015C79">
      <w:pPr>
        <w:spacing w:before="100" w:beforeAutospacing="1" w:after="100" w:afterAutospacing="1" w:line="240" w:lineRule="auto"/>
        <w:outlineLvl w:val="1"/>
        <w:rPr>
          <w:rFonts w:ascii="Times New Roman" w:eastAsia="Times New Roman" w:hAnsi="Times New Roman" w:cs="Times New Roman"/>
          <w:kern w:val="0"/>
          <w:sz w:val="24"/>
          <w:szCs w:val="24"/>
          <w:lang w:val="en-IN"/>
          <w14:ligatures w14:val="none"/>
        </w:rPr>
      </w:pPr>
      <w:r w:rsidRPr="00015C79">
        <w:rPr>
          <w:rFonts w:ascii="Times New Roman" w:eastAsia="Times New Roman" w:hAnsi="Times New Roman" w:cs="Times New Roman"/>
          <w:kern w:val="0"/>
          <w:sz w:val="24"/>
          <w:szCs w:val="24"/>
          <w:lang w:val="en-IN"/>
          <w14:ligatures w14:val="none"/>
        </w:rPr>
        <w:t>The ADF test results show that the p-value is significantly lower than the typical significance threshold of 0.05. Therefore, the null hypothesis of non-stationarity can be rejected.</w:t>
      </w:r>
    </w:p>
    <w:p w14:paraId="053C0AEE" w14:textId="77777777" w:rsidR="00015C79" w:rsidRPr="00015C79" w:rsidRDefault="00015C79" w:rsidP="00015C79">
      <w:pPr>
        <w:spacing w:before="100" w:beforeAutospacing="1" w:after="100" w:afterAutospacing="1" w:line="240" w:lineRule="auto"/>
        <w:outlineLvl w:val="1"/>
        <w:rPr>
          <w:rFonts w:ascii="Times New Roman" w:eastAsia="Times New Roman" w:hAnsi="Times New Roman" w:cs="Times New Roman"/>
          <w:kern w:val="0"/>
          <w:sz w:val="24"/>
          <w:szCs w:val="24"/>
          <w:lang w:val="en-IN"/>
          <w14:ligatures w14:val="none"/>
        </w:rPr>
      </w:pPr>
      <w:r w:rsidRPr="00015C79">
        <w:rPr>
          <w:rFonts w:ascii="Times New Roman" w:eastAsia="Times New Roman" w:hAnsi="Times New Roman" w:cs="Times New Roman"/>
          <w:kern w:val="0"/>
          <w:sz w:val="24"/>
          <w:szCs w:val="24"/>
          <w:lang w:val="en-IN"/>
          <w14:ligatures w14:val="none"/>
        </w:rPr>
        <w:t>This confirms that the log return series of TCS is stationary, meaning that its statistical properties such as mean and variance remain relatively stable over time.</w:t>
      </w:r>
    </w:p>
    <w:p w14:paraId="6B7BF8AB" w14:textId="77777777" w:rsidR="00015C79" w:rsidRPr="00015C79" w:rsidRDefault="00015C79" w:rsidP="00015C79">
      <w:pPr>
        <w:spacing w:before="100" w:beforeAutospacing="1" w:after="100" w:afterAutospacing="1" w:line="240" w:lineRule="auto"/>
        <w:outlineLvl w:val="1"/>
        <w:rPr>
          <w:rFonts w:ascii="Times New Roman" w:eastAsia="Times New Roman" w:hAnsi="Times New Roman" w:cs="Times New Roman"/>
          <w:kern w:val="0"/>
          <w:sz w:val="24"/>
          <w:szCs w:val="24"/>
          <w:lang w:val="en-IN"/>
          <w14:ligatures w14:val="none"/>
        </w:rPr>
      </w:pPr>
      <w:r w:rsidRPr="00015C79">
        <w:rPr>
          <w:rFonts w:ascii="Times New Roman" w:eastAsia="Times New Roman" w:hAnsi="Times New Roman" w:cs="Times New Roman"/>
          <w:kern w:val="0"/>
          <w:sz w:val="24"/>
          <w:szCs w:val="24"/>
          <w:lang w:val="en-IN"/>
          <w14:ligatures w14:val="none"/>
        </w:rPr>
        <w:lastRenderedPageBreak/>
        <w:t>Because the return series is stationary, it can be effectively used for time-series forecasting models such as ARIMA.</w:t>
      </w:r>
    </w:p>
    <w:p w14:paraId="0DFF9868" w14:textId="77777777" w:rsidR="00015C79" w:rsidRPr="00015C79" w:rsidRDefault="00015C79" w:rsidP="00015C79">
      <w:pPr>
        <w:spacing w:before="100" w:beforeAutospacing="1" w:after="100" w:afterAutospacing="1" w:line="240" w:lineRule="auto"/>
        <w:outlineLvl w:val="1"/>
        <w:rPr>
          <w:rFonts w:ascii="Times New Roman" w:eastAsia="Times New Roman" w:hAnsi="Times New Roman" w:cs="Times New Roman"/>
          <w:kern w:val="0"/>
          <w:sz w:val="24"/>
          <w:szCs w:val="24"/>
          <w:lang w:val="en-IN"/>
          <w14:ligatures w14:val="none"/>
        </w:rPr>
      </w:pPr>
      <w:r w:rsidRPr="00015C79">
        <w:rPr>
          <w:rFonts w:ascii="Times New Roman" w:eastAsia="Times New Roman" w:hAnsi="Times New Roman" w:cs="Times New Roman"/>
          <w:kern w:val="0"/>
          <w:sz w:val="24"/>
          <w:szCs w:val="24"/>
          <w:lang w:val="en-IN"/>
          <w14:ligatures w14:val="none"/>
        </w:rPr>
        <w:t>The ARIMA forecasting results indicate that short-term predicted returns remain close to zero, suggesting that while daily price fluctuations occur, large predictable trends are not expected in the short term.</w:t>
      </w:r>
    </w:p>
    <w:p w14:paraId="552BE0EF" w14:textId="77777777" w:rsidR="00D56AC7" w:rsidRPr="00D56AC7" w:rsidRDefault="00D56AC7" w:rsidP="00D56AC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6AC7">
        <w:rPr>
          <w:rFonts w:ascii="Times New Roman" w:eastAsia="Times New Roman" w:hAnsi="Times New Roman" w:cs="Times New Roman"/>
          <w:b/>
          <w:bCs/>
          <w:kern w:val="0"/>
          <w:sz w:val="36"/>
          <w:szCs w:val="36"/>
          <w14:ligatures w14:val="none"/>
        </w:rPr>
        <w:t>8. Cumulative Performance Analysis</w:t>
      </w:r>
    </w:p>
    <w:p w14:paraId="11D95B54" w14:textId="77777777" w:rsidR="00015C79" w:rsidRPr="00015C79" w:rsidRDefault="00015C79" w:rsidP="00015C79">
      <w:pPr>
        <w:spacing w:before="100" w:beforeAutospacing="1" w:after="100" w:afterAutospacing="1" w:line="240" w:lineRule="auto"/>
        <w:outlineLvl w:val="1"/>
        <w:rPr>
          <w:rFonts w:ascii="Times New Roman" w:eastAsia="Times New Roman" w:hAnsi="Times New Roman" w:cs="Times New Roman"/>
          <w:kern w:val="0"/>
          <w:sz w:val="24"/>
          <w:szCs w:val="24"/>
          <w:lang w:val="en-IN"/>
          <w14:ligatures w14:val="none"/>
        </w:rPr>
      </w:pPr>
      <w:r w:rsidRPr="00015C79">
        <w:rPr>
          <w:rFonts w:ascii="Times New Roman" w:eastAsia="Times New Roman" w:hAnsi="Times New Roman" w:cs="Times New Roman"/>
          <w:kern w:val="0"/>
          <w:sz w:val="24"/>
          <w:szCs w:val="24"/>
          <w:lang w:val="en-IN"/>
          <w14:ligatures w14:val="none"/>
        </w:rPr>
        <w:t>The cumulative return analysis illustrates how an investment in TCS would have grown over time.</w:t>
      </w:r>
    </w:p>
    <w:p w14:paraId="5A916BCC" w14:textId="77777777" w:rsidR="00015C79" w:rsidRPr="00015C79" w:rsidRDefault="00015C79" w:rsidP="00015C79">
      <w:pPr>
        <w:spacing w:before="100" w:beforeAutospacing="1" w:after="100" w:afterAutospacing="1" w:line="240" w:lineRule="auto"/>
        <w:outlineLvl w:val="1"/>
        <w:rPr>
          <w:rFonts w:ascii="Times New Roman" w:eastAsia="Times New Roman" w:hAnsi="Times New Roman" w:cs="Times New Roman"/>
          <w:kern w:val="0"/>
          <w:sz w:val="24"/>
          <w:szCs w:val="24"/>
          <w:lang w:val="en-IN"/>
          <w14:ligatures w14:val="none"/>
        </w:rPr>
      </w:pPr>
      <w:r w:rsidRPr="00015C79">
        <w:rPr>
          <w:rFonts w:ascii="Times New Roman" w:eastAsia="Times New Roman" w:hAnsi="Times New Roman" w:cs="Times New Roman"/>
          <w:kern w:val="0"/>
          <w:sz w:val="24"/>
          <w:szCs w:val="24"/>
          <w:lang w:val="en-IN"/>
          <w14:ligatures w14:val="none"/>
        </w:rPr>
        <w:t>Starting from the beginning of the analysis period, the cumulative return curve demonstrates strong long-term growth, reflecting the consistent appreciation of TCS stock over the years.</w:t>
      </w:r>
    </w:p>
    <w:p w14:paraId="17E1597D" w14:textId="77777777" w:rsidR="00015C79" w:rsidRPr="00015C79" w:rsidRDefault="00015C79" w:rsidP="00015C79">
      <w:pPr>
        <w:spacing w:before="100" w:beforeAutospacing="1" w:after="100" w:afterAutospacing="1" w:line="240" w:lineRule="auto"/>
        <w:outlineLvl w:val="1"/>
        <w:rPr>
          <w:rFonts w:ascii="Times New Roman" w:eastAsia="Times New Roman" w:hAnsi="Times New Roman" w:cs="Times New Roman"/>
          <w:kern w:val="0"/>
          <w:sz w:val="24"/>
          <w:szCs w:val="24"/>
          <w:lang w:val="en-IN"/>
          <w14:ligatures w14:val="none"/>
        </w:rPr>
      </w:pPr>
      <w:r w:rsidRPr="00015C79">
        <w:rPr>
          <w:rFonts w:ascii="Times New Roman" w:eastAsia="Times New Roman" w:hAnsi="Times New Roman" w:cs="Times New Roman"/>
          <w:kern w:val="0"/>
          <w:sz w:val="24"/>
          <w:szCs w:val="24"/>
          <w:lang w:val="en-IN"/>
          <w14:ligatures w14:val="none"/>
        </w:rPr>
        <w:t>Although temporary declines occur during periods of market stress, such as the pandemic-driven crash in 2020, the overall upward trend remains clear.</w:t>
      </w:r>
    </w:p>
    <w:p w14:paraId="3B32C4DC" w14:textId="77777777" w:rsidR="00015C79" w:rsidRPr="00015C79" w:rsidRDefault="00015C79" w:rsidP="00015C79">
      <w:pPr>
        <w:spacing w:before="100" w:beforeAutospacing="1" w:after="100" w:afterAutospacing="1" w:line="240" w:lineRule="auto"/>
        <w:outlineLvl w:val="1"/>
        <w:rPr>
          <w:rFonts w:ascii="Times New Roman" w:eastAsia="Times New Roman" w:hAnsi="Times New Roman" w:cs="Times New Roman"/>
          <w:kern w:val="0"/>
          <w:sz w:val="24"/>
          <w:szCs w:val="24"/>
          <w:lang w:val="en-IN"/>
          <w14:ligatures w14:val="none"/>
        </w:rPr>
      </w:pPr>
      <w:r w:rsidRPr="00015C79">
        <w:rPr>
          <w:rFonts w:ascii="Times New Roman" w:eastAsia="Times New Roman" w:hAnsi="Times New Roman" w:cs="Times New Roman"/>
          <w:kern w:val="0"/>
          <w:sz w:val="24"/>
          <w:szCs w:val="24"/>
          <w:lang w:val="en-IN"/>
          <w14:ligatures w14:val="none"/>
        </w:rPr>
        <w:t>This pattern highlights the importance of maintaining a long-term investment horizon. Investors who held TCS shares throughout the analysis period would have benefited from substantial capital appreciation.</w:t>
      </w:r>
    </w:p>
    <w:p w14:paraId="25B70B75" w14:textId="77777777" w:rsidR="00015C79" w:rsidRPr="00015C79" w:rsidRDefault="00015C79" w:rsidP="00015C79">
      <w:pPr>
        <w:spacing w:before="100" w:beforeAutospacing="1" w:after="100" w:afterAutospacing="1" w:line="240" w:lineRule="auto"/>
        <w:outlineLvl w:val="1"/>
        <w:rPr>
          <w:rFonts w:ascii="Times New Roman" w:eastAsia="Times New Roman" w:hAnsi="Times New Roman" w:cs="Times New Roman"/>
          <w:kern w:val="0"/>
          <w:sz w:val="24"/>
          <w:szCs w:val="24"/>
          <w:lang w:val="en-IN"/>
          <w14:ligatures w14:val="none"/>
        </w:rPr>
      </w:pPr>
      <w:r w:rsidRPr="00015C79">
        <w:rPr>
          <w:rFonts w:ascii="Times New Roman" w:eastAsia="Times New Roman" w:hAnsi="Times New Roman" w:cs="Times New Roman"/>
          <w:kern w:val="0"/>
          <w:sz w:val="24"/>
          <w:szCs w:val="24"/>
          <w:lang w:val="en-IN"/>
          <w14:ligatures w14:val="none"/>
        </w:rPr>
        <w:t>The cumulative return analysis therefore indicates that TCS has delivered strong long-term value for investors.</w:t>
      </w:r>
    </w:p>
    <w:p w14:paraId="2E927706" w14:textId="77777777" w:rsidR="00D56AC7" w:rsidRPr="00D56AC7" w:rsidRDefault="00D56AC7" w:rsidP="00D56AC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6AC7">
        <w:rPr>
          <w:rFonts w:ascii="Times New Roman" w:eastAsia="Times New Roman" w:hAnsi="Times New Roman" w:cs="Times New Roman"/>
          <w:b/>
          <w:bCs/>
          <w:kern w:val="0"/>
          <w:sz w:val="36"/>
          <w:szCs w:val="36"/>
          <w14:ligatures w14:val="none"/>
        </w:rPr>
        <w:t>9. Rolling Risk Metrics</w:t>
      </w:r>
    </w:p>
    <w:p w14:paraId="6A07D85B" w14:textId="77777777" w:rsidR="00015C79" w:rsidRPr="00015C79" w:rsidRDefault="00015C79" w:rsidP="00015C79">
      <w:pPr>
        <w:spacing w:before="100" w:beforeAutospacing="1" w:after="100" w:afterAutospacing="1" w:line="240" w:lineRule="auto"/>
        <w:outlineLvl w:val="1"/>
        <w:rPr>
          <w:rFonts w:ascii="Times New Roman" w:eastAsia="Times New Roman" w:hAnsi="Times New Roman" w:cs="Times New Roman"/>
          <w:kern w:val="0"/>
          <w:sz w:val="24"/>
          <w:szCs w:val="24"/>
          <w:lang w:val="en-IN"/>
          <w14:ligatures w14:val="none"/>
        </w:rPr>
      </w:pPr>
      <w:r w:rsidRPr="00015C79">
        <w:rPr>
          <w:rFonts w:ascii="Times New Roman" w:eastAsia="Times New Roman" w:hAnsi="Times New Roman" w:cs="Times New Roman"/>
          <w:kern w:val="0"/>
          <w:sz w:val="24"/>
          <w:szCs w:val="24"/>
          <w:lang w:val="en-IN"/>
          <w14:ligatures w14:val="none"/>
        </w:rPr>
        <w:t>Rolling volatility and rolling Sharpe ratio analyses provide insight into how the risk and performance characteristics of TCS have evolved over time.</w:t>
      </w:r>
    </w:p>
    <w:p w14:paraId="4A040156" w14:textId="77777777" w:rsidR="00015C79" w:rsidRPr="00015C79" w:rsidRDefault="00015C79" w:rsidP="00015C79">
      <w:pPr>
        <w:spacing w:before="100" w:beforeAutospacing="1" w:after="100" w:afterAutospacing="1" w:line="240" w:lineRule="auto"/>
        <w:outlineLvl w:val="1"/>
        <w:rPr>
          <w:rFonts w:ascii="Times New Roman" w:eastAsia="Times New Roman" w:hAnsi="Times New Roman" w:cs="Times New Roman"/>
          <w:kern w:val="0"/>
          <w:sz w:val="24"/>
          <w:szCs w:val="24"/>
          <w:lang w:val="en-IN"/>
          <w14:ligatures w14:val="none"/>
        </w:rPr>
      </w:pPr>
      <w:r w:rsidRPr="00015C79">
        <w:rPr>
          <w:rFonts w:ascii="Times New Roman" w:eastAsia="Times New Roman" w:hAnsi="Times New Roman" w:cs="Times New Roman"/>
          <w:kern w:val="0"/>
          <w:sz w:val="24"/>
          <w:szCs w:val="24"/>
          <w:lang w:val="en-IN"/>
          <w14:ligatures w14:val="none"/>
        </w:rPr>
        <w:t>Rolling volatility increases significantly during periods of market uncertainty, particularly during the early 2020 market crash. This reflects the increased uncertainty and rapid price movements that occurred during that period.</w:t>
      </w:r>
    </w:p>
    <w:p w14:paraId="16B417C3" w14:textId="77777777" w:rsidR="00015C79" w:rsidRPr="00015C79" w:rsidRDefault="00015C79" w:rsidP="00015C79">
      <w:pPr>
        <w:spacing w:before="100" w:beforeAutospacing="1" w:after="100" w:afterAutospacing="1" w:line="240" w:lineRule="auto"/>
        <w:outlineLvl w:val="1"/>
        <w:rPr>
          <w:rFonts w:ascii="Times New Roman" w:eastAsia="Times New Roman" w:hAnsi="Times New Roman" w:cs="Times New Roman"/>
          <w:kern w:val="0"/>
          <w:sz w:val="24"/>
          <w:szCs w:val="24"/>
          <w:lang w:val="en-IN"/>
          <w14:ligatures w14:val="none"/>
        </w:rPr>
      </w:pPr>
      <w:r w:rsidRPr="00015C79">
        <w:rPr>
          <w:rFonts w:ascii="Times New Roman" w:eastAsia="Times New Roman" w:hAnsi="Times New Roman" w:cs="Times New Roman"/>
          <w:kern w:val="0"/>
          <w:sz w:val="24"/>
          <w:szCs w:val="24"/>
          <w:lang w:val="en-IN"/>
          <w14:ligatures w14:val="none"/>
        </w:rPr>
        <w:t>Following the crisis, volatility gradually declined and stabilized as market conditions improved.</w:t>
      </w:r>
    </w:p>
    <w:p w14:paraId="16004D50" w14:textId="77777777" w:rsidR="00015C79" w:rsidRPr="00015C79" w:rsidRDefault="00015C79" w:rsidP="00015C79">
      <w:pPr>
        <w:spacing w:before="100" w:beforeAutospacing="1" w:after="100" w:afterAutospacing="1" w:line="240" w:lineRule="auto"/>
        <w:outlineLvl w:val="1"/>
        <w:rPr>
          <w:rFonts w:ascii="Times New Roman" w:eastAsia="Times New Roman" w:hAnsi="Times New Roman" w:cs="Times New Roman"/>
          <w:kern w:val="0"/>
          <w:sz w:val="24"/>
          <w:szCs w:val="24"/>
          <w:lang w:val="en-IN"/>
          <w14:ligatures w14:val="none"/>
        </w:rPr>
      </w:pPr>
      <w:r w:rsidRPr="00015C79">
        <w:rPr>
          <w:rFonts w:ascii="Times New Roman" w:eastAsia="Times New Roman" w:hAnsi="Times New Roman" w:cs="Times New Roman"/>
          <w:kern w:val="0"/>
          <w:sz w:val="24"/>
          <w:szCs w:val="24"/>
          <w:lang w:val="en-IN"/>
          <w14:ligatures w14:val="none"/>
        </w:rPr>
        <w:t>Similarly, the rolling Sharpe ratio fluctuates across different market phases. During strong performance periods, the Sharpe ratio increases, indicating improved risk-adjusted returns. During market downturns, the ratio may temporarily decline or become negative.</w:t>
      </w:r>
    </w:p>
    <w:p w14:paraId="24A2B5C1" w14:textId="77777777" w:rsidR="00015C79" w:rsidRDefault="00015C79" w:rsidP="00015C79">
      <w:pPr>
        <w:spacing w:before="100" w:beforeAutospacing="1" w:after="100" w:afterAutospacing="1" w:line="240" w:lineRule="auto"/>
        <w:outlineLvl w:val="1"/>
        <w:rPr>
          <w:rFonts w:ascii="Times New Roman" w:eastAsia="Times New Roman" w:hAnsi="Times New Roman" w:cs="Times New Roman"/>
          <w:kern w:val="0"/>
          <w:sz w:val="24"/>
          <w:szCs w:val="24"/>
          <w:lang w:val="en-IN"/>
          <w14:ligatures w14:val="none"/>
        </w:rPr>
      </w:pPr>
      <w:r w:rsidRPr="00015C79">
        <w:rPr>
          <w:rFonts w:ascii="Times New Roman" w:eastAsia="Times New Roman" w:hAnsi="Times New Roman" w:cs="Times New Roman"/>
          <w:kern w:val="0"/>
          <w:sz w:val="24"/>
          <w:szCs w:val="24"/>
          <w:lang w:val="en-IN"/>
          <w14:ligatures w14:val="none"/>
        </w:rPr>
        <w:t>These rolling metrics highlight that TCS’s risk-adjusted performance varies across market cycles but remains relatively strong over the long term.</w:t>
      </w:r>
    </w:p>
    <w:p w14:paraId="6E2E71DF" w14:textId="77777777" w:rsidR="00015C79" w:rsidRPr="00015C79" w:rsidRDefault="00015C79" w:rsidP="00015C79">
      <w:pPr>
        <w:spacing w:before="100" w:beforeAutospacing="1" w:after="100" w:afterAutospacing="1" w:line="240" w:lineRule="auto"/>
        <w:outlineLvl w:val="1"/>
        <w:rPr>
          <w:rFonts w:ascii="Times New Roman" w:eastAsia="Times New Roman" w:hAnsi="Times New Roman" w:cs="Times New Roman"/>
          <w:kern w:val="0"/>
          <w:sz w:val="24"/>
          <w:szCs w:val="24"/>
          <w:lang w:val="en-IN"/>
          <w14:ligatures w14:val="none"/>
        </w:rPr>
      </w:pPr>
    </w:p>
    <w:p w14:paraId="4BE6CF84" w14:textId="77777777" w:rsidR="00D56AC7" w:rsidRPr="00D56AC7" w:rsidRDefault="00D56AC7" w:rsidP="00D56AC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6AC7">
        <w:rPr>
          <w:rFonts w:ascii="Times New Roman" w:eastAsia="Times New Roman" w:hAnsi="Times New Roman" w:cs="Times New Roman"/>
          <w:b/>
          <w:bCs/>
          <w:kern w:val="0"/>
          <w:sz w:val="36"/>
          <w:szCs w:val="36"/>
          <w14:ligatures w14:val="none"/>
        </w:rPr>
        <w:lastRenderedPageBreak/>
        <w:t>10. Overall Investment Insight</w:t>
      </w:r>
    </w:p>
    <w:p w14:paraId="78236135" w14:textId="77777777" w:rsidR="00015C79" w:rsidRPr="00015C79" w:rsidRDefault="00015C79" w:rsidP="00015C79">
      <w:pPr>
        <w:spacing w:before="100" w:beforeAutospacing="1" w:after="100" w:afterAutospacing="1" w:line="240" w:lineRule="auto"/>
        <w:outlineLvl w:val="0"/>
        <w:rPr>
          <w:rFonts w:ascii="Times New Roman" w:eastAsia="Times New Roman" w:hAnsi="Times New Roman" w:cs="Times New Roman"/>
          <w:kern w:val="0"/>
          <w:sz w:val="24"/>
          <w:szCs w:val="24"/>
          <w:lang w:val="en-IN"/>
          <w14:ligatures w14:val="none"/>
        </w:rPr>
      </w:pPr>
      <w:r w:rsidRPr="00015C79">
        <w:rPr>
          <w:rFonts w:ascii="Times New Roman" w:eastAsia="Times New Roman" w:hAnsi="Times New Roman" w:cs="Times New Roman"/>
          <w:kern w:val="0"/>
          <w:sz w:val="24"/>
          <w:szCs w:val="24"/>
          <w:lang w:val="en-IN"/>
          <w14:ligatures w14:val="none"/>
        </w:rPr>
        <w:t>The overall analysis suggests that Tata Consultancy Services (TCS) represents a strong large-cap technology company with substantial long-term growth potential.</w:t>
      </w:r>
    </w:p>
    <w:p w14:paraId="00551C2E" w14:textId="77777777" w:rsidR="00015C79" w:rsidRPr="00015C79" w:rsidRDefault="00015C79" w:rsidP="00015C79">
      <w:pPr>
        <w:spacing w:before="100" w:beforeAutospacing="1" w:after="100" w:afterAutospacing="1" w:line="240" w:lineRule="auto"/>
        <w:outlineLvl w:val="0"/>
        <w:rPr>
          <w:rFonts w:ascii="Times New Roman" w:eastAsia="Times New Roman" w:hAnsi="Times New Roman" w:cs="Times New Roman"/>
          <w:kern w:val="0"/>
          <w:sz w:val="24"/>
          <w:szCs w:val="24"/>
          <w:lang w:val="en-IN"/>
          <w14:ligatures w14:val="none"/>
        </w:rPr>
      </w:pPr>
      <w:r w:rsidRPr="00015C79">
        <w:rPr>
          <w:rFonts w:ascii="Times New Roman" w:eastAsia="Times New Roman" w:hAnsi="Times New Roman" w:cs="Times New Roman"/>
          <w:kern w:val="0"/>
          <w:sz w:val="24"/>
          <w:szCs w:val="24"/>
          <w:lang w:val="en-IN"/>
          <w14:ligatures w14:val="none"/>
        </w:rPr>
        <w:t>The stock demonstrates consistent price appreciation supported by strong global demand for IT services and digital transformation solutions.</w:t>
      </w:r>
    </w:p>
    <w:p w14:paraId="5C26AFCE" w14:textId="77777777" w:rsidR="00015C79" w:rsidRPr="00015C79" w:rsidRDefault="00015C79" w:rsidP="00015C79">
      <w:pPr>
        <w:spacing w:before="100" w:beforeAutospacing="1" w:after="100" w:afterAutospacing="1" w:line="240" w:lineRule="auto"/>
        <w:outlineLvl w:val="0"/>
        <w:rPr>
          <w:rFonts w:ascii="Times New Roman" w:eastAsia="Times New Roman" w:hAnsi="Times New Roman" w:cs="Times New Roman"/>
          <w:kern w:val="0"/>
          <w:sz w:val="24"/>
          <w:szCs w:val="24"/>
          <w:lang w:val="en-IN"/>
          <w14:ligatures w14:val="none"/>
        </w:rPr>
      </w:pPr>
      <w:r w:rsidRPr="00015C79">
        <w:rPr>
          <w:rFonts w:ascii="Times New Roman" w:eastAsia="Times New Roman" w:hAnsi="Times New Roman" w:cs="Times New Roman"/>
          <w:kern w:val="0"/>
          <w:sz w:val="24"/>
          <w:szCs w:val="24"/>
          <w:lang w:val="en-IN"/>
          <w14:ligatures w14:val="none"/>
        </w:rPr>
        <w:t>While temporary volatility occurs during major market disruptions, the company has historically demonstrated resilience and strong recovery after downturns.</w:t>
      </w:r>
    </w:p>
    <w:p w14:paraId="53335A49" w14:textId="77777777" w:rsidR="00015C79" w:rsidRPr="00015C79" w:rsidRDefault="00015C79" w:rsidP="00015C79">
      <w:pPr>
        <w:spacing w:before="100" w:beforeAutospacing="1" w:after="100" w:afterAutospacing="1" w:line="240" w:lineRule="auto"/>
        <w:outlineLvl w:val="0"/>
        <w:rPr>
          <w:rFonts w:ascii="Times New Roman" w:eastAsia="Times New Roman" w:hAnsi="Times New Roman" w:cs="Times New Roman"/>
          <w:kern w:val="0"/>
          <w:sz w:val="24"/>
          <w:szCs w:val="24"/>
          <w:lang w:val="en-IN"/>
          <w14:ligatures w14:val="none"/>
        </w:rPr>
      </w:pPr>
      <w:r w:rsidRPr="00015C79">
        <w:rPr>
          <w:rFonts w:ascii="Times New Roman" w:eastAsia="Times New Roman" w:hAnsi="Times New Roman" w:cs="Times New Roman"/>
          <w:kern w:val="0"/>
          <w:sz w:val="24"/>
          <w:szCs w:val="24"/>
          <w:lang w:val="en-IN"/>
          <w14:ligatures w14:val="none"/>
        </w:rPr>
        <w:t>The combination of positive cumulative returns, manageable volatility, and stable risk-adjusted performance suggests that TCS may be considered an attractive option for investors seeking long-term growth within the technology sector.</w:t>
      </w:r>
    </w:p>
    <w:p w14:paraId="60D7408E" w14:textId="0EF13CEE" w:rsidR="00015C79" w:rsidRPr="00015C79" w:rsidRDefault="00015C79" w:rsidP="00015C79">
      <w:pPr>
        <w:spacing w:before="100" w:beforeAutospacing="1" w:after="100" w:afterAutospacing="1" w:line="240" w:lineRule="auto"/>
        <w:outlineLvl w:val="0"/>
        <w:rPr>
          <w:rFonts w:ascii="Times New Roman" w:eastAsia="Times New Roman" w:hAnsi="Times New Roman" w:cs="Times New Roman"/>
          <w:kern w:val="0"/>
          <w:sz w:val="24"/>
          <w:szCs w:val="24"/>
          <w:lang w:val="en-IN"/>
          <w14:ligatures w14:val="none"/>
        </w:rPr>
      </w:pPr>
      <w:r w:rsidRPr="00015C79">
        <w:rPr>
          <w:rFonts w:ascii="Times New Roman" w:eastAsia="Times New Roman" w:hAnsi="Times New Roman" w:cs="Times New Roman"/>
          <w:kern w:val="0"/>
          <w:sz w:val="24"/>
          <w:szCs w:val="24"/>
          <w:lang w:val="en-IN"/>
          <w14:ligatures w14:val="none"/>
        </w:rPr>
        <w:t>Overall, TCS represents a well-established technology leader capable of generating sustainable long-term value for investors.</w:t>
      </w:r>
    </w:p>
    <w:p w14:paraId="60B8E6F6" w14:textId="77777777" w:rsidR="00D56AC7" w:rsidRPr="00D56AC7" w:rsidRDefault="00D56AC7" w:rsidP="00D56AC7">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D56AC7">
        <w:rPr>
          <w:rFonts w:ascii="Times New Roman" w:eastAsia="Times New Roman" w:hAnsi="Times New Roman" w:cs="Times New Roman"/>
          <w:b/>
          <w:bCs/>
          <w:kern w:val="36"/>
          <w:sz w:val="36"/>
          <w:szCs w:val="36"/>
          <w14:ligatures w14:val="none"/>
        </w:rPr>
        <w:t>11. Rolling Volatility Analysis</w:t>
      </w:r>
    </w:p>
    <w:p w14:paraId="6C7C7EB5" w14:textId="77777777" w:rsidR="00015C79" w:rsidRPr="00015C79" w:rsidRDefault="00015C79" w:rsidP="00015C79">
      <w:pPr>
        <w:spacing w:before="100" w:beforeAutospacing="1" w:after="100" w:afterAutospacing="1" w:line="240" w:lineRule="auto"/>
        <w:outlineLvl w:val="0"/>
        <w:rPr>
          <w:rFonts w:ascii="Times New Roman" w:eastAsia="Times New Roman" w:hAnsi="Times New Roman" w:cs="Times New Roman"/>
          <w:kern w:val="0"/>
          <w:sz w:val="24"/>
          <w:szCs w:val="24"/>
          <w:lang w:val="en-IN"/>
          <w14:ligatures w14:val="none"/>
        </w:rPr>
      </w:pPr>
      <w:r w:rsidRPr="00015C79">
        <w:rPr>
          <w:rFonts w:ascii="Times New Roman" w:eastAsia="Times New Roman" w:hAnsi="Times New Roman" w:cs="Times New Roman"/>
          <w:kern w:val="0"/>
          <w:sz w:val="24"/>
          <w:szCs w:val="24"/>
          <w:lang w:val="en-IN"/>
          <w14:ligatures w14:val="none"/>
        </w:rPr>
        <w:t>The rolling volatility analysis provides insight into how the risk profile of Tata Consultancy Services (TCS) evolved over time. The 6-month rolling volatility plot indicates that volatility is not constant but fluctuates depending on market conditions, technological sector developments, and broader economic events.</w:t>
      </w:r>
    </w:p>
    <w:p w14:paraId="7F15D7B7" w14:textId="77777777" w:rsidR="00015C79" w:rsidRPr="00015C79" w:rsidRDefault="00015C79" w:rsidP="00015C79">
      <w:pPr>
        <w:spacing w:before="100" w:beforeAutospacing="1" w:after="100" w:afterAutospacing="1" w:line="240" w:lineRule="auto"/>
        <w:outlineLvl w:val="0"/>
        <w:rPr>
          <w:rFonts w:ascii="Times New Roman" w:eastAsia="Times New Roman" w:hAnsi="Times New Roman" w:cs="Times New Roman"/>
          <w:kern w:val="0"/>
          <w:sz w:val="24"/>
          <w:szCs w:val="24"/>
          <w:lang w:val="en-IN"/>
          <w14:ligatures w14:val="none"/>
        </w:rPr>
      </w:pPr>
      <w:r w:rsidRPr="00015C79">
        <w:rPr>
          <w:rFonts w:ascii="Times New Roman" w:eastAsia="Times New Roman" w:hAnsi="Times New Roman" w:cs="Times New Roman"/>
          <w:kern w:val="0"/>
          <w:sz w:val="24"/>
          <w:szCs w:val="24"/>
          <w:lang w:val="en-IN"/>
          <w14:ligatures w14:val="none"/>
        </w:rPr>
        <w:t>A noticeable increase in volatility can be observed during the early 2020 period, when global financial markets experienced extreme uncertainty due to the COVID-19 pandemic. During this time, many companies across various sectors faced significant price fluctuations, including technology companies such as TCS. The sudden transition to remote work environments and uncertainty in global economic activity initially caused instability in stock markets.</w:t>
      </w:r>
    </w:p>
    <w:p w14:paraId="04019254" w14:textId="77777777" w:rsidR="00015C79" w:rsidRPr="00015C79" w:rsidRDefault="00015C79" w:rsidP="00015C79">
      <w:pPr>
        <w:spacing w:before="100" w:beforeAutospacing="1" w:after="100" w:afterAutospacing="1" w:line="240" w:lineRule="auto"/>
        <w:outlineLvl w:val="0"/>
        <w:rPr>
          <w:rFonts w:ascii="Times New Roman" w:eastAsia="Times New Roman" w:hAnsi="Times New Roman" w:cs="Times New Roman"/>
          <w:kern w:val="0"/>
          <w:sz w:val="24"/>
          <w:szCs w:val="24"/>
          <w:lang w:val="en-IN"/>
          <w14:ligatures w14:val="none"/>
        </w:rPr>
      </w:pPr>
      <w:r w:rsidRPr="00015C79">
        <w:rPr>
          <w:rFonts w:ascii="Times New Roman" w:eastAsia="Times New Roman" w:hAnsi="Times New Roman" w:cs="Times New Roman"/>
          <w:kern w:val="0"/>
          <w:sz w:val="24"/>
          <w:szCs w:val="24"/>
          <w:lang w:val="en-IN"/>
          <w14:ligatures w14:val="none"/>
        </w:rPr>
        <w:t>However, as the pandemic progressed, demand for digital services, cloud computing, and IT infrastructure increased significantly. This contributed to the recovery of technology stocks, including TCS, which benefited from increased digital transformation initiatives across industries.</w:t>
      </w:r>
    </w:p>
    <w:p w14:paraId="4B5743F5" w14:textId="77777777" w:rsidR="00015C79" w:rsidRPr="00015C79" w:rsidRDefault="00015C79" w:rsidP="00015C79">
      <w:pPr>
        <w:spacing w:before="100" w:beforeAutospacing="1" w:after="100" w:afterAutospacing="1" w:line="240" w:lineRule="auto"/>
        <w:outlineLvl w:val="0"/>
        <w:rPr>
          <w:rFonts w:ascii="Times New Roman" w:eastAsia="Times New Roman" w:hAnsi="Times New Roman" w:cs="Times New Roman"/>
          <w:kern w:val="0"/>
          <w:sz w:val="24"/>
          <w:szCs w:val="24"/>
          <w:lang w:val="en-IN"/>
          <w14:ligatures w14:val="none"/>
        </w:rPr>
      </w:pPr>
      <w:r w:rsidRPr="00015C79">
        <w:rPr>
          <w:rFonts w:ascii="Times New Roman" w:eastAsia="Times New Roman" w:hAnsi="Times New Roman" w:cs="Times New Roman"/>
          <w:kern w:val="0"/>
          <w:sz w:val="24"/>
          <w:szCs w:val="24"/>
          <w:lang w:val="en-IN"/>
          <w14:ligatures w14:val="none"/>
        </w:rPr>
        <w:t>Following this period of elevated volatility, the stock gradually returned to more stable volatility levels. The rolling volatility stabilizes around its historical average as market conditions normalize and technology sector growth stabilizes.</w:t>
      </w:r>
    </w:p>
    <w:p w14:paraId="6DD6E49E" w14:textId="77777777" w:rsidR="00015C79" w:rsidRPr="00015C79" w:rsidRDefault="00015C79" w:rsidP="00015C79">
      <w:pPr>
        <w:spacing w:before="100" w:beforeAutospacing="1" w:after="100" w:afterAutospacing="1" w:line="240" w:lineRule="auto"/>
        <w:outlineLvl w:val="0"/>
        <w:rPr>
          <w:rFonts w:ascii="Times New Roman" w:eastAsia="Times New Roman" w:hAnsi="Times New Roman" w:cs="Times New Roman"/>
          <w:kern w:val="0"/>
          <w:sz w:val="24"/>
          <w:szCs w:val="24"/>
          <w:lang w:val="en-IN"/>
          <w14:ligatures w14:val="none"/>
        </w:rPr>
      </w:pPr>
      <w:r w:rsidRPr="00015C79">
        <w:rPr>
          <w:rFonts w:ascii="Times New Roman" w:eastAsia="Times New Roman" w:hAnsi="Times New Roman" w:cs="Times New Roman"/>
          <w:kern w:val="0"/>
          <w:sz w:val="24"/>
          <w:szCs w:val="24"/>
          <w:lang w:val="en-IN"/>
          <w14:ligatures w14:val="none"/>
        </w:rPr>
        <w:t>The 30-day rolling volatility further highlights short-term fluctuations in risk. During periods of market uncertainty, short-term volatility increases due to rapid changes in investor sentiment and global economic conditions. However, these spikes in volatility tend to be temporary and are followed by periods of relative stability.</w:t>
      </w:r>
    </w:p>
    <w:p w14:paraId="680D80B3" w14:textId="77777777" w:rsidR="00015C79" w:rsidRPr="00015C79" w:rsidRDefault="00015C79" w:rsidP="00015C79">
      <w:pPr>
        <w:spacing w:before="100" w:beforeAutospacing="1" w:after="100" w:afterAutospacing="1" w:line="240" w:lineRule="auto"/>
        <w:outlineLvl w:val="0"/>
        <w:rPr>
          <w:rFonts w:ascii="Times New Roman" w:eastAsia="Times New Roman" w:hAnsi="Times New Roman" w:cs="Times New Roman"/>
          <w:kern w:val="0"/>
          <w:sz w:val="24"/>
          <w:szCs w:val="24"/>
          <w:lang w:val="en-IN"/>
          <w14:ligatures w14:val="none"/>
        </w:rPr>
      </w:pPr>
      <w:r w:rsidRPr="00015C79">
        <w:rPr>
          <w:rFonts w:ascii="Times New Roman" w:eastAsia="Times New Roman" w:hAnsi="Times New Roman" w:cs="Times New Roman"/>
          <w:kern w:val="0"/>
          <w:sz w:val="24"/>
          <w:szCs w:val="24"/>
          <w:lang w:val="en-IN"/>
          <w14:ligatures w14:val="none"/>
        </w:rPr>
        <w:lastRenderedPageBreak/>
        <w:t>Overall, the rolling volatility analysis suggests that TCS may experience temporary increases in risk during periods of global market stress, but it generally maintains a relatively stable risk profile over the long term.</w:t>
      </w:r>
    </w:p>
    <w:p w14:paraId="2EE33E65" w14:textId="77777777" w:rsidR="00D56AC7" w:rsidRPr="00D56AC7" w:rsidRDefault="00D56AC7" w:rsidP="00D56AC7">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D56AC7">
        <w:rPr>
          <w:rFonts w:ascii="Times New Roman" w:eastAsia="Times New Roman" w:hAnsi="Times New Roman" w:cs="Times New Roman"/>
          <w:b/>
          <w:bCs/>
          <w:kern w:val="36"/>
          <w:sz w:val="36"/>
          <w:szCs w:val="36"/>
          <w14:ligatures w14:val="none"/>
        </w:rPr>
        <w:t>12. Rolling Sharpe Ratio Analysis</w:t>
      </w:r>
    </w:p>
    <w:p w14:paraId="790AC884" w14:textId="77777777" w:rsidR="00015C79" w:rsidRPr="00015C79" w:rsidRDefault="00015C79" w:rsidP="00015C79">
      <w:pPr>
        <w:spacing w:before="100" w:beforeAutospacing="1" w:after="100" w:afterAutospacing="1" w:line="240" w:lineRule="auto"/>
        <w:outlineLvl w:val="0"/>
        <w:rPr>
          <w:rFonts w:ascii="Times New Roman" w:eastAsia="Times New Roman" w:hAnsi="Times New Roman" w:cs="Times New Roman"/>
          <w:kern w:val="0"/>
          <w:sz w:val="24"/>
          <w:szCs w:val="24"/>
          <w:lang w:val="en-IN"/>
          <w14:ligatures w14:val="none"/>
        </w:rPr>
      </w:pPr>
      <w:r w:rsidRPr="00015C79">
        <w:rPr>
          <w:rFonts w:ascii="Times New Roman" w:eastAsia="Times New Roman" w:hAnsi="Times New Roman" w:cs="Times New Roman"/>
          <w:kern w:val="0"/>
          <w:sz w:val="24"/>
          <w:szCs w:val="24"/>
          <w:lang w:val="en-IN"/>
          <w14:ligatures w14:val="none"/>
        </w:rPr>
        <w:t>The rolling Sharpe ratio provides insight into how the risk-adjusted performance of TCS changes over time.</w:t>
      </w:r>
    </w:p>
    <w:p w14:paraId="2DBB5901" w14:textId="77777777" w:rsidR="00015C79" w:rsidRPr="00015C79" w:rsidRDefault="00015C79" w:rsidP="00015C79">
      <w:pPr>
        <w:spacing w:before="100" w:beforeAutospacing="1" w:after="100" w:afterAutospacing="1" w:line="240" w:lineRule="auto"/>
        <w:outlineLvl w:val="0"/>
        <w:rPr>
          <w:rFonts w:ascii="Times New Roman" w:eastAsia="Times New Roman" w:hAnsi="Times New Roman" w:cs="Times New Roman"/>
          <w:kern w:val="0"/>
          <w:sz w:val="24"/>
          <w:szCs w:val="24"/>
          <w:lang w:val="en-IN"/>
          <w14:ligatures w14:val="none"/>
        </w:rPr>
      </w:pPr>
      <w:r w:rsidRPr="00015C79">
        <w:rPr>
          <w:rFonts w:ascii="Times New Roman" w:eastAsia="Times New Roman" w:hAnsi="Times New Roman" w:cs="Times New Roman"/>
          <w:kern w:val="0"/>
          <w:sz w:val="24"/>
          <w:szCs w:val="24"/>
          <w:lang w:val="en-IN"/>
          <w14:ligatures w14:val="none"/>
        </w:rPr>
        <w:t>The analysis shows that the Sharpe ratio fluctuates across different market phases. During periods of strong stock performance and favorable market conditions, the Sharpe ratio increases significantly. This indicates that the stock generates higher returns relative to the level of risk taken by investors.</w:t>
      </w:r>
    </w:p>
    <w:p w14:paraId="07524852" w14:textId="77777777" w:rsidR="00015C79" w:rsidRPr="00015C79" w:rsidRDefault="00015C79" w:rsidP="00015C79">
      <w:pPr>
        <w:spacing w:before="100" w:beforeAutospacing="1" w:after="100" w:afterAutospacing="1" w:line="240" w:lineRule="auto"/>
        <w:outlineLvl w:val="0"/>
        <w:rPr>
          <w:rFonts w:ascii="Times New Roman" w:eastAsia="Times New Roman" w:hAnsi="Times New Roman" w:cs="Times New Roman"/>
          <w:kern w:val="0"/>
          <w:sz w:val="24"/>
          <w:szCs w:val="24"/>
          <w:lang w:val="en-IN"/>
          <w14:ligatures w14:val="none"/>
        </w:rPr>
      </w:pPr>
      <w:r w:rsidRPr="00015C79">
        <w:rPr>
          <w:rFonts w:ascii="Times New Roman" w:eastAsia="Times New Roman" w:hAnsi="Times New Roman" w:cs="Times New Roman"/>
          <w:kern w:val="0"/>
          <w:sz w:val="24"/>
          <w:szCs w:val="24"/>
          <w:lang w:val="en-IN"/>
          <w14:ligatures w14:val="none"/>
        </w:rPr>
        <w:t>Conversely, during periods of market instability or temporary declines in stock prices, the Sharpe ratio may become lower or even negative. In such cases, the returns generated during those periods may not sufficiently compensate investors for the level of volatility experienced.</w:t>
      </w:r>
    </w:p>
    <w:p w14:paraId="7AAD13CE" w14:textId="77777777" w:rsidR="00015C79" w:rsidRPr="00015C79" w:rsidRDefault="00015C79" w:rsidP="00015C79">
      <w:pPr>
        <w:spacing w:before="100" w:beforeAutospacing="1" w:after="100" w:afterAutospacing="1" w:line="240" w:lineRule="auto"/>
        <w:outlineLvl w:val="0"/>
        <w:rPr>
          <w:rFonts w:ascii="Times New Roman" w:eastAsia="Times New Roman" w:hAnsi="Times New Roman" w:cs="Times New Roman"/>
          <w:kern w:val="0"/>
          <w:sz w:val="24"/>
          <w:szCs w:val="24"/>
          <w:lang w:val="en-IN"/>
          <w14:ligatures w14:val="none"/>
        </w:rPr>
      </w:pPr>
      <w:r w:rsidRPr="00015C79">
        <w:rPr>
          <w:rFonts w:ascii="Times New Roman" w:eastAsia="Times New Roman" w:hAnsi="Times New Roman" w:cs="Times New Roman"/>
          <w:kern w:val="0"/>
          <w:sz w:val="24"/>
          <w:szCs w:val="24"/>
          <w:lang w:val="en-IN"/>
          <w14:ligatures w14:val="none"/>
        </w:rPr>
        <w:t>The dashed horizontal line representing the long-term average Sharpe ratio suggests that, despite short-term fluctuations, TCS has maintained positive risk-adjusted returns over the long term.</w:t>
      </w:r>
    </w:p>
    <w:p w14:paraId="5CDDB182" w14:textId="77777777" w:rsidR="00015C79" w:rsidRPr="00015C79" w:rsidRDefault="00015C79" w:rsidP="00015C79">
      <w:pPr>
        <w:spacing w:before="100" w:beforeAutospacing="1" w:after="100" w:afterAutospacing="1" w:line="240" w:lineRule="auto"/>
        <w:outlineLvl w:val="0"/>
        <w:rPr>
          <w:rFonts w:ascii="Times New Roman" w:eastAsia="Times New Roman" w:hAnsi="Times New Roman" w:cs="Times New Roman"/>
          <w:kern w:val="0"/>
          <w:sz w:val="24"/>
          <w:szCs w:val="24"/>
          <w:lang w:val="en-IN"/>
          <w14:ligatures w14:val="none"/>
        </w:rPr>
      </w:pPr>
      <w:r w:rsidRPr="00015C79">
        <w:rPr>
          <w:rFonts w:ascii="Times New Roman" w:eastAsia="Times New Roman" w:hAnsi="Times New Roman" w:cs="Times New Roman"/>
          <w:kern w:val="0"/>
          <w:sz w:val="24"/>
          <w:szCs w:val="24"/>
          <w:lang w:val="en-IN"/>
          <w14:ligatures w14:val="none"/>
        </w:rPr>
        <w:t>This analysis highlights that the stock’s performance is influenced by broader economic and market conditions, as well as technological sector developments. However, over the full analysis period, TCS demonstrates consistent risk-adjusted performance, which is characteristic of well-established large-cap technology companies.</w:t>
      </w:r>
    </w:p>
    <w:p w14:paraId="6C471946" w14:textId="77777777" w:rsidR="00D56AC7" w:rsidRPr="00D56AC7" w:rsidRDefault="00D56AC7" w:rsidP="00D56AC7">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D56AC7">
        <w:rPr>
          <w:rFonts w:ascii="Times New Roman" w:eastAsia="Times New Roman" w:hAnsi="Times New Roman" w:cs="Times New Roman"/>
          <w:b/>
          <w:bCs/>
          <w:kern w:val="36"/>
          <w:sz w:val="36"/>
          <w:szCs w:val="36"/>
          <w14:ligatures w14:val="none"/>
        </w:rPr>
        <w:t>13. Drawdown Analysis</w:t>
      </w:r>
    </w:p>
    <w:p w14:paraId="13609313" w14:textId="77777777" w:rsidR="00015C79" w:rsidRPr="00015C79" w:rsidRDefault="00015C79" w:rsidP="00015C79">
      <w:pPr>
        <w:spacing w:before="100" w:beforeAutospacing="1" w:after="100" w:afterAutospacing="1" w:line="240" w:lineRule="auto"/>
        <w:outlineLvl w:val="0"/>
        <w:rPr>
          <w:rFonts w:ascii="Times New Roman" w:eastAsia="Times New Roman" w:hAnsi="Times New Roman" w:cs="Times New Roman"/>
          <w:kern w:val="0"/>
          <w:sz w:val="24"/>
          <w:szCs w:val="24"/>
          <w:lang w:val="en-IN"/>
          <w14:ligatures w14:val="none"/>
        </w:rPr>
      </w:pPr>
      <w:r w:rsidRPr="00015C79">
        <w:rPr>
          <w:rFonts w:ascii="Times New Roman" w:eastAsia="Times New Roman" w:hAnsi="Times New Roman" w:cs="Times New Roman"/>
          <w:kern w:val="0"/>
          <w:sz w:val="24"/>
          <w:szCs w:val="24"/>
          <w:lang w:val="en-IN"/>
          <w14:ligatures w14:val="none"/>
        </w:rPr>
        <w:t>Drawdown analysis helps identify the magnitude and duration of losses experienced by investors during unfavorable market conditions.</w:t>
      </w:r>
    </w:p>
    <w:p w14:paraId="7AF70A27" w14:textId="77777777" w:rsidR="00015C79" w:rsidRPr="00015C79" w:rsidRDefault="00015C79" w:rsidP="00015C79">
      <w:pPr>
        <w:spacing w:before="100" w:beforeAutospacing="1" w:after="100" w:afterAutospacing="1" w:line="240" w:lineRule="auto"/>
        <w:outlineLvl w:val="0"/>
        <w:rPr>
          <w:rFonts w:ascii="Times New Roman" w:eastAsia="Times New Roman" w:hAnsi="Times New Roman" w:cs="Times New Roman"/>
          <w:kern w:val="0"/>
          <w:sz w:val="24"/>
          <w:szCs w:val="24"/>
          <w:lang w:val="en-IN"/>
          <w14:ligatures w14:val="none"/>
        </w:rPr>
      </w:pPr>
      <w:r w:rsidRPr="00015C79">
        <w:rPr>
          <w:rFonts w:ascii="Times New Roman" w:eastAsia="Times New Roman" w:hAnsi="Times New Roman" w:cs="Times New Roman"/>
          <w:kern w:val="0"/>
          <w:sz w:val="24"/>
          <w:szCs w:val="24"/>
          <w:lang w:val="en-IN"/>
          <w14:ligatures w14:val="none"/>
        </w:rPr>
        <w:t>The maximum drawdown plot reveals several periods where the stock experienced declines from its previous peak values. The most significant drawdown occurred during the global market crash in early 2020 when financial markets experienced extreme volatility due to the COVID-19 pandemic.</w:t>
      </w:r>
    </w:p>
    <w:p w14:paraId="724D7A98" w14:textId="77777777" w:rsidR="00015C79" w:rsidRPr="00015C79" w:rsidRDefault="00015C79" w:rsidP="00015C79">
      <w:pPr>
        <w:spacing w:before="100" w:beforeAutospacing="1" w:after="100" w:afterAutospacing="1" w:line="240" w:lineRule="auto"/>
        <w:outlineLvl w:val="0"/>
        <w:rPr>
          <w:rFonts w:ascii="Times New Roman" w:eastAsia="Times New Roman" w:hAnsi="Times New Roman" w:cs="Times New Roman"/>
          <w:kern w:val="0"/>
          <w:sz w:val="24"/>
          <w:szCs w:val="24"/>
          <w:lang w:val="en-IN"/>
          <w14:ligatures w14:val="none"/>
        </w:rPr>
      </w:pPr>
      <w:r w:rsidRPr="00015C79">
        <w:rPr>
          <w:rFonts w:ascii="Times New Roman" w:eastAsia="Times New Roman" w:hAnsi="Times New Roman" w:cs="Times New Roman"/>
          <w:kern w:val="0"/>
          <w:sz w:val="24"/>
          <w:szCs w:val="24"/>
          <w:lang w:val="en-IN"/>
          <w14:ligatures w14:val="none"/>
        </w:rPr>
        <w:t>During this period, the stock experienced a notable decline before eventually recovering as market conditions stabilized and demand for IT services increased. The rapid digital transformation across industries contributed to the strong recovery of technology companies such as TCS.</w:t>
      </w:r>
    </w:p>
    <w:p w14:paraId="2164FFF3" w14:textId="77777777" w:rsidR="00015C79" w:rsidRPr="00015C79" w:rsidRDefault="00015C79" w:rsidP="00015C79">
      <w:pPr>
        <w:spacing w:before="100" w:beforeAutospacing="1" w:after="100" w:afterAutospacing="1" w:line="240" w:lineRule="auto"/>
        <w:outlineLvl w:val="0"/>
        <w:rPr>
          <w:rFonts w:ascii="Times New Roman" w:eastAsia="Times New Roman" w:hAnsi="Times New Roman" w:cs="Times New Roman"/>
          <w:kern w:val="0"/>
          <w:sz w:val="24"/>
          <w:szCs w:val="24"/>
          <w:lang w:val="en-IN"/>
          <w14:ligatures w14:val="none"/>
        </w:rPr>
      </w:pPr>
      <w:r w:rsidRPr="00015C79">
        <w:rPr>
          <w:rFonts w:ascii="Times New Roman" w:eastAsia="Times New Roman" w:hAnsi="Times New Roman" w:cs="Times New Roman"/>
          <w:kern w:val="0"/>
          <w:sz w:val="24"/>
          <w:szCs w:val="24"/>
          <w:lang w:val="en-IN"/>
          <w14:ligatures w14:val="none"/>
        </w:rPr>
        <w:t>The drawdown visualization also highlights several smaller declines that occurred throughout the analysis period. These drawdowns are typically associated with broader market corrections, macroeconomic changes, or sector-specific developments in the technology industry.</w:t>
      </w:r>
    </w:p>
    <w:p w14:paraId="3ABBC1F4" w14:textId="77777777" w:rsidR="00015C79" w:rsidRPr="00015C79" w:rsidRDefault="00015C79" w:rsidP="00015C79">
      <w:pPr>
        <w:spacing w:before="100" w:beforeAutospacing="1" w:after="100" w:afterAutospacing="1" w:line="240" w:lineRule="auto"/>
        <w:outlineLvl w:val="0"/>
        <w:rPr>
          <w:rFonts w:ascii="Times New Roman" w:eastAsia="Times New Roman" w:hAnsi="Times New Roman" w:cs="Times New Roman"/>
          <w:kern w:val="0"/>
          <w:sz w:val="24"/>
          <w:szCs w:val="24"/>
          <w:lang w:val="en-IN"/>
          <w14:ligatures w14:val="none"/>
        </w:rPr>
      </w:pPr>
      <w:r w:rsidRPr="00015C79">
        <w:rPr>
          <w:rFonts w:ascii="Times New Roman" w:eastAsia="Times New Roman" w:hAnsi="Times New Roman" w:cs="Times New Roman"/>
          <w:kern w:val="0"/>
          <w:sz w:val="24"/>
          <w:szCs w:val="24"/>
          <w:lang w:val="en-IN"/>
          <w14:ligatures w14:val="none"/>
        </w:rPr>
        <w:lastRenderedPageBreak/>
        <w:t>Importantly, after each drawdown period, the stock gradually recovered and resumed its long-term growth trajectory. This behavior is typical for large, financially strong companies with stable revenue streams and strong global market presence.</w:t>
      </w:r>
    </w:p>
    <w:p w14:paraId="77E3EA8B" w14:textId="77777777" w:rsidR="00D56AC7" w:rsidRPr="00D56AC7" w:rsidRDefault="00D56AC7" w:rsidP="00D56AC7">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D56AC7">
        <w:rPr>
          <w:rFonts w:ascii="Times New Roman" w:eastAsia="Times New Roman" w:hAnsi="Times New Roman" w:cs="Times New Roman"/>
          <w:b/>
          <w:bCs/>
          <w:kern w:val="36"/>
          <w:sz w:val="36"/>
          <w:szCs w:val="36"/>
          <w14:ligatures w14:val="none"/>
        </w:rPr>
        <w:t>14. Cumulative Return Analysis</w:t>
      </w:r>
    </w:p>
    <w:p w14:paraId="24ABF04B" w14:textId="77777777" w:rsidR="00015C79" w:rsidRPr="00015C79" w:rsidRDefault="00015C79" w:rsidP="00015C79">
      <w:pPr>
        <w:spacing w:before="100" w:beforeAutospacing="1" w:after="100" w:afterAutospacing="1" w:line="240" w:lineRule="auto"/>
        <w:outlineLvl w:val="0"/>
        <w:rPr>
          <w:rFonts w:ascii="Times New Roman" w:eastAsia="Times New Roman" w:hAnsi="Times New Roman" w:cs="Times New Roman"/>
          <w:kern w:val="0"/>
          <w:sz w:val="24"/>
          <w:szCs w:val="24"/>
          <w:lang w:val="en-IN"/>
          <w14:ligatures w14:val="none"/>
        </w:rPr>
      </w:pPr>
      <w:r w:rsidRPr="00015C79">
        <w:rPr>
          <w:rFonts w:ascii="Times New Roman" w:eastAsia="Times New Roman" w:hAnsi="Times New Roman" w:cs="Times New Roman"/>
          <w:kern w:val="0"/>
          <w:sz w:val="24"/>
          <w:szCs w:val="24"/>
          <w:lang w:val="en-IN"/>
          <w14:ligatures w14:val="none"/>
        </w:rPr>
        <w:t>The cumulative return plot illustrates the long-term growth of an investment in TCS over the analysis period.</w:t>
      </w:r>
    </w:p>
    <w:p w14:paraId="732E3540" w14:textId="77777777" w:rsidR="00015C79" w:rsidRPr="00015C79" w:rsidRDefault="00015C79" w:rsidP="00015C79">
      <w:pPr>
        <w:spacing w:before="100" w:beforeAutospacing="1" w:after="100" w:afterAutospacing="1" w:line="240" w:lineRule="auto"/>
        <w:outlineLvl w:val="0"/>
        <w:rPr>
          <w:rFonts w:ascii="Times New Roman" w:eastAsia="Times New Roman" w:hAnsi="Times New Roman" w:cs="Times New Roman"/>
          <w:kern w:val="0"/>
          <w:sz w:val="24"/>
          <w:szCs w:val="24"/>
          <w:lang w:val="en-IN"/>
          <w14:ligatures w14:val="none"/>
        </w:rPr>
      </w:pPr>
      <w:r w:rsidRPr="00015C79">
        <w:rPr>
          <w:rFonts w:ascii="Times New Roman" w:eastAsia="Times New Roman" w:hAnsi="Times New Roman" w:cs="Times New Roman"/>
          <w:kern w:val="0"/>
          <w:sz w:val="24"/>
          <w:szCs w:val="24"/>
          <w:lang w:val="en-IN"/>
          <w14:ligatures w14:val="none"/>
        </w:rPr>
        <w:t>Starting from a normalized initial investment value of 1.0, the cumulative return steadily increases over time, reflecting the long-term appreciation of the stock price. Although temporary declines occur during periods of market stress, the overall trend remains strongly positive.</w:t>
      </w:r>
    </w:p>
    <w:p w14:paraId="4EBDC771" w14:textId="77777777" w:rsidR="00015C79" w:rsidRPr="00015C79" w:rsidRDefault="00015C79" w:rsidP="00015C79">
      <w:pPr>
        <w:spacing w:before="100" w:beforeAutospacing="1" w:after="100" w:afterAutospacing="1" w:line="240" w:lineRule="auto"/>
        <w:outlineLvl w:val="0"/>
        <w:rPr>
          <w:rFonts w:ascii="Times New Roman" w:eastAsia="Times New Roman" w:hAnsi="Times New Roman" w:cs="Times New Roman"/>
          <w:kern w:val="0"/>
          <w:sz w:val="24"/>
          <w:szCs w:val="24"/>
          <w:lang w:val="en-IN"/>
          <w14:ligatures w14:val="none"/>
        </w:rPr>
      </w:pPr>
      <w:r w:rsidRPr="00015C79">
        <w:rPr>
          <w:rFonts w:ascii="Times New Roman" w:eastAsia="Times New Roman" w:hAnsi="Times New Roman" w:cs="Times New Roman"/>
          <w:kern w:val="0"/>
          <w:sz w:val="24"/>
          <w:szCs w:val="24"/>
          <w:lang w:val="en-IN"/>
          <w14:ligatures w14:val="none"/>
        </w:rPr>
        <w:t>The cumulative growth highlights the advantages of maintaining a long-term investment perspective. Investors who held TCS shares throughout the analysis period would have experienced significant capital appreciation as the company continued to expand its global IT services operations.</w:t>
      </w:r>
    </w:p>
    <w:p w14:paraId="6199292B" w14:textId="77777777" w:rsidR="00015C79" w:rsidRPr="00015C79" w:rsidRDefault="00015C79" w:rsidP="00015C79">
      <w:pPr>
        <w:spacing w:before="100" w:beforeAutospacing="1" w:after="100" w:afterAutospacing="1" w:line="240" w:lineRule="auto"/>
        <w:outlineLvl w:val="0"/>
        <w:rPr>
          <w:rFonts w:ascii="Times New Roman" w:eastAsia="Times New Roman" w:hAnsi="Times New Roman" w:cs="Times New Roman"/>
          <w:kern w:val="0"/>
          <w:sz w:val="24"/>
          <w:szCs w:val="24"/>
          <w:lang w:val="en-IN"/>
          <w14:ligatures w14:val="none"/>
        </w:rPr>
      </w:pPr>
      <w:r w:rsidRPr="00015C79">
        <w:rPr>
          <w:rFonts w:ascii="Times New Roman" w:eastAsia="Times New Roman" w:hAnsi="Times New Roman" w:cs="Times New Roman"/>
          <w:kern w:val="0"/>
          <w:sz w:val="24"/>
          <w:szCs w:val="24"/>
          <w:lang w:val="en-IN"/>
          <w14:ligatures w14:val="none"/>
        </w:rPr>
        <w:t>The upward trend in cumulative returns demonstrates that TCS has consistently generated value for its shareholders through strong business performance and sustained demand for digital services.</w:t>
      </w:r>
    </w:p>
    <w:p w14:paraId="4BCD3EC5" w14:textId="77777777" w:rsidR="00015C79" w:rsidRPr="00015C79" w:rsidRDefault="00015C79" w:rsidP="00015C79">
      <w:pPr>
        <w:spacing w:before="100" w:beforeAutospacing="1" w:after="100" w:afterAutospacing="1" w:line="240" w:lineRule="auto"/>
        <w:outlineLvl w:val="0"/>
        <w:rPr>
          <w:rFonts w:ascii="Times New Roman" w:eastAsia="Times New Roman" w:hAnsi="Times New Roman" w:cs="Times New Roman"/>
          <w:kern w:val="0"/>
          <w:sz w:val="24"/>
          <w:szCs w:val="24"/>
          <w:lang w:val="en-IN"/>
          <w14:ligatures w14:val="none"/>
        </w:rPr>
      </w:pPr>
      <w:r w:rsidRPr="00015C79">
        <w:rPr>
          <w:rFonts w:ascii="Times New Roman" w:eastAsia="Times New Roman" w:hAnsi="Times New Roman" w:cs="Times New Roman"/>
          <w:kern w:val="0"/>
          <w:sz w:val="24"/>
          <w:szCs w:val="24"/>
          <w:lang w:val="en-IN"/>
          <w14:ligatures w14:val="none"/>
        </w:rPr>
        <w:t>This analysis reinforces the idea that TCS represents a strong long-term investment opportunity, particularly for investors seeking exposure to the technology sector with consistent growth potential.</w:t>
      </w:r>
    </w:p>
    <w:p w14:paraId="5262645F" w14:textId="77777777" w:rsidR="00D56AC7" w:rsidRPr="00D56AC7" w:rsidRDefault="00D56AC7" w:rsidP="00D56AC7">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D56AC7">
        <w:rPr>
          <w:rFonts w:ascii="Times New Roman" w:eastAsia="Times New Roman" w:hAnsi="Times New Roman" w:cs="Times New Roman"/>
          <w:b/>
          <w:bCs/>
          <w:kern w:val="36"/>
          <w:sz w:val="36"/>
          <w:szCs w:val="36"/>
          <w14:ligatures w14:val="none"/>
        </w:rPr>
        <w:t>15. Summary of Key Findings</w:t>
      </w:r>
    </w:p>
    <w:p w14:paraId="17B784F8" w14:textId="77777777" w:rsidR="00015C79" w:rsidRPr="00015C79" w:rsidRDefault="00015C79" w:rsidP="00015C79">
      <w:pPr>
        <w:spacing w:before="100" w:beforeAutospacing="1" w:after="100" w:afterAutospacing="1" w:line="240" w:lineRule="auto"/>
        <w:rPr>
          <w:rFonts w:ascii="Times New Roman" w:eastAsia="Times New Roman" w:hAnsi="Times New Roman" w:cs="Times New Roman"/>
          <w:kern w:val="0"/>
          <w:sz w:val="24"/>
          <w:szCs w:val="24"/>
          <w:lang w:val="en-IN"/>
          <w14:ligatures w14:val="none"/>
        </w:rPr>
      </w:pPr>
      <w:r w:rsidRPr="00015C79">
        <w:rPr>
          <w:rFonts w:ascii="Times New Roman" w:eastAsia="Times New Roman" w:hAnsi="Times New Roman" w:cs="Times New Roman"/>
          <w:kern w:val="0"/>
          <w:sz w:val="24"/>
          <w:szCs w:val="24"/>
          <w:lang w:val="en-IN"/>
          <w14:ligatures w14:val="none"/>
        </w:rPr>
        <w:t>The financial analysis conducted on Tata Consultancy Services (TCS) reveals several important insights regarding the stock’s performance and risk characteristics:</w:t>
      </w:r>
    </w:p>
    <w:p w14:paraId="7674EF8A" w14:textId="77777777" w:rsidR="00015C79" w:rsidRPr="00015C79" w:rsidRDefault="00015C79" w:rsidP="00015C79">
      <w:pPr>
        <w:spacing w:before="100" w:beforeAutospacing="1" w:after="100" w:afterAutospacing="1" w:line="240" w:lineRule="auto"/>
        <w:rPr>
          <w:rFonts w:ascii="Times New Roman" w:eastAsia="Times New Roman" w:hAnsi="Times New Roman" w:cs="Times New Roman"/>
          <w:kern w:val="0"/>
          <w:sz w:val="24"/>
          <w:szCs w:val="24"/>
          <w:lang w:val="en-IN"/>
          <w14:ligatures w14:val="none"/>
        </w:rPr>
      </w:pPr>
      <w:r w:rsidRPr="00015C79">
        <w:rPr>
          <w:rFonts w:ascii="Times New Roman" w:eastAsia="Times New Roman" w:hAnsi="Times New Roman" w:cs="Times New Roman"/>
          <w:kern w:val="0"/>
          <w:sz w:val="24"/>
          <w:szCs w:val="24"/>
          <w:lang w:val="en-IN"/>
          <w14:ligatures w14:val="none"/>
        </w:rPr>
        <w:t>• The stock demonstrates strong long-term price appreciation supported by global demand for IT services and digital transformation.</w:t>
      </w:r>
      <w:r w:rsidRPr="00015C79">
        <w:rPr>
          <w:rFonts w:ascii="Times New Roman" w:eastAsia="Times New Roman" w:hAnsi="Times New Roman" w:cs="Times New Roman"/>
          <w:kern w:val="0"/>
          <w:sz w:val="24"/>
          <w:szCs w:val="24"/>
          <w:lang w:val="en-IN"/>
          <w14:ligatures w14:val="none"/>
        </w:rPr>
        <w:br/>
        <w:t>• Periods of increased volatility are typically associated with major global market events such as the 2020 pandemic-driven market disruption.</w:t>
      </w:r>
      <w:r w:rsidRPr="00015C79">
        <w:rPr>
          <w:rFonts w:ascii="Times New Roman" w:eastAsia="Times New Roman" w:hAnsi="Times New Roman" w:cs="Times New Roman"/>
          <w:kern w:val="0"/>
          <w:sz w:val="24"/>
          <w:szCs w:val="24"/>
          <w:lang w:val="en-IN"/>
          <w14:ligatures w14:val="none"/>
        </w:rPr>
        <w:br/>
        <w:t>• The stock shows strong risk-adjusted performance, indicating favorable returns relative to the level of risk.</w:t>
      </w:r>
      <w:r w:rsidRPr="00015C79">
        <w:rPr>
          <w:rFonts w:ascii="Times New Roman" w:eastAsia="Times New Roman" w:hAnsi="Times New Roman" w:cs="Times New Roman"/>
          <w:kern w:val="0"/>
          <w:sz w:val="24"/>
          <w:szCs w:val="24"/>
          <w:lang w:val="en-IN"/>
          <w14:ligatures w14:val="none"/>
        </w:rPr>
        <w:br/>
        <w:t>• The beta value suggests that TCS generally moves in line with the broader market index while maintaining stable performance typical of large-cap technology companies.</w:t>
      </w:r>
      <w:r w:rsidRPr="00015C79">
        <w:rPr>
          <w:rFonts w:ascii="Times New Roman" w:eastAsia="Times New Roman" w:hAnsi="Times New Roman" w:cs="Times New Roman"/>
          <w:kern w:val="0"/>
          <w:sz w:val="24"/>
          <w:szCs w:val="24"/>
          <w:lang w:val="en-IN"/>
          <w14:ligatures w14:val="none"/>
        </w:rPr>
        <w:br/>
        <w:t>• Significant drawdowns may occur during major market crises, but the stock has historically demonstrated strong recovery potential.</w:t>
      </w:r>
      <w:r w:rsidRPr="00015C79">
        <w:rPr>
          <w:rFonts w:ascii="Times New Roman" w:eastAsia="Times New Roman" w:hAnsi="Times New Roman" w:cs="Times New Roman"/>
          <w:kern w:val="0"/>
          <w:sz w:val="24"/>
          <w:szCs w:val="24"/>
          <w:lang w:val="en-IN"/>
          <w14:ligatures w14:val="none"/>
        </w:rPr>
        <w:br/>
        <w:t>• The return series is stationary, making it suitable for time-series forecasting models such as ARIMA.</w:t>
      </w:r>
      <w:r w:rsidRPr="00015C79">
        <w:rPr>
          <w:rFonts w:ascii="Times New Roman" w:eastAsia="Times New Roman" w:hAnsi="Times New Roman" w:cs="Times New Roman"/>
          <w:kern w:val="0"/>
          <w:sz w:val="24"/>
          <w:szCs w:val="24"/>
          <w:lang w:val="en-IN"/>
          <w14:ligatures w14:val="none"/>
        </w:rPr>
        <w:br/>
        <w:t>• Cumulative returns indicate that TCS has generated substantial long-term value for investors.</w:t>
      </w:r>
    </w:p>
    <w:p w14:paraId="7F166BFA" w14:textId="77777777" w:rsidR="00015C79" w:rsidRPr="00015C79" w:rsidRDefault="00015C79" w:rsidP="00015C79">
      <w:pPr>
        <w:spacing w:before="100" w:beforeAutospacing="1" w:after="100" w:afterAutospacing="1" w:line="240" w:lineRule="auto"/>
        <w:rPr>
          <w:rFonts w:ascii="Times New Roman" w:eastAsia="Times New Roman" w:hAnsi="Times New Roman" w:cs="Times New Roman"/>
          <w:kern w:val="0"/>
          <w:sz w:val="24"/>
          <w:szCs w:val="24"/>
          <w:lang w:val="en-IN"/>
          <w14:ligatures w14:val="none"/>
        </w:rPr>
      </w:pPr>
      <w:r w:rsidRPr="00015C79">
        <w:rPr>
          <w:rFonts w:ascii="Times New Roman" w:eastAsia="Times New Roman" w:hAnsi="Times New Roman" w:cs="Times New Roman"/>
          <w:kern w:val="0"/>
          <w:sz w:val="24"/>
          <w:szCs w:val="24"/>
          <w:lang w:val="en-IN"/>
          <w14:ligatures w14:val="none"/>
        </w:rPr>
        <w:lastRenderedPageBreak/>
        <w:t>Overall, the analysis suggests that TCS represents a strong large-cap technology company with significant long-term growth potential and manageable risk exposure. While the stock may experience temporary fluctuations during periods of global market uncertainty, its strong fundamentals and leadership in the IT services industry contribute to long-term stability and resilience.</w:t>
      </w:r>
    </w:p>
    <w:p w14:paraId="1A3956ED" w14:textId="77777777" w:rsidR="00015C79" w:rsidRPr="00015C79" w:rsidRDefault="00015C79" w:rsidP="00015C79">
      <w:pPr>
        <w:spacing w:before="100" w:beforeAutospacing="1" w:after="100" w:afterAutospacing="1" w:line="240" w:lineRule="auto"/>
        <w:rPr>
          <w:rFonts w:ascii="Times New Roman" w:eastAsia="Times New Roman" w:hAnsi="Times New Roman" w:cs="Times New Roman"/>
          <w:kern w:val="0"/>
          <w:sz w:val="24"/>
          <w:szCs w:val="24"/>
          <w:lang w:val="en-IN"/>
          <w14:ligatures w14:val="none"/>
        </w:rPr>
      </w:pPr>
      <w:r w:rsidRPr="00015C79">
        <w:rPr>
          <w:rFonts w:ascii="Times New Roman" w:eastAsia="Times New Roman" w:hAnsi="Times New Roman" w:cs="Times New Roman"/>
          <w:kern w:val="0"/>
          <w:sz w:val="24"/>
          <w:szCs w:val="24"/>
          <w:lang w:val="en-IN"/>
          <w14:ligatures w14:val="none"/>
        </w:rPr>
        <w:t>For investors seeking long-term capital appreciation with exposure to the technology sector, TCS may be considered a strong candidate for portfolio diversification and sustained growth.</w:t>
      </w:r>
    </w:p>
    <w:p w14:paraId="107D07DA" w14:textId="77777777" w:rsidR="009856D9" w:rsidRPr="00D56AC7" w:rsidRDefault="009856D9" w:rsidP="00015C79">
      <w:pPr>
        <w:spacing w:before="100" w:beforeAutospacing="1" w:after="100" w:afterAutospacing="1" w:line="240" w:lineRule="auto"/>
        <w:rPr>
          <w:rFonts w:ascii="Times New Roman" w:hAnsi="Times New Roman" w:cs="Times New Roman"/>
        </w:rPr>
      </w:pPr>
    </w:p>
    <w:sectPr w:rsidR="009856D9" w:rsidRPr="00D56A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AC7"/>
    <w:rsid w:val="00015C79"/>
    <w:rsid w:val="000F3CED"/>
    <w:rsid w:val="003D4D4E"/>
    <w:rsid w:val="009856D9"/>
    <w:rsid w:val="00D56A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21B04"/>
  <w15:chartTrackingRefBased/>
  <w15:docId w15:val="{9701E8D0-CEB8-41C5-AA2D-B3086340A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56AC7"/>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D56AC7"/>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AC7"/>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D56AC7"/>
    <w:rPr>
      <w:rFonts w:ascii="Times New Roman" w:eastAsia="Times New Roman" w:hAnsi="Times New Roman" w:cs="Times New Roman"/>
      <w:b/>
      <w:bCs/>
      <w:kern w:val="0"/>
      <w:sz w:val="36"/>
      <w:szCs w:val="36"/>
      <w14:ligatures w14:val="none"/>
    </w:rPr>
  </w:style>
  <w:style w:type="character" w:customStyle="1" w:styleId="bzpyqfadein">
    <w:name w:val="bz_pyq_fadein"/>
    <w:basedOn w:val="DefaultParagraphFont"/>
    <w:rsid w:val="00D56AC7"/>
  </w:style>
  <w:style w:type="paragraph" w:styleId="NormalWeb">
    <w:name w:val="Normal (Web)"/>
    <w:basedOn w:val="Normal"/>
    <w:uiPriority w:val="99"/>
    <w:semiHidden/>
    <w:unhideWhenUsed/>
    <w:rsid w:val="00D56AC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438552">
      <w:bodyDiv w:val="1"/>
      <w:marLeft w:val="0"/>
      <w:marRight w:val="0"/>
      <w:marTop w:val="0"/>
      <w:marBottom w:val="0"/>
      <w:divBdr>
        <w:top w:val="none" w:sz="0" w:space="0" w:color="auto"/>
        <w:left w:val="none" w:sz="0" w:space="0" w:color="auto"/>
        <w:bottom w:val="none" w:sz="0" w:space="0" w:color="auto"/>
        <w:right w:val="none" w:sz="0" w:space="0" w:color="auto"/>
      </w:divBdr>
    </w:div>
    <w:div w:id="2072262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2480</Words>
  <Characters>14140</Characters>
  <Application>Microsoft Office Word</Application>
  <DocSecurity>0</DocSecurity>
  <Lines>117</Lines>
  <Paragraphs>33</Paragraphs>
  <ScaleCrop>false</ScaleCrop>
  <Company/>
  <LinksUpToDate>false</LinksUpToDate>
  <CharactersWithSpaces>16587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Girish Kumar</dc:creator>
  <cp:keywords/>
  <dc:description/>
  <cp:lastModifiedBy>G R M NEHAN-[CB.SC.U4CSE23660]</cp:lastModifiedBy>
  <cp:revision>2</cp:revision>
  <dcterms:created xsi:type="dcterms:W3CDTF">2026-03-14T12:33:00Z</dcterms:created>
  <dcterms:modified xsi:type="dcterms:W3CDTF">2026-03-14T12:33:00Z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da1f48de-f4cb-4dbd-be97-ca46cd86dade</vt:lpwstr>
  </property>
</Properties>
</file>