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CARE Project — Full Reference Summary</w:t>
      </w:r>
    </w:p>
    <w:p>
      <w:pPr>
        <w:spacing w:after="120"/>
      </w:pPr>
      <w:r>
        <w:t xml:space="preserve">A factual record of the project to date, for your own reference while drafting the dissertation. Organised by topic, not by dissertation chapter.</w:t>
      </w:r>
    </w:p>
    <w:p>
      <w:pPr>
        <w:pStyle w:val="Heading1"/>
        <w:spacing w:after="120" w:before="300"/>
      </w:pPr>
      <w:r>
        <w:t xml:space="preserve">1. Project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(Climate Awareness and Risk Evaluation) — MSc dissertation, University of Strathclyde, supervised by Dr Daniel Thomas.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contribution: comparing two dashboard versions (risk level only vs. risk level + SHAP explanation) to test whether explainable AI improves non-expert comprehension and trust in flood risk predictions.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Submission deadline: 17 August 2026.</w:t>
      </w:r>
    </w:p>
    <w:p>
      <w:pPr>
        <w:pStyle w:val="Heading1"/>
        <w:spacing w:after="120" w:before="300"/>
      </w:pPr>
      <w:r>
        <w:t xml:space="preserve">2. Data 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 PVA (Potentially Vulnerable Areas) flood zones — GeoPackage, 235 zones.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OpenStreetMap (via osmnx): buildings (55,638), roads (38,218), water bodies (195).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NASA SRTM elevation via OpenTopography API — 259,200 raw points at 30m resolution.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 Office HadUK-Grid daily rainfall, 5km resolution — originally 2023-2025 (3 years), extended to 1987-2025 (39 years, 467 monthly NetCDF files, ~1.3GB, one missing month: July 2020).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NASA GPM rainfall was evaluated and dropped early on due to zero spatial variance across the study area.</w:t>
      </w:r>
    </w:p>
    <w:p>
      <w:pPr>
        <w:pStyle w:val="Heading1"/>
        <w:spacing w:after="120" w:before="300"/>
      </w:pPr>
      <w:r>
        <w:t xml:space="preserve">3. Feature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Study grid: 100m spacing, 5km radius, centred on University of Strathclyde (Easting 260983, Northing 665006, EPSG:27700) — 7,843 points total.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Grid generation code verified: re-traced original logic (nested loop over x/y coordinates within RADIUS of centre), confirmed exact match to feature_matrix.csv row order and count (7,843).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Coordinates cross-checked against the elevation raster via nearest-neighbour join — all 7,843 points matched exactly (0m difference).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 features: elevation, dist_to_water, dist_to_clyde, building_count, road_count, mean_annual_mm_day, mean_winter_mm_day, wet_days_per_year, max_daily_mm.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dist_to_clyde added as a Clyde-specific distance feature after finding it outperforms general dist_to_water (r=-0.74 vs r=-0.28 correlation with flood risk).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dist_to_clyde and dist_to_water share identical values for ~18% of points (1,426 of 7,843) — verified as genuine riverside geography (correlation only 0.25 overall), not a data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Flood risk label (3-class, rule-derived from elevation + SEPA PVA membership): Low 48.3% (3,790 points), Medium 34.4% (2,698), High 17.3% (1,355).</w:t>
      </w:r>
    </w:p>
    <w:p>
      <w:pPr>
        <w:pStyle w:val="Heading1"/>
        <w:spacing w:after="120" w:before="300"/>
      </w:pPr>
      <w:r>
        <w:t xml:space="preserve">4. Rainfall Rework (3-year to 39-year)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2023-2025 window found to be drier than the 39-year average (e.g. mean annual rainfall 1069mm vs 1088mm for the fuller record) and used a single extreme-value daily maximum rather than a representative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Extracted daily rainfall at all 7,843 points across all 467 files (111,480,402 rows, 1987-2025 continuous, zero gaps/NaNs) — saved as rainfall_daily_1987_2025.parquet.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Recomputed 4 climatology features as 39-year averages; max_daily_mm changed from a single 3-year extreme value to an average of 39 annual maxima (dropped from ~38mm to ~32mm) — a genuine methodological correction, not just more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6 distinct raster cells cover all 7,843 grid points for rainfall, since HadUK-Grid's 5km resolution is coarser than the 100m point spacing — a known scope limitation, not a bug.</w:t>
      </w:r>
    </w:p>
    <w:p>
      <w:pPr>
        <w:pStyle w:val="Heading1"/>
        <w:spacing w:after="120" w:before="300"/>
      </w:pPr>
      <w:r>
        <w:t xml:space="preserve">5.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model: Random Forest (rf_baseline / rf_model_40yr.joblib).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train/test split (80/20, random_state=42): 99.62% accuracy, 0.9950 F1 macro.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5-fold stratified cross-validation (more representative figure): 99.26% ± 0.17% accuracy, 99.04% ± 0.22% F1 macro — every fold below the single-split figure, indicating the single split was optimistic.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Per-class metrics: Low 0.996/0.996/0.996, Medium 1.0/1.0/1.0, High 0.989/0.989/0.989 (precision/recall/F1).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ROC-AUC (one-vs-rest): Low 0.9998, Medium 1.0000, High 0.9996, macro 0.9998.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importance: elevation ~61.6%, dist_to_clyde ~18.2%, max_daily_mm ~4.9%, mean_annual_mm_day ~3.9%, wet_days_per_year ~3.8%, building_count ~2.4%, dist_to_water ~2.3%, road_count ~1.9%, mean_winter_mm_day ~0.9% (pre-rework figures; post-rework ranking within rainfall features shifted — max_daily_mm's importance fell, mean_winter_mm_day and wet_days_per_year rose).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Comparison model: XGBoost, same split — 99.36% accuracy, 99.17% F1 macro. Random Forest retained as the live/primary model since it performed equal or better and is directly compatible with probability-space SHAP.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Important interpretive point: near-perfect accuracy reflects the model recovering a deterministic, rule-derived label (elevation + PVA membership) rather than solving a noisy, uncertain real-world prediction problem — this should be stated explicitly, not presented as evidence of a 'hard' problem being solved.</w:t>
      </w:r>
    </w:p>
    <w:p>
      <w:pPr>
        <w:pStyle w:val="Heading1"/>
        <w:spacing w:after="120" w:before="300"/>
      </w:pPr>
      <w:r>
        <w:t xml:space="preserve">6. SHAP Explainability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TreeExplainer used; switched from raw log-odds output to probability-space output (model_output='probability') after finding raw values were confusing and near-zero even for confident predictions.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 sign-flip logic: SHAP bars correctly flip between red (pushing toward higher risk) and blue (pushing toward lower risk) depending on the predicted class.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representative example points selected by highest predicted-class confidence (not first-occurrence), one per class: Low (elevation 84m, dist_to_clyde 4028m), Medium (elevation 24m, dist_to_clyde 755m), High (elevation 11m, dist_to_clyde 496m) — all near 100% confidence, verified as genuinely distinct locations.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SHAP computation in the dashboard benchmarked at ~5-10ms per click (explainer build ~2ms) — no precomputation needed.</w:t>
      </w:r>
    </w:p>
    <w:p>
      <w:pPr>
        <w:pStyle w:val="Heading1"/>
        <w:spacing w:after="120" w:before="300"/>
      </w:pPr>
      <w:r>
        <w:t xml:space="preserve">7. Dashboard (Streamlit)</w:t>
      </w:r>
    </w:p>
    <w:p>
      <w:pPr>
        <w:pStyle w:val="Heading2"/>
        <w:spacing w:after="100" w:before="200"/>
      </w:pPr>
      <w:r>
        <w:t xml:space="preserve">7.1 Build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iteratively: Step 1 (static map + placeholder panel) -&gt; Step 2/3 (click interaction, live model inference) -&gt; Step 4 (full SHAP explanation panel) -&gt; renamed to final Version A / Version B for the study.</w:t>
      </w:r>
    </w:p>
    <w:p>
      <w:pPr>
        <w:pStyle w:val="Heading2"/>
        <w:spacing w:after="100" w:before="200"/>
      </w:pPr>
      <w:r>
        <w:t xml:space="preserve">7.2 Version A (risk-only)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badge, model confidence, coordinates, compass/distance indicator (to River Clyde and university centre), raw feature table, postcode search, risk level filter, distance-from-Clyde filter, postcode district filter, elevation range filter, model confidence filter, building/road density filter, historical-event-radius filter, rainfall feature filter, risk distribution histogram, rainfall trend summary, historical flood markers (2002, 1994), sourced flood safety precautions, shared feature-definition glossary.</w:t>
      </w:r>
    </w:p>
    <w:p>
      <w:pPr>
        <w:pStyle w:val="Heading2"/>
        <w:spacing w:after="100" w:before="200"/>
      </w:pPr>
      <w:r>
        <w:t xml:space="preserve">7.3 Version B (risk + explanation)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Everything in Version A, plus: SHAP narrative sentence naming top drivers in plain English; all 9 features as ranked, colour-coded SHAP bars; inline definitions for the top 2 features, collapsible definitions for the remaining 7; 5-tab 'Model evaluation' section (confusion matrix, ROC curves, feature importance, SHAP summary, RF vs XGBoost comparison with live bar charts and an explicit non-identical-methodology caveat); model-vs-rule-based-label agreement stat; postcode-to-postcode comparison tool; district-level risk comparison table; risk-vs-elevation scatter plot; nearest-historical-event distance; confidence distribution chart; top-N (2/5/10) highest and lowest risk district and grid-point ranking charts.</w:t>
      </w:r>
    </w:p>
    <w:p>
      <w:pPr>
        <w:pStyle w:val="Heading2"/>
        <w:spacing w:after="100" w:before="200"/>
      </w:pPr>
      <w:r>
        <w:t xml:space="preserve">7.4 Deliberate scope deviations (Version B only, not mirrored in 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District risk comparison table, ML model performance/evaluation panel, postcode-to-postcode comparison, model-agreement stat, and the additional ranking/scatter/nearest-event charts were deliberately added to Version B only, at your explicit direction — this is a conscious design choice that should be stated plainly as a limitation in the methodology, since it means any comprehension/trust difference measured cannot be attributed to the SHAP explanation alone.</w:t>
      </w:r>
    </w:p>
    <w:p>
      <w:pPr>
        <w:pStyle w:val="Heading1"/>
        <w:spacing w:after="120" w:before="300"/>
      </w:pPr>
      <w:r>
        <w:t xml:space="preserve">8. Face-Validity Check: Historical Flood Events</w:t>
      </w:r>
    </w:p>
    <w:p>
      <w:pPr>
        <w:pStyle w:val="Heading2"/>
        <w:spacing w:after="100" w:before="200"/>
      </w:pPr>
      <w:r>
        <w:t xml:space="preserve">8.1 2002 Glasgow floods (Cockenzie Street, Greenfield)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Geocoded via OpenStreetMap Nominatim, cross-checked independently (elevation ~26.4m average from independent source vs. 25m at nearest grid point — consistent).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Nearest 3 grid points (44-96m away): all correctly predicted Medium risk, 100% model confidence.</w:t>
      </w:r>
    </w:p>
    <w:p>
      <w:pPr>
        <w:pStyle w:val="Heading2"/>
        <w:spacing w:after="100" w:before="200"/>
      </w:pPr>
      <w:r>
        <w:t xml:space="preserve">8.2 1994 SEC Centre floods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Nearest grid point (50m away): correctly predicted High risk, 97% confidence. Driven by low elevation (13m) and proximity to water (245m).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Caused by the River Kelvin bursting its banks and flooding through old railway tunnels (confirmed via SEC's own official history page) — the model's dist_to_clyde/dist_to_water features happen to coincide near this point, but don't explicitly encode Kelvin-specific risk — a genuine scope limitation worth noting.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Boundary sensitivity finding: a grid point only 78m further away flipped to Low risk (80% confidence) — worth reporting as an honest robustness caveat, not hidden.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sources cited: Bloomberg/historical press reporting; SEC official history (sec.co.uk).</w:t>
      </w:r>
    </w:p>
    <w:p>
      <w:pPr>
        <w:pStyle w:val="Heading1"/>
        <w:spacing w:after="120" w:before="300"/>
      </w:pPr>
      <w:r>
        <w:t xml:space="preserve">9. Usability Study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 participants total, 3 per dashboard version (between-subjects design).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Think-aloud protocol plus a 5-question Microsoft Forms questionnaire covering comprehension, trust, action intent, and usability.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Ethics approved via the CIS Departmental Ethics Committee (submitted 13 July; approval confirmed since).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STATUS: recruitment not yet started as of this summary — participants and usability data collection remain outstanding.</w:t>
      </w:r>
    </w:p>
    <w:p>
      <w:pPr>
        <w:pStyle w:val="Heading1"/>
        <w:spacing w:after="120" w:before="300"/>
      </w:pPr>
      <w:r>
        <w:t xml:space="preserve">10. Literature Sources Identified (not yet fully read/cited)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Meza Martínez et al. — non-expert users found SHAP explanations complex, particularly around probability handling, though informative once understood.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Lakkaraju et al. — non-experts expressed preference for interactive/conversational explanations over static formats.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Nourani et al. (n=60) — meaningless or poorly designed explanations can hinder users' ability to judge system performance/trustworthiness.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Ford &amp; Keane (n=96) — comprehension of post-hoc explanations varies significantly by the user's familiarity with the domain.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SHAP-based flood susceptibility studies (e.g. an Iran watershed study) — found elevation and distance-to-stream as top predictors, closely mirroring this project's own findings.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These need to be properly located, read in full, and critically engaged with (not just cited from search snippets) before use in the dissertation.</w:t>
      </w:r>
    </w:p>
    <w:p>
      <w:pPr>
        <w:pStyle w:val="Heading1"/>
        <w:spacing w:after="120" w:before="300"/>
      </w:pPr>
      <w:r>
        <w:t xml:space="preserve">11. Outstanding Work (as of this summary)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Participant recruitment and usability sessions — not started; single largest remaining risk to the project timeline.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Literature review — sources identified, full reading and critical synthesis not yet done.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Dissertation chapters — Introduction has a first draft; Methodology, Analysis, Discussion/Conclusions not yet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flood event coordinates — sanity-checked for Greenfield/Cockenzie Street (confirmed via independent elevation data); SEC Centre location not independently re-verified beyond being well-established public knowledge.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AI-use disclosure wording for the dissertation itself — worth confirming exact requirement/phrasing with Dr Thomas.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2026-08-05T11:48:55.323Z</dcterms:created>
  <dcterms:modified xsi:type="dcterms:W3CDTF">2026-08-05T11:48:55.336Z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