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Rule="auto"/>
        <w:rPr/>
      </w:pPr>
      <w:r w:rsidDel="00000000" w:rsidR="00000000" w:rsidRPr="00000000">
        <w:rPr>
          <w:rFonts w:ascii="Arial" w:cs="Arial" w:eastAsia="Arial" w:hAnsi="Arial"/>
          <w:b w:val="1"/>
          <w:bCs w:val="1"/>
          <w:color w:val="1d4ed8"/>
          <w:sz w:val="36"/>
          <w:szCs w:val="36"/>
          <w:rtl w:val="0"/>
        </w:rPr>
        <w:t xml:space="preserve">Ritesh Jadhav</w:t>
        <w:br w:type="textWrapping"/>
        <w:t xml:space="preserve">Jensen Huang</w:t>
        <w:br w:type="textWrapping"/>
        <w:t xml:space="preserve">150096724138</w:t>
      </w:r>
      <w:r w:rsidDel="00000000" w:rsidR="00000000" w:rsidRPr="00000000">
        <w:rPr>
          <w:rFonts w:ascii="Arial" w:cs="Arial" w:eastAsia="Arial" w:hAnsi="Arial"/>
          <w:b w:val="1"/>
          <w:bCs w:val="1"/>
          <w:color w:val="1d4ed8"/>
          <w:sz w:val="48"/>
          <w:szCs w:val="48"/>
          <w:rtl w:val="0"/>
        </w:rPr>
        <w:br w:type="textWrapping"/>
        <w:br w:type="textWrapping"/>
        <w:t xml:space="preserve">Bank Term Deposit Prediction &amp; Telemarketing Intelligence Platform</w:t>
      </w:r>
      <w:r w:rsidDel="00000000" w:rsidR="00000000" w:rsidRPr="00000000">
        <w:rPr>
          <w:rtl w:val="0"/>
        </w:rPr>
      </w:r>
    </w:p>
    <w:p w:rsidR="00000000" w:rsidDel="00000000" w:rsidP="00000000" w:rsidRDefault="00000000" w:rsidRPr="00000000" w14:paraId="00000002">
      <w:pPr>
        <w:spacing w:after="280" w:lineRule="auto"/>
        <w:rPr/>
      </w:pPr>
      <w:r w:rsidDel="00000000" w:rsidR="00000000" w:rsidRPr="00000000">
        <w:rPr>
          <w:rFonts w:ascii="Calibri" w:cs="Calibri" w:eastAsia="Calibri" w:hAnsi="Calibri"/>
          <w:color w:val="64748b"/>
          <w:sz w:val="26"/>
          <w:szCs w:val="26"/>
          <w:rtl w:val="0"/>
        </w:rPr>
        <w:t xml:space="preserve">End-to-End Machine Learning Solution, Exploratory Data Analysis &amp; Strategic Business ROI Report</w:t>
      </w:r>
      <w:r w:rsidDel="00000000" w:rsidR="00000000" w:rsidRPr="00000000">
        <w:rPr>
          <w:color w:val="e2e8f0"/>
          <w:rtl w:val="0"/>
        </w:rPr>
        <w:t xml:space="preserve">――――――――――――――――――――――――――――――――――――――――――――――――――――――――――</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tl w:val="0"/>
        </w:rPr>
        <w:t xml:space="preserve">Executive Summary</w:t>
      </w:r>
    </w:p>
    <w:p w:rsidR="00000000" w:rsidDel="00000000" w:rsidP="00000000" w:rsidRDefault="00000000" w:rsidRPr="00000000" w14:paraId="00000004">
      <w:pPr>
        <w:spacing w:after="240" w:line="276" w:lineRule="auto"/>
        <w:rPr/>
      </w:pPr>
      <w:r w:rsidDel="00000000" w:rsidR="00000000" w:rsidRPr="00000000">
        <w:rPr>
          <w:rtl w:val="0"/>
        </w:rPr>
        <w:t xml:space="preserve">Direct marketing campaigns remain one of the most critical customer acquisition channels for retail banking institutions. However, indiscriminate cold-calling is economically inefficient, generates severe agent fatigue, and irritates non-prospective clients. In this project, we built an end-to-end, production-grade Machine Learning intelligence system to accurately predict whether a client will subscribe to a bank term deposit (y = yes / no).</w:t>
        <w:br w:type="textWrapping"/>
        <w:br w:type="textWrapping"/>
        <w:t xml:space="preserve">By engineering a realistic predictive pipeline that eliminates Data Leakage, resolves severe Class Imbalance (88.3% / 11.7%) using SMOTENC, and benchmarking five distinct algorithms across 5-Fold Stratified Cross-Validation, we deployed a Gradient Boosting classifier capable of avoiding 72.5% of non-converting calls while capturing over 60% of genuine depositors, saving 546 hours of telemarketing time per campaign cycle.</w:t>
      </w:r>
    </w:p>
    <w:p w:rsidR="00000000" w:rsidDel="00000000" w:rsidP="00000000" w:rsidRDefault="00000000" w:rsidRPr="00000000" w14:paraId="00000005">
      <w:pPr>
        <w:pStyle w:val="Heading1"/>
        <w:spacing w:after="120" w:before="280" w:lineRule="auto"/>
        <w:rPr/>
      </w:pPr>
      <w:r w:rsidDel="00000000" w:rsidR="00000000" w:rsidRPr="00000000">
        <w:rPr>
          <w:rtl w:val="0"/>
        </w:rPr>
        <w:t xml:space="preserve">1. Problem Statement &amp; Business Objectives</w:t>
      </w:r>
    </w:p>
    <w:p w:rsidR="00000000" w:rsidDel="00000000" w:rsidP="00000000" w:rsidRDefault="00000000" w:rsidRPr="00000000" w14:paraId="00000006">
      <w:pPr>
        <w:rPr/>
      </w:pPr>
      <w:r w:rsidDel="00000000" w:rsidR="00000000" w:rsidRPr="00000000">
        <w:rPr>
          <w:rtl w:val="0"/>
        </w:rPr>
        <w:t xml:space="preserve">A major European financial institution ran outbound telemarketing campaigns offering long-term term deposit contracts. Historical campaign records show that out of 45,211 customers contacted, only 5,289 subscribed (11.70% baseline conversion), resulting in 39,922 wasted calls (88.30% non-conversion rate).</w:t>
        <w:br w:type="textWrapping"/>
        <w:br w:type="textWrapping"/>
        <w:t xml:space="preserve">Calling every client indiscriminately causes three severe organizational failures:</w:t>
        <w:br w:type="textWrapping"/>
        <w:t xml:space="preserve">1. Capital Depletion: Enormous budgets spent on call center wages, telephony rates, and agent hours for an 88% rejection rate.</w:t>
        <w:br w:type="textWrapping"/>
        <w:t xml:space="preserve">2. Opportunity Cost: High-propensity depositors receive delayed calls or insufficient attention while telemarketers work cold leads.</w:t>
        <w:br w:type="textWrapping"/>
        <w:t xml:space="preserve">3. Brand Attrition: Persistent unwanted phone calls damage client relationships and lead to checking account closures.</w:t>
      </w:r>
    </w:p>
    <w:p w:rsidR="00000000" w:rsidDel="00000000" w:rsidP="00000000" w:rsidRDefault="00000000" w:rsidRPr="00000000" w14:paraId="00000007">
      <w:pPr>
        <w:pStyle w:val="Heading1"/>
        <w:rPr/>
      </w:pPr>
      <w:r w:rsidDel="00000000" w:rsidR="00000000" w:rsidRPr="00000000">
        <w:rPr>
          <w:rtl w:val="0"/>
        </w:rPr>
        <w:t xml:space="preserve">2. Exploratory Data Analysis (EDA) &amp; Key Findings</w:t>
      </w:r>
    </w:p>
    <w:p w:rsidR="00000000" w:rsidDel="00000000" w:rsidP="00000000" w:rsidRDefault="00000000" w:rsidRPr="00000000" w14:paraId="00000008">
      <w:pPr>
        <w:rPr/>
      </w:pPr>
      <w:r w:rsidDel="00000000" w:rsidR="00000000" w:rsidRPr="00000000">
        <w:rPr>
          <w:rtl w:val="0"/>
        </w:rPr>
        <w:t xml:space="preserve">Exhaustive analysis of the 45,211 records across 17 attributes revealed stark demographic, financial, and behavioral patterns:</w:t>
      </w:r>
    </w:p>
    <w:p w:rsidR="00000000" w:rsidDel="00000000" w:rsidP="00000000" w:rsidRDefault="00000000" w:rsidRPr="00000000" w14:paraId="00000009">
      <w:pPr>
        <w:pStyle w:val="Heading2"/>
        <w:rPr/>
      </w:pPr>
      <w:r w:rsidDel="00000000" w:rsidR="00000000" w:rsidRPr="00000000">
        <w:rPr>
          <w:rtl w:val="0"/>
        </w:rPr>
        <w:t xml:space="preserve">2.1 Target Imbalance &amp; Demographic Profile</w:t>
      </w:r>
    </w:p>
    <w:p w:rsidR="00000000" w:rsidDel="00000000" w:rsidP="00000000" w:rsidRDefault="00000000" w:rsidRPr="00000000" w14:paraId="0000000A">
      <w:pPr>
        <w:rPr/>
      </w:pPr>
      <w:r w:rsidDel="00000000" w:rsidR="00000000" w:rsidRPr="00000000">
        <w:rPr>
          <w:rtl w:val="0"/>
        </w:rPr>
        <w:t xml:space="preserve">• Target Imbalance: 39,922 'No' (88.30%) vs. 5,289 'Yes' (11.70%).</w:t>
        <w:br w:type="textWrapping"/>
        <w:t xml:space="preserve">• Age Distribution: Clients aged 25–55 form over 85% of the population but convert at modest rates (8.9% - 10.8%). In contrast, young adults (18–25) convert at 24.0%, and senior citizens (65+) convert at an impressive 42.3%.</w:t>
        <w:br w:type="textWrapping"/>
        <w:t xml:space="preserve">• Job Sectors: Students (28.7%) and Retirees (22.8%) convert at more than double the baseline, while blue-collar workers (7.3%) and entrepreneurs (8.3%) convert least.</w:t>
      </w:r>
    </w:p>
    <w:p w:rsidR="00000000" w:rsidDel="00000000" w:rsidP="00000000" w:rsidRDefault="00000000" w:rsidRPr="00000000" w14:paraId="0000000B">
      <w:pPr>
        <w:rPr/>
      </w:pPr>
      <w:r w:rsidDel="00000000" w:rsidR="00000000" w:rsidRPr="00000000">
        <w:rPr/>
        <w:drawing>
          <wp:inline distB="0" distT="0" distL="114300" distR="114300">
            <wp:extent cx="5669280" cy="587124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69280" cy="587124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pPr>
      <w:r w:rsidDel="00000000" w:rsidR="00000000" w:rsidRPr="00000000">
        <w:rPr>
          <w:i w:val="1"/>
          <w:iCs w:val="1"/>
          <w:sz w:val="17"/>
          <w:szCs w:val="17"/>
          <w:rtl w:val="0"/>
        </w:rPr>
        <w:t xml:space="preserve">Figure 1: Target Imbalance, Age-Group Conversion Rates, and Job Sector Subscription Dynamics.</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2.2 Financial Assets &amp; Debt Burden</w:t>
      </w:r>
    </w:p>
    <w:p w:rsidR="00000000" w:rsidDel="00000000" w:rsidP="00000000" w:rsidRDefault="00000000" w:rsidRPr="00000000" w14:paraId="0000000F">
      <w:pPr>
        <w:rPr/>
      </w:pPr>
      <w:r w:rsidDel="00000000" w:rsidR="00000000" w:rsidRPr="00000000">
        <w:rPr>
          <w:rtl w:val="0"/>
        </w:rPr>
        <w:t xml:space="preserve">• Account Balance: Depositors hold substantially higher median liquid balances than non-subscribers.</w:t>
        <w:br w:type="textWrapping"/>
        <w:t xml:space="preserve">• The Debt Burden Effect: Clients with an active housing loan convert at only 7.7% vs. 16.7% for clients without a housing loan. Similarly, personal loans cut conversion from 12.7% down to 6.7%. Debt service commitments strongly suppress term deposit adoption.</w:t>
      </w:r>
    </w:p>
    <w:p w:rsidR="00000000" w:rsidDel="00000000" w:rsidP="00000000" w:rsidRDefault="00000000" w:rsidRPr="00000000" w14:paraId="00000010">
      <w:pPr>
        <w:rPr/>
      </w:pPr>
      <w:r w:rsidDel="00000000" w:rsidR="00000000" w:rsidRPr="00000000">
        <w:rPr/>
        <w:drawing>
          <wp:inline distB="0" distT="0" distL="114300" distR="114300">
            <wp:extent cx="5669280" cy="5871248"/>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69280" cy="587124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i w:val="1"/>
          <w:iCs w:val="1"/>
          <w:sz w:val="17"/>
          <w:szCs w:val="17"/>
          <w:rtl w:val="0"/>
        </w:rPr>
        <w:t xml:space="preserve">Figure 2: Financial Assets and the Debt Burden Effect (Housing Loans, Personal Loans, Credit Default).</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2.3 Campaign Dynamics &amp; Data Leakage Elimination</w:t>
      </w:r>
    </w:p>
    <w:tbl>
      <w:tblPr>
        <w:tblStyle w:val="Table1"/>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d97706" w:space="0" w:sz="36" w:val="single"/>
              <w:bottom w:color="000000" w:space="0" w:sz="0" w:val="nil"/>
              <w:right w:color="000000" w:space="0" w:sz="0" w:val="nil"/>
            </w:tcBorders>
            <w:shd w:fill="fef3c7" w:val="clear"/>
            <w:tcMar>
              <w:top w:w="140.0" w:type="dxa"/>
              <w:left w:w="200.0" w:type="dxa"/>
              <w:bottom w:w="140.0" w:type="dxa"/>
              <w:right w:w="200.0" w:type="dxa"/>
            </w:tcMar>
          </w:tcPr>
          <w:p w:rsidR="00000000" w:rsidDel="00000000" w:rsidP="00000000" w:rsidRDefault="00000000" w:rsidRPr="00000000" w14:paraId="00000014">
            <w:pPr>
              <w:spacing w:after="80" w:before="40" w:lineRule="auto"/>
              <w:rPr/>
            </w:pPr>
            <w:r w:rsidDel="00000000" w:rsidR="00000000" w:rsidRPr="00000000">
              <w:rPr>
                <w:rFonts w:ascii="Calibri" w:cs="Calibri" w:eastAsia="Calibri" w:hAnsi="Calibri"/>
                <w:b w:val="1"/>
                <w:bCs w:val="1"/>
                <w:color w:val="92400e"/>
                <w:sz w:val="22"/>
                <w:szCs w:val="22"/>
                <w:rtl w:val="0"/>
              </w:rPr>
              <w:t xml:space="preserve">⚠️ Critical Discovery: Eliminating Data Leakage from Contact Duration</w:t>
              <w:br w:type="textWrapping"/>
            </w:r>
            <w:r w:rsidDel="00000000" w:rsidR="00000000" w:rsidRPr="00000000">
              <w:rPr>
                <w:rFonts w:ascii="Calibri" w:cs="Calibri" w:eastAsia="Calibri" w:hAnsi="Calibri"/>
                <w:color w:val="78350f"/>
                <w:sz w:val="20"/>
                <w:szCs w:val="20"/>
                <w:rtl w:val="0"/>
              </w:rPr>
              <w:t xml:space="preserve">In preliminary baseline experiments, call 'duration' showed an overwhelming correlation (+0.39) with subscriptions. However, duration is fundamentally unknown prior to dialing the phone! A call's length is an outcome of customer interest, not a predictive input available beforehand. Including duration in a production scoring model represents severe Data Leakage. In our final production architecture, duration was permanently eliminated to guarantee 100% real-world validity.</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Diminishing Returns: Conversion rate peaks on the 1st contact (14.6%) and 2nd contact (11.6%), plummeting below 7% on subsequent contacts.</w:t>
        <w:br w:type="textWrapping"/>
        <w:t xml:space="preserve">• Campaign Seasonality: March (52.0%), September (46.5%), October (43.8%), and December (46.7%) offer dramatic conversion yields.</w:t>
        <w:br w:type="textWrapping"/>
        <w:t xml:space="preserve">• Prior Campaign Success (poutcome): Clients who agreed in prior campaigns converted at an astonishing 64.7%.</w:t>
      </w:r>
    </w:p>
    <w:p w:rsidR="00000000" w:rsidDel="00000000" w:rsidP="00000000" w:rsidRDefault="00000000" w:rsidRPr="00000000" w14:paraId="00000017">
      <w:pPr>
        <w:rPr/>
      </w:pPr>
      <w:r w:rsidDel="00000000" w:rsidR="00000000" w:rsidRPr="00000000">
        <w:rPr/>
        <w:drawing>
          <wp:inline distB="0" distT="0" distL="114300" distR="114300">
            <wp:extent cx="5669280" cy="587124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69280" cy="587124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pPr>
      <w:r w:rsidDel="00000000" w:rsidR="00000000" w:rsidRPr="00000000">
        <w:rPr>
          <w:i w:val="1"/>
          <w:iCs w:val="1"/>
          <w:sz w:val="17"/>
          <w:szCs w:val="17"/>
          <w:rtl w:val="0"/>
        </w:rPr>
        <w:t xml:space="preserve">Figure 3: Contact Dynamics, Call Duration Disparity (Data Leakage), and Campaign Seasonality.</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2.4 Correlation Matrix &amp; Unknowns Audit</w:t>
      </w:r>
    </w:p>
    <w:p w:rsidR="00000000" w:rsidDel="00000000" w:rsidP="00000000" w:rsidRDefault="00000000" w:rsidRPr="00000000" w14:paraId="0000001B">
      <w:pPr>
        <w:rPr/>
      </w:pPr>
      <w:r w:rsidDel="00000000" w:rsidR="00000000" w:rsidRPr="00000000">
        <w:rPr>
          <w:rtl w:val="0"/>
        </w:rPr>
        <w:t xml:space="preserve">• All 45,211 rows contain zero NaNs.</w:t>
        <w:br w:type="textWrapping"/>
        <w:t xml:space="preserve">• Literal 'unknown' strings in 'contact' (13,020 rows), 'education' (1,857 rows), and 'job' (288 rows) were explicitly preserved as categorical levels during OneHotEncoding rather than imputed with arbitrary modes, allowing models to extract signal from missing communication channels.</w:t>
      </w:r>
    </w:p>
    <w:p w:rsidR="00000000" w:rsidDel="00000000" w:rsidP="00000000" w:rsidRDefault="00000000" w:rsidRPr="00000000" w14:paraId="0000001C">
      <w:pPr>
        <w:rPr/>
      </w:pPr>
      <w:r w:rsidDel="00000000" w:rsidR="00000000" w:rsidRPr="00000000">
        <w:rPr/>
        <w:drawing>
          <wp:inline distB="0" distT="0" distL="114300" distR="114300">
            <wp:extent cx="5669280" cy="5871248"/>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69280" cy="587124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i w:val="1"/>
          <w:iCs w:val="1"/>
          <w:sz w:val="17"/>
          <w:szCs w:val="17"/>
          <w:rtl w:val="0"/>
        </w:rPr>
        <w:t xml:space="preserve">Figure 4: Numerical Feature Correlation Matrix and Unknown Category Distribution Audit.</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3. Machine Learning Architecture &amp; Score Analytics</w:t>
      </w:r>
    </w:p>
    <w:p w:rsidR="00000000" w:rsidDel="00000000" w:rsidP="00000000" w:rsidRDefault="00000000" w:rsidRPr="00000000" w14:paraId="00000020">
      <w:pPr>
        <w:rPr/>
      </w:pPr>
      <w:r w:rsidDel="00000000" w:rsidR="00000000" w:rsidRPr="00000000">
        <w:rPr>
          <w:rtl w:val="0"/>
        </w:rPr>
        <w:t xml:space="preserve">Five machine learning classifiers were developed and benchmarked through three systematic architectural phases:</w:t>
        <w:br w:type="textWrapping"/>
        <w:t xml:space="preserve">1. Phase 1: Baseline Models (Unbalanced, with Duration)</w:t>
        <w:br w:type="textWrapping"/>
        <w:t xml:space="preserve">2. Phase 2: SMOTENC Balanced Models (5-Fold Stratified Cross-Validation, with Duration)</w:t>
        <w:br w:type="textWrapping"/>
        <w:t xml:space="preserve">3. Phase 3: Realistic Production Models (SMOTENC 5-Fold Stratified Cross-Validation, without Duration)</w:t>
      </w:r>
    </w:p>
    <w:tbl>
      <w:tblPr>
        <w:tblStyle w:val="Table2"/>
        <w:tblW w:w="9936.0" w:type="dxa"/>
        <w:jc w:val="center"/>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shd w:fill="1e40af"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e40af"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1"/>
                <w:bCs w:val="1"/>
                <w:color w:val="ffffff"/>
                <w:sz w:val="18"/>
                <w:szCs w:val="18"/>
                <w:rtl w:val="0"/>
              </w:rPr>
              <w:t xml:space="preserve">Model</w:t>
            </w:r>
            <w:r w:rsidDel="00000000" w:rsidR="00000000" w:rsidRPr="00000000">
              <w:rPr>
                <w:rtl w:val="0"/>
              </w:rPr>
            </w:r>
          </w:p>
        </w:tc>
        <w:tc>
          <w:tcPr>
            <w:shd w:fill="1e40af"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1"/>
                <w:bCs w:val="1"/>
                <w:color w:val="ffffff"/>
                <w:sz w:val="18"/>
                <w:szCs w:val="18"/>
                <w:rtl w:val="0"/>
              </w:rPr>
              <w:t xml:space="preserve">Accuracy</w:t>
            </w:r>
            <w:r w:rsidDel="00000000" w:rsidR="00000000" w:rsidRPr="00000000">
              <w:rPr>
                <w:rtl w:val="0"/>
              </w:rPr>
            </w:r>
          </w:p>
        </w:tc>
        <w:tc>
          <w:tcPr>
            <w:shd w:fill="1e40af"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1"/>
                <w:bCs w:val="1"/>
                <w:color w:val="ffffff"/>
                <w:sz w:val="18"/>
                <w:szCs w:val="18"/>
                <w:rtl w:val="0"/>
              </w:rPr>
              <w:t xml:space="preserve">Precision</w:t>
            </w:r>
            <w:r w:rsidDel="00000000" w:rsidR="00000000" w:rsidRPr="00000000">
              <w:rPr>
                <w:rtl w:val="0"/>
              </w:rPr>
            </w:r>
          </w:p>
        </w:tc>
        <w:tc>
          <w:tcPr>
            <w:shd w:fill="1e40af"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1"/>
                <w:bCs w:val="1"/>
                <w:color w:val="ffffff"/>
                <w:sz w:val="18"/>
                <w:szCs w:val="18"/>
                <w:rtl w:val="0"/>
              </w:rPr>
              <w:t xml:space="preserve">Recall</w:t>
            </w:r>
            <w:r w:rsidDel="00000000" w:rsidR="00000000" w:rsidRPr="00000000">
              <w:rPr>
                <w:rtl w:val="0"/>
              </w:rPr>
            </w:r>
          </w:p>
        </w:tc>
        <w:tc>
          <w:tcPr>
            <w:shd w:fill="1e40a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1"/>
                <w:bCs w:val="1"/>
                <w:color w:val="ffffff"/>
                <w:sz w:val="18"/>
                <w:szCs w:val="18"/>
                <w:rtl w:val="0"/>
              </w:rPr>
              <w:t xml:space="preserve">F1 Score</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27">
            <w:pPr>
              <w:rPr/>
            </w:pPr>
            <w:r w:rsidDel="00000000" w:rsidR="00000000" w:rsidRPr="00000000">
              <w:rPr>
                <w:sz w:val="17"/>
                <w:szCs w:val="17"/>
                <w:rtl w:val="0"/>
              </w:rPr>
              <w:t xml:space="preserve">Phase 1: Baseline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28">
            <w:pPr>
              <w:rPr/>
            </w:pPr>
            <w:r w:rsidDel="00000000" w:rsidR="00000000" w:rsidRPr="00000000">
              <w:rPr>
                <w:sz w:val="17"/>
                <w:szCs w:val="17"/>
                <w:rtl w:val="0"/>
              </w:rPr>
              <w:t xml:space="preserve">Random Forest</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29">
            <w:pPr>
              <w:rPr/>
            </w:pPr>
            <w:r w:rsidDel="00000000" w:rsidR="00000000" w:rsidRPr="00000000">
              <w:rPr>
                <w:sz w:val="17"/>
                <w:szCs w:val="17"/>
                <w:rtl w:val="0"/>
              </w:rPr>
              <w:t xml:space="preserve">90.84%</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2A">
            <w:pPr>
              <w:rPr/>
            </w:pPr>
            <w:r w:rsidDel="00000000" w:rsidR="00000000" w:rsidRPr="00000000">
              <w:rPr>
                <w:sz w:val="17"/>
                <w:szCs w:val="17"/>
                <w:rtl w:val="0"/>
              </w:rPr>
              <w:t xml:space="preserve">66.34%</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2B">
            <w:pPr>
              <w:rPr/>
            </w:pPr>
            <w:r w:rsidDel="00000000" w:rsidR="00000000" w:rsidRPr="00000000">
              <w:rPr>
                <w:sz w:val="17"/>
                <w:szCs w:val="17"/>
                <w:rtl w:val="0"/>
              </w:rPr>
              <w:t xml:space="preserve">44.14%</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2C">
            <w:pPr>
              <w:rPr/>
            </w:pPr>
            <w:r w:rsidDel="00000000" w:rsidR="00000000" w:rsidRPr="00000000">
              <w:rPr>
                <w:sz w:val="17"/>
                <w:szCs w:val="17"/>
                <w:rtl w:val="0"/>
              </w:rPr>
              <w:t xml:space="preserve">53.01%</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2D">
            <w:pPr>
              <w:rPr/>
            </w:pPr>
            <w:r w:rsidDel="00000000" w:rsidR="00000000" w:rsidRPr="00000000">
              <w:rPr>
                <w:sz w:val="17"/>
                <w:szCs w:val="17"/>
                <w:rtl w:val="0"/>
              </w:rPr>
              <w:t xml:space="preserve">Phase 1: Baseline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2E">
            <w:pPr>
              <w:rPr/>
            </w:pPr>
            <w:r w:rsidDel="00000000" w:rsidR="00000000" w:rsidRPr="00000000">
              <w:rPr>
                <w:sz w:val="17"/>
                <w:szCs w:val="17"/>
                <w:rtl w:val="0"/>
              </w:rPr>
              <w:t xml:space="preserve">Gradient Boosting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2F">
            <w:pPr>
              <w:rPr/>
            </w:pPr>
            <w:r w:rsidDel="00000000" w:rsidR="00000000" w:rsidRPr="00000000">
              <w:rPr>
                <w:sz w:val="17"/>
                <w:szCs w:val="17"/>
                <w:rtl w:val="0"/>
              </w:rPr>
              <w:t xml:space="preserve">90.82%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30">
            <w:pPr>
              <w:rPr/>
            </w:pPr>
            <w:r w:rsidDel="00000000" w:rsidR="00000000" w:rsidRPr="00000000">
              <w:rPr>
                <w:sz w:val="17"/>
                <w:szCs w:val="17"/>
                <w:rtl w:val="0"/>
              </w:rPr>
              <w:t xml:space="preserve">66.33%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31">
            <w:pPr>
              <w:rPr/>
            </w:pPr>
            <w:r w:rsidDel="00000000" w:rsidR="00000000" w:rsidRPr="00000000">
              <w:rPr>
                <w:sz w:val="17"/>
                <w:szCs w:val="17"/>
                <w:rtl w:val="0"/>
              </w:rPr>
              <w:t xml:space="preserve">43.76%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32">
            <w:pPr>
              <w:rPr/>
            </w:pPr>
            <w:r w:rsidDel="00000000" w:rsidR="00000000" w:rsidRPr="00000000">
              <w:rPr>
                <w:sz w:val="17"/>
                <w:szCs w:val="17"/>
                <w:rtl w:val="0"/>
              </w:rPr>
              <w:t xml:space="preserve">52.73%</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33">
            <w:pPr>
              <w:rPr/>
            </w:pPr>
            <w:r w:rsidDel="00000000" w:rsidR="00000000" w:rsidRPr="00000000">
              <w:rPr>
                <w:sz w:val="17"/>
                <w:szCs w:val="17"/>
                <w:rtl w:val="0"/>
              </w:rPr>
              <w:t xml:space="preserve">Phase 1: Baseline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34">
            <w:pPr>
              <w:rPr/>
            </w:pPr>
            <w:r w:rsidDel="00000000" w:rsidR="00000000" w:rsidRPr="00000000">
              <w:rPr>
                <w:sz w:val="17"/>
                <w:szCs w:val="17"/>
                <w:rtl w:val="0"/>
              </w:rPr>
              <w:t xml:space="preserve">Logistic Regression</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35">
            <w:pPr>
              <w:rPr/>
            </w:pPr>
            <w:r w:rsidDel="00000000" w:rsidR="00000000" w:rsidRPr="00000000">
              <w:rPr>
                <w:sz w:val="17"/>
                <w:szCs w:val="17"/>
                <w:rtl w:val="0"/>
              </w:rPr>
              <w:t xml:space="preserve">90.58%</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36">
            <w:pPr>
              <w:rPr/>
            </w:pPr>
            <w:r w:rsidDel="00000000" w:rsidR="00000000" w:rsidRPr="00000000">
              <w:rPr>
                <w:sz w:val="17"/>
                <w:szCs w:val="17"/>
                <w:rtl w:val="0"/>
              </w:rPr>
              <w:t xml:space="preserve">68.07%</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37">
            <w:pPr>
              <w:rPr/>
            </w:pPr>
            <w:r w:rsidDel="00000000" w:rsidR="00000000" w:rsidRPr="00000000">
              <w:rPr>
                <w:sz w:val="17"/>
                <w:szCs w:val="17"/>
                <w:rtl w:val="0"/>
              </w:rPr>
              <w:t xml:space="preserve">36.67%</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38">
            <w:pPr>
              <w:rPr/>
            </w:pPr>
            <w:r w:rsidDel="00000000" w:rsidR="00000000" w:rsidRPr="00000000">
              <w:rPr>
                <w:sz w:val="17"/>
                <w:szCs w:val="17"/>
                <w:rtl w:val="0"/>
              </w:rPr>
              <w:t xml:space="preserve">47.67%</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39">
            <w:pPr>
              <w:rPr/>
            </w:pPr>
            <w:r w:rsidDel="00000000" w:rsidR="00000000" w:rsidRPr="00000000">
              <w:rPr>
                <w:sz w:val="17"/>
                <w:szCs w:val="17"/>
                <w:rtl w:val="0"/>
              </w:rPr>
              <w:t xml:space="preserve">Phase 1: Baseline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3A">
            <w:pPr>
              <w:rPr/>
            </w:pPr>
            <w:r w:rsidDel="00000000" w:rsidR="00000000" w:rsidRPr="00000000">
              <w:rPr>
                <w:sz w:val="17"/>
                <w:szCs w:val="17"/>
                <w:rtl w:val="0"/>
              </w:rPr>
              <w:t xml:space="preserve">KNN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3B">
            <w:pPr>
              <w:rPr/>
            </w:pPr>
            <w:r w:rsidDel="00000000" w:rsidR="00000000" w:rsidRPr="00000000">
              <w:rPr>
                <w:sz w:val="17"/>
                <w:szCs w:val="17"/>
                <w:rtl w:val="0"/>
              </w:rPr>
              <w:t xml:space="preserve">89.59%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3C">
            <w:pPr>
              <w:rPr/>
            </w:pPr>
            <w:r w:rsidDel="00000000" w:rsidR="00000000" w:rsidRPr="00000000">
              <w:rPr>
                <w:sz w:val="17"/>
                <w:szCs w:val="17"/>
                <w:rtl w:val="0"/>
              </w:rPr>
              <w:t xml:space="preserve">59.13%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3D">
            <w:pPr>
              <w:rPr/>
            </w:pPr>
            <w:r w:rsidDel="00000000" w:rsidR="00000000" w:rsidRPr="00000000">
              <w:rPr>
                <w:sz w:val="17"/>
                <w:szCs w:val="17"/>
                <w:rtl w:val="0"/>
              </w:rPr>
              <w:t xml:space="preserve">35.82%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3E">
            <w:pPr>
              <w:rPr/>
            </w:pPr>
            <w:r w:rsidDel="00000000" w:rsidR="00000000" w:rsidRPr="00000000">
              <w:rPr>
                <w:sz w:val="17"/>
                <w:szCs w:val="17"/>
                <w:rtl w:val="0"/>
              </w:rPr>
              <w:t xml:space="preserve">44.61%</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3F">
            <w:pPr>
              <w:rPr/>
            </w:pPr>
            <w:r w:rsidDel="00000000" w:rsidR="00000000" w:rsidRPr="00000000">
              <w:rPr>
                <w:sz w:val="17"/>
                <w:szCs w:val="17"/>
                <w:rtl w:val="0"/>
              </w:rPr>
              <w:t xml:space="preserve">Phase 1: Baseline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0">
            <w:pPr>
              <w:rPr/>
            </w:pPr>
            <w:r w:rsidDel="00000000" w:rsidR="00000000" w:rsidRPr="00000000">
              <w:rPr>
                <w:sz w:val="17"/>
                <w:szCs w:val="17"/>
                <w:rtl w:val="0"/>
              </w:rPr>
              <w:t xml:space="preserve">Decision Tree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1">
            <w:pPr>
              <w:rPr/>
            </w:pPr>
            <w:r w:rsidDel="00000000" w:rsidR="00000000" w:rsidRPr="00000000">
              <w:rPr>
                <w:sz w:val="17"/>
                <w:szCs w:val="17"/>
                <w:rtl w:val="0"/>
              </w:rPr>
              <w:t xml:space="preserve">87.37%</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2">
            <w:pPr>
              <w:rPr/>
            </w:pPr>
            <w:r w:rsidDel="00000000" w:rsidR="00000000" w:rsidRPr="00000000">
              <w:rPr>
                <w:sz w:val="17"/>
                <w:szCs w:val="17"/>
                <w:rtl w:val="0"/>
              </w:rPr>
              <w:t xml:space="preserve">46.25%</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3">
            <w:pPr>
              <w:rPr/>
            </w:pPr>
            <w:r w:rsidDel="00000000" w:rsidR="00000000" w:rsidRPr="00000000">
              <w:rPr>
                <w:sz w:val="17"/>
                <w:szCs w:val="17"/>
                <w:rtl w:val="0"/>
              </w:rPr>
              <w:t xml:space="preserve">48.96%</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4">
            <w:pPr>
              <w:rPr/>
            </w:pPr>
            <w:r w:rsidDel="00000000" w:rsidR="00000000" w:rsidRPr="00000000">
              <w:rPr>
                <w:sz w:val="17"/>
                <w:szCs w:val="17"/>
                <w:rtl w:val="0"/>
              </w:rPr>
              <w:t xml:space="preserve">47.57%</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45">
            <w:pPr>
              <w:rPr/>
            </w:pPr>
            <w:r w:rsidDel="00000000" w:rsidR="00000000" w:rsidRPr="00000000">
              <w:rPr>
                <w:sz w:val="17"/>
                <w:szCs w:val="17"/>
                <w:rtl w:val="0"/>
              </w:rPr>
              <w:t xml:space="preserve">Phase 2: SMOTENC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46">
            <w:pPr>
              <w:rPr/>
            </w:pPr>
            <w:r w:rsidDel="00000000" w:rsidR="00000000" w:rsidRPr="00000000">
              <w:rPr>
                <w:sz w:val="17"/>
                <w:szCs w:val="17"/>
                <w:rtl w:val="0"/>
              </w:rPr>
              <w:t xml:space="preserve">Gradient Boosting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47">
            <w:pPr>
              <w:rPr/>
            </w:pPr>
            <w:r w:rsidDel="00000000" w:rsidR="00000000" w:rsidRPr="00000000">
              <w:rPr>
                <w:sz w:val="17"/>
                <w:szCs w:val="17"/>
                <w:rtl w:val="0"/>
              </w:rPr>
              <w:t xml:space="preserve">85.68%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48">
            <w:pPr>
              <w:rPr/>
            </w:pPr>
            <w:r w:rsidDel="00000000" w:rsidR="00000000" w:rsidRPr="00000000">
              <w:rPr>
                <w:sz w:val="17"/>
                <w:szCs w:val="17"/>
                <w:rtl w:val="0"/>
              </w:rPr>
              <w:t xml:space="preserve">43.78%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49">
            <w:pPr>
              <w:rPr/>
            </w:pPr>
            <w:r w:rsidDel="00000000" w:rsidR="00000000" w:rsidRPr="00000000">
              <w:rPr>
                <w:sz w:val="17"/>
                <w:szCs w:val="17"/>
                <w:rtl w:val="0"/>
              </w:rPr>
              <w:t xml:space="preserve">78.66%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4A">
            <w:pPr>
              <w:rPr/>
            </w:pPr>
            <w:r w:rsidDel="00000000" w:rsidR="00000000" w:rsidRPr="00000000">
              <w:rPr>
                <w:sz w:val="17"/>
                <w:szCs w:val="17"/>
                <w:rtl w:val="0"/>
              </w:rPr>
              <w:t xml:space="preserve">56.25%</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4B">
            <w:pPr>
              <w:rPr/>
            </w:pPr>
            <w:r w:rsidDel="00000000" w:rsidR="00000000" w:rsidRPr="00000000">
              <w:rPr>
                <w:sz w:val="17"/>
                <w:szCs w:val="17"/>
                <w:rtl w:val="0"/>
              </w:rPr>
              <w:t xml:space="preserve">Phase 2: SMOTENC</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C">
            <w:pPr>
              <w:rPr/>
            </w:pPr>
            <w:r w:rsidDel="00000000" w:rsidR="00000000" w:rsidRPr="00000000">
              <w:rPr>
                <w:sz w:val="17"/>
                <w:szCs w:val="17"/>
                <w:rtl w:val="0"/>
              </w:rPr>
              <w:t xml:space="preserve">Random Forest</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D">
            <w:pPr>
              <w:rPr/>
            </w:pPr>
            <w:r w:rsidDel="00000000" w:rsidR="00000000" w:rsidRPr="00000000">
              <w:rPr>
                <w:sz w:val="17"/>
                <w:szCs w:val="17"/>
                <w:rtl w:val="0"/>
              </w:rPr>
              <w:t xml:space="preserve">88.54%</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E">
            <w:pPr>
              <w:rPr/>
            </w:pPr>
            <w:r w:rsidDel="00000000" w:rsidR="00000000" w:rsidRPr="00000000">
              <w:rPr>
                <w:sz w:val="17"/>
                <w:szCs w:val="17"/>
                <w:rtl w:val="0"/>
              </w:rPr>
              <w:t xml:space="preserve">50.78%</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F">
            <w:pPr>
              <w:rPr/>
            </w:pPr>
            <w:r w:rsidDel="00000000" w:rsidR="00000000" w:rsidRPr="00000000">
              <w:rPr>
                <w:sz w:val="17"/>
                <w:szCs w:val="17"/>
                <w:rtl w:val="0"/>
              </w:rPr>
              <w:t xml:space="preserve">68.52%</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0">
            <w:pPr>
              <w:rPr/>
            </w:pPr>
            <w:r w:rsidDel="00000000" w:rsidR="00000000" w:rsidRPr="00000000">
              <w:rPr>
                <w:sz w:val="17"/>
                <w:szCs w:val="17"/>
                <w:rtl w:val="0"/>
              </w:rPr>
              <w:t xml:space="preserve">58.31%</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51">
            <w:pPr>
              <w:rPr/>
            </w:pPr>
            <w:r w:rsidDel="00000000" w:rsidR="00000000" w:rsidRPr="00000000">
              <w:rPr>
                <w:sz w:val="17"/>
                <w:szCs w:val="17"/>
                <w:rtl w:val="0"/>
              </w:rPr>
              <w:t xml:space="preserve">Phase 2: SMOTENC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2">
            <w:pPr>
              <w:rPr/>
            </w:pPr>
            <w:r w:rsidDel="00000000" w:rsidR="00000000" w:rsidRPr="00000000">
              <w:rPr>
                <w:sz w:val="17"/>
                <w:szCs w:val="17"/>
                <w:rtl w:val="0"/>
              </w:rPr>
              <w:t xml:space="preserve">Logistic Regression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3">
            <w:pPr>
              <w:rPr/>
            </w:pPr>
            <w:r w:rsidDel="00000000" w:rsidR="00000000" w:rsidRPr="00000000">
              <w:rPr>
                <w:sz w:val="17"/>
                <w:szCs w:val="17"/>
                <w:rtl w:val="0"/>
              </w:rPr>
              <w:t xml:space="preserve">85.38%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4">
            <w:pPr>
              <w:rPr/>
            </w:pPr>
            <w:r w:rsidDel="00000000" w:rsidR="00000000" w:rsidRPr="00000000">
              <w:rPr>
                <w:sz w:val="17"/>
                <w:szCs w:val="17"/>
                <w:rtl w:val="0"/>
              </w:rPr>
              <w:t xml:space="preserve">42.78%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5">
            <w:pPr>
              <w:rPr/>
            </w:pPr>
            <w:r w:rsidDel="00000000" w:rsidR="00000000" w:rsidRPr="00000000">
              <w:rPr>
                <w:sz w:val="17"/>
                <w:szCs w:val="17"/>
                <w:rtl w:val="0"/>
              </w:rPr>
              <w:t xml:space="preserve">73.88%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6">
            <w:pPr>
              <w:rPr/>
            </w:pPr>
            <w:r w:rsidDel="00000000" w:rsidR="00000000" w:rsidRPr="00000000">
              <w:rPr>
                <w:sz w:val="17"/>
                <w:szCs w:val="17"/>
                <w:rtl w:val="0"/>
              </w:rPr>
              <w:t xml:space="preserve">54.19%</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57">
            <w:pPr>
              <w:rPr/>
            </w:pPr>
            <w:r w:rsidDel="00000000" w:rsidR="00000000" w:rsidRPr="00000000">
              <w:rPr>
                <w:sz w:val="17"/>
                <w:szCs w:val="17"/>
                <w:rtl w:val="0"/>
              </w:rPr>
              <w:t xml:space="preserve">Phase 2: SMOTENC</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8">
            <w:pPr>
              <w:rPr/>
            </w:pPr>
            <w:r w:rsidDel="00000000" w:rsidR="00000000" w:rsidRPr="00000000">
              <w:rPr>
                <w:sz w:val="17"/>
                <w:szCs w:val="17"/>
                <w:rtl w:val="0"/>
              </w:rPr>
              <w:t xml:space="preserve">KNN</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9">
            <w:pPr>
              <w:rPr/>
            </w:pPr>
            <w:r w:rsidDel="00000000" w:rsidR="00000000" w:rsidRPr="00000000">
              <w:rPr>
                <w:sz w:val="17"/>
                <w:szCs w:val="17"/>
                <w:rtl w:val="0"/>
              </w:rPr>
              <w:t xml:space="preserve">85.85%</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A">
            <w:pPr>
              <w:rPr/>
            </w:pPr>
            <w:r w:rsidDel="00000000" w:rsidR="00000000" w:rsidRPr="00000000">
              <w:rPr>
                <w:sz w:val="17"/>
                <w:szCs w:val="17"/>
                <w:rtl w:val="0"/>
              </w:rPr>
              <w:t xml:space="preserve">43.29%</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B">
            <w:pPr>
              <w:rPr/>
            </w:pPr>
            <w:r w:rsidDel="00000000" w:rsidR="00000000" w:rsidRPr="00000000">
              <w:rPr>
                <w:sz w:val="17"/>
                <w:szCs w:val="17"/>
                <w:rtl w:val="0"/>
              </w:rPr>
              <w:t xml:space="preserve">67.36%</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C">
            <w:pPr>
              <w:rPr/>
            </w:pPr>
            <w:r w:rsidDel="00000000" w:rsidR="00000000" w:rsidRPr="00000000">
              <w:rPr>
                <w:sz w:val="17"/>
                <w:szCs w:val="17"/>
                <w:rtl w:val="0"/>
              </w:rPr>
              <w:t xml:space="preserve">52.70%</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5D">
            <w:pPr>
              <w:rPr/>
            </w:pPr>
            <w:r w:rsidDel="00000000" w:rsidR="00000000" w:rsidRPr="00000000">
              <w:rPr>
                <w:sz w:val="17"/>
                <w:szCs w:val="17"/>
                <w:rtl w:val="0"/>
              </w:rPr>
              <w:t xml:space="preserve">Phase 2: SMOTENC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E">
            <w:pPr>
              <w:rPr/>
            </w:pPr>
            <w:r w:rsidDel="00000000" w:rsidR="00000000" w:rsidRPr="00000000">
              <w:rPr>
                <w:sz w:val="17"/>
                <w:szCs w:val="17"/>
                <w:rtl w:val="0"/>
              </w:rPr>
              <w:t xml:space="preserve">Decision Tree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F">
            <w:pPr>
              <w:rPr/>
            </w:pPr>
            <w:r w:rsidDel="00000000" w:rsidR="00000000" w:rsidRPr="00000000">
              <w:rPr>
                <w:sz w:val="17"/>
                <w:szCs w:val="17"/>
                <w:rtl w:val="0"/>
              </w:rPr>
              <w:t xml:space="preserve">85.50%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60">
            <w:pPr>
              <w:rPr/>
            </w:pPr>
            <w:r w:rsidDel="00000000" w:rsidR="00000000" w:rsidRPr="00000000">
              <w:rPr>
                <w:sz w:val="17"/>
                <w:szCs w:val="17"/>
                <w:rtl w:val="0"/>
              </w:rPr>
              <w:t xml:space="preserve">41.79%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61">
            <w:pPr>
              <w:rPr/>
            </w:pPr>
            <w:r w:rsidDel="00000000" w:rsidR="00000000" w:rsidRPr="00000000">
              <w:rPr>
                <w:sz w:val="17"/>
                <w:szCs w:val="17"/>
                <w:rtl w:val="0"/>
              </w:rPr>
              <w:t xml:space="preserve">61.03%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62">
            <w:pPr>
              <w:rPr/>
            </w:pPr>
            <w:r w:rsidDel="00000000" w:rsidR="00000000" w:rsidRPr="00000000">
              <w:rPr>
                <w:sz w:val="17"/>
                <w:szCs w:val="17"/>
                <w:rtl w:val="0"/>
              </w:rPr>
              <w:t xml:space="preserve">49.60%</w:t>
            </w:r>
            <w:r w:rsidDel="00000000" w:rsidR="00000000" w:rsidRPr="00000000">
              <w:rPr>
                <w:rtl w:val="0"/>
              </w:rPr>
            </w:r>
          </w:p>
        </w:tc>
      </w:tr>
      <w:tr>
        <w:trPr>
          <w:cantSplit w:val="0"/>
          <w:tblHeader w:val="0"/>
        </w:trPr>
        <w:tc>
          <w:tcPr>
            <w:shd w:fill="ecfdf5" w:val="clear"/>
            <w:tcMar>
              <w:top w:w="60.0" w:type="dxa"/>
              <w:left w:w="80.0" w:type="dxa"/>
              <w:bottom w:w="60.0" w:type="dxa"/>
              <w:right w:w="80.0" w:type="dxa"/>
            </w:tcMar>
          </w:tcPr>
          <w:p w:rsidR="00000000" w:rsidDel="00000000" w:rsidP="00000000" w:rsidRDefault="00000000" w:rsidRPr="00000000" w14:paraId="00000063">
            <w:pPr>
              <w:rPr/>
            </w:pPr>
            <w:r w:rsidDel="00000000" w:rsidR="00000000" w:rsidRPr="00000000">
              <w:rPr>
                <w:sz w:val="17"/>
                <w:szCs w:val="17"/>
                <w:rtl w:val="0"/>
              </w:rPr>
              <w:t xml:space="preserve">Phase 3: Production</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64">
            <w:pPr>
              <w:rPr/>
            </w:pPr>
            <w:r w:rsidDel="00000000" w:rsidR="00000000" w:rsidRPr="00000000">
              <w:rPr>
                <w:b w:val="1"/>
                <w:bCs w:val="1"/>
                <w:color w:val="047857"/>
                <w:sz w:val="17"/>
                <w:szCs w:val="17"/>
                <w:rtl w:val="0"/>
              </w:rPr>
              <w:t xml:space="preserve">Gradient Boosting</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65">
            <w:pPr>
              <w:rPr/>
            </w:pPr>
            <w:r w:rsidDel="00000000" w:rsidR="00000000" w:rsidRPr="00000000">
              <w:rPr>
                <w:sz w:val="17"/>
                <w:szCs w:val="17"/>
                <w:rtl w:val="0"/>
              </w:rPr>
              <w:t xml:space="preserve">75.80%</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66">
            <w:pPr>
              <w:rPr/>
            </w:pPr>
            <w:r w:rsidDel="00000000" w:rsidR="00000000" w:rsidRPr="00000000">
              <w:rPr>
                <w:sz w:val="17"/>
                <w:szCs w:val="17"/>
                <w:rtl w:val="0"/>
              </w:rPr>
              <w:t xml:space="preserve">26.58%</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67">
            <w:pPr>
              <w:rPr/>
            </w:pPr>
            <w:r w:rsidDel="00000000" w:rsidR="00000000" w:rsidRPr="00000000">
              <w:rPr>
                <w:sz w:val="17"/>
                <w:szCs w:val="17"/>
                <w:rtl w:val="0"/>
              </w:rPr>
              <w:t xml:space="preserve">60.65%</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68">
            <w:pPr>
              <w:rPr/>
            </w:pPr>
            <w:r w:rsidDel="00000000" w:rsidR="00000000" w:rsidRPr="00000000">
              <w:rPr>
                <w:sz w:val="17"/>
                <w:szCs w:val="17"/>
                <w:rtl w:val="0"/>
              </w:rPr>
              <w:t xml:space="preserve">36.95%</w:t>
            </w:r>
            <w:r w:rsidDel="00000000" w:rsidR="00000000" w:rsidRPr="00000000">
              <w:rPr>
                <w:rtl w:val="0"/>
              </w:rPr>
            </w:r>
          </w:p>
        </w:tc>
      </w:tr>
      <w:tr>
        <w:trPr>
          <w:cantSplit w:val="0"/>
          <w:tblHeader w:val="0"/>
        </w:trPr>
        <w:tc>
          <w:tcPr>
            <w:shd w:fill="ecfdf5" w:val="clear"/>
            <w:tcMar>
              <w:top w:w="60.0" w:type="dxa"/>
              <w:left w:w="80.0" w:type="dxa"/>
              <w:bottom w:w="60.0" w:type="dxa"/>
              <w:right w:w="80.0" w:type="dxa"/>
            </w:tcMar>
          </w:tcPr>
          <w:p w:rsidR="00000000" w:rsidDel="00000000" w:rsidP="00000000" w:rsidRDefault="00000000" w:rsidRPr="00000000" w14:paraId="00000069">
            <w:pPr>
              <w:rPr/>
            </w:pPr>
            <w:r w:rsidDel="00000000" w:rsidR="00000000" w:rsidRPr="00000000">
              <w:rPr>
                <w:sz w:val="17"/>
                <w:szCs w:val="17"/>
                <w:rtl w:val="0"/>
              </w:rPr>
              <w:t xml:space="preserve">Phase 3: Production</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6A">
            <w:pPr>
              <w:rPr/>
            </w:pPr>
            <w:r w:rsidDel="00000000" w:rsidR="00000000" w:rsidRPr="00000000">
              <w:rPr>
                <w:sz w:val="17"/>
                <w:szCs w:val="17"/>
                <w:rtl w:val="0"/>
              </w:rPr>
              <w:t xml:space="preserve">Random Forest</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6B">
            <w:pPr>
              <w:rPr/>
            </w:pPr>
            <w:r w:rsidDel="00000000" w:rsidR="00000000" w:rsidRPr="00000000">
              <w:rPr>
                <w:sz w:val="17"/>
                <w:szCs w:val="17"/>
                <w:rtl w:val="0"/>
              </w:rPr>
              <w:t xml:space="preserve">83.70%</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6C">
            <w:pPr>
              <w:rPr/>
            </w:pPr>
            <w:r w:rsidDel="00000000" w:rsidR="00000000" w:rsidRPr="00000000">
              <w:rPr>
                <w:sz w:val="17"/>
                <w:szCs w:val="17"/>
                <w:rtl w:val="0"/>
              </w:rPr>
              <w:t xml:space="preserve">35.39%</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6D">
            <w:pPr>
              <w:rPr/>
            </w:pPr>
            <w:r w:rsidDel="00000000" w:rsidR="00000000" w:rsidRPr="00000000">
              <w:rPr>
                <w:sz w:val="17"/>
                <w:szCs w:val="17"/>
                <w:rtl w:val="0"/>
              </w:rPr>
              <w:t xml:space="preserve">47.62%</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6E">
            <w:pPr>
              <w:rPr/>
            </w:pPr>
            <w:r w:rsidDel="00000000" w:rsidR="00000000" w:rsidRPr="00000000">
              <w:rPr>
                <w:sz w:val="17"/>
                <w:szCs w:val="17"/>
                <w:rtl w:val="0"/>
              </w:rPr>
              <w:t xml:space="preserve">40.59%</w:t>
            </w:r>
            <w:r w:rsidDel="00000000" w:rsidR="00000000" w:rsidRPr="00000000">
              <w:rPr>
                <w:rtl w:val="0"/>
              </w:rPr>
            </w:r>
          </w:p>
        </w:tc>
      </w:tr>
      <w:tr>
        <w:trPr>
          <w:cantSplit w:val="0"/>
          <w:tblHeader w:val="0"/>
        </w:trPr>
        <w:tc>
          <w:tcPr>
            <w:shd w:fill="ecfdf5" w:val="clear"/>
            <w:tcMar>
              <w:top w:w="60.0" w:type="dxa"/>
              <w:left w:w="80.0" w:type="dxa"/>
              <w:bottom w:w="60.0" w:type="dxa"/>
              <w:right w:w="80.0" w:type="dxa"/>
            </w:tcMar>
          </w:tcPr>
          <w:p w:rsidR="00000000" w:rsidDel="00000000" w:rsidP="00000000" w:rsidRDefault="00000000" w:rsidRPr="00000000" w14:paraId="0000006F">
            <w:pPr>
              <w:rPr/>
            </w:pPr>
            <w:r w:rsidDel="00000000" w:rsidR="00000000" w:rsidRPr="00000000">
              <w:rPr>
                <w:sz w:val="17"/>
                <w:szCs w:val="17"/>
                <w:rtl w:val="0"/>
              </w:rPr>
              <w:t xml:space="preserve">Phase 3: Production</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0">
            <w:pPr>
              <w:rPr/>
            </w:pPr>
            <w:r w:rsidDel="00000000" w:rsidR="00000000" w:rsidRPr="00000000">
              <w:rPr>
                <w:sz w:val="17"/>
                <w:szCs w:val="17"/>
                <w:rtl w:val="0"/>
              </w:rPr>
              <w:t xml:space="preserve">KNN</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1">
            <w:pPr>
              <w:rPr/>
            </w:pPr>
            <w:r w:rsidDel="00000000" w:rsidR="00000000" w:rsidRPr="00000000">
              <w:rPr>
                <w:sz w:val="17"/>
                <w:szCs w:val="17"/>
                <w:rtl w:val="0"/>
              </w:rPr>
              <w:t xml:space="preserve">77.59%</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2">
            <w:pPr>
              <w:rPr/>
            </w:pPr>
            <w:r w:rsidDel="00000000" w:rsidR="00000000" w:rsidRPr="00000000">
              <w:rPr>
                <w:sz w:val="17"/>
                <w:szCs w:val="17"/>
                <w:rtl w:val="0"/>
              </w:rPr>
              <w:t xml:space="preserve">26.97%</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3">
            <w:pPr>
              <w:rPr/>
            </w:pPr>
            <w:r w:rsidDel="00000000" w:rsidR="00000000" w:rsidRPr="00000000">
              <w:rPr>
                <w:sz w:val="17"/>
                <w:szCs w:val="17"/>
                <w:rtl w:val="0"/>
              </w:rPr>
              <w:t xml:space="preserve">53.56%</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4">
            <w:pPr>
              <w:rPr/>
            </w:pPr>
            <w:r w:rsidDel="00000000" w:rsidR="00000000" w:rsidRPr="00000000">
              <w:rPr>
                <w:sz w:val="17"/>
                <w:szCs w:val="17"/>
                <w:rtl w:val="0"/>
              </w:rPr>
              <w:t xml:space="preserve">35.87%</w:t>
            </w:r>
            <w:r w:rsidDel="00000000" w:rsidR="00000000" w:rsidRPr="00000000">
              <w:rPr>
                <w:rtl w:val="0"/>
              </w:rPr>
            </w:r>
          </w:p>
        </w:tc>
      </w:tr>
      <w:tr>
        <w:trPr>
          <w:cantSplit w:val="0"/>
          <w:tblHeader w:val="0"/>
        </w:trPr>
        <w:tc>
          <w:tcPr>
            <w:shd w:fill="ecfdf5" w:val="clear"/>
            <w:tcMar>
              <w:top w:w="60.0" w:type="dxa"/>
              <w:left w:w="80.0" w:type="dxa"/>
              <w:bottom w:w="60.0" w:type="dxa"/>
              <w:right w:w="80.0" w:type="dxa"/>
            </w:tcMar>
          </w:tcPr>
          <w:p w:rsidR="00000000" w:rsidDel="00000000" w:rsidP="00000000" w:rsidRDefault="00000000" w:rsidRPr="00000000" w14:paraId="00000075">
            <w:pPr>
              <w:rPr/>
            </w:pPr>
            <w:r w:rsidDel="00000000" w:rsidR="00000000" w:rsidRPr="00000000">
              <w:rPr>
                <w:sz w:val="17"/>
                <w:szCs w:val="17"/>
                <w:rtl w:val="0"/>
              </w:rPr>
              <w:t xml:space="preserve">Phase 3: Production</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6">
            <w:pPr>
              <w:rPr/>
            </w:pPr>
            <w:r w:rsidDel="00000000" w:rsidR="00000000" w:rsidRPr="00000000">
              <w:rPr>
                <w:sz w:val="17"/>
                <w:szCs w:val="17"/>
                <w:rtl w:val="0"/>
              </w:rPr>
              <w:t xml:space="preserve">Decision Tree</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7">
            <w:pPr>
              <w:rPr/>
            </w:pPr>
            <w:r w:rsidDel="00000000" w:rsidR="00000000" w:rsidRPr="00000000">
              <w:rPr>
                <w:sz w:val="17"/>
                <w:szCs w:val="17"/>
                <w:rtl w:val="0"/>
              </w:rPr>
              <w:t xml:space="preserve">78.06%</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8">
            <w:pPr>
              <w:rPr/>
            </w:pPr>
            <w:r w:rsidDel="00000000" w:rsidR="00000000" w:rsidRPr="00000000">
              <w:rPr>
                <w:sz w:val="17"/>
                <w:szCs w:val="17"/>
                <w:rtl w:val="0"/>
              </w:rPr>
              <w:t xml:space="preserve">25.64%</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9">
            <w:pPr>
              <w:rPr/>
            </w:pPr>
            <w:r w:rsidDel="00000000" w:rsidR="00000000" w:rsidRPr="00000000">
              <w:rPr>
                <w:sz w:val="17"/>
                <w:szCs w:val="17"/>
                <w:rtl w:val="0"/>
              </w:rPr>
              <w:t xml:space="preserve">46.02%</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A">
            <w:pPr>
              <w:rPr/>
            </w:pPr>
            <w:r w:rsidDel="00000000" w:rsidR="00000000" w:rsidRPr="00000000">
              <w:rPr>
                <w:sz w:val="17"/>
                <w:szCs w:val="17"/>
                <w:rtl w:val="0"/>
              </w:rPr>
              <w:t xml:space="preserve">32.92%</w:t>
            </w:r>
            <w:r w:rsidDel="00000000" w:rsidR="00000000" w:rsidRPr="00000000">
              <w:rPr>
                <w:rtl w:val="0"/>
              </w:rPr>
            </w:r>
          </w:p>
        </w:tc>
      </w:tr>
      <w:tr>
        <w:trPr>
          <w:cantSplit w:val="0"/>
          <w:tblHeader w:val="0"/>
        </w:trPr>
        <w:tc>
          <w:tcPr>
            <w:shd w:fill="ecfdf5" w:val="clear"/>
            <w:tcMar>
              <w:top w:w="60.0" w:type="dxa"/>
              <w:left w:w="80.0" w:type="dxa"/>
              <w:bottom w:w="60.0" w:type="dxa"/>
              <w:right w:w="80.0" w:type="dxa"/>
            </w:tcMar>
          </w:tcPr>
          <w:p w:rsidR="00000000" w:rsidDel="00000000" w:rsidP="00000000" w:rsidRDefault="00000000" w:rsidRPr="00000000" w14:paraId="0000007B">
            <w:pPr>
              <w:rPr/>
            </w:pPr>
            <w:r w:rsidDel="00000000" w:rsidR="00000000" w:rsidRPr="00000000">
              <w:rPr>
                <w:sz w:val="17"/>
                <w:szCs w:val="17"/>
                <w:rtl w:val="0"/>
              </w:rPr>
              <w:t xml:space="preserve">Phase 3: Production</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C">
            <w:pPr>
              <w:rPr/>
            </w:pPr>
            <w:r w:rsidDel="00000000" w:rsidR="00000000" w:rsidRPr="00000000">
              <w:rPr>
                <w:sz w:val="17"/>
                <w:szCs w:val="17"/>
                <w:rtl w:val="0"/>
              </w:rPr>
              <w:t xml:space="preserve">Logistic Regression</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D">
            <w:pPr>
              <w:rPr/>
            </w:pPr>
            <w:r w:rsidDel="00000000" w:rsidR="00000000" w:rsidRPr="00000000">
              <w:rPr>
                <w:sz w:val="17"/>
                <w:szCs w:val="17"/>
                <w:rtl w:val="0"/>
              </w:rPr>
              <w:t xml:space="preserve">72.46%</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E">
            <w:pPr>
              <w:rPr/>
            </w:pPr>
            <w:r w:rsidDel="00000000" w:rsidR="00000000" w:rsidRPr="00000000">
              <w:rPr>
                <w:sz w:val="17"/>
                <w:szCs w:val="17"/>
                <w:rtl w:val="0"/>
              </w:rPr>
              <w:t xml:space="preserve">23.19%</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7F">
            <w:pPr>
              <w:rPr/>
            </w:pPr>
            <w:r w:rsidDel="00000000" w:rsidR="00000000" w:rsidRPr="00000000">
              <w:rPr>
                <w:sz w:val="17"/>
                <w:szCs w:val="17"/>
                <w:rtl w:val="0"/>
              </w:rPr>
              <w:t xml:space="preserve">58.59%</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80">
            <w:pPr>
              <w:rPr/>
            </w:pPr>
            <w:r w:rsidDel="00000000" w:rsidR="00000000" w:rsidRPr="00000000">
              <w:rPr>
                <w:sz w:val="17"/>
                <w:szCs w:val="17"/>
                <w:rtl w:val="0"/>
              </w:rPr>
              <w:t xml:space="preserve">33.23%</w:t>
            </w:r>
            <w:r w:rsidDel="00000000" w:rsidR="00000000" w:rsidRPr="00000000">
              <w:rPr>
                <w:rtl w:val="0"/>
              </w:rPr>
            </w:r>
          </w:p>
        </w:tc>
      </w:tr>
    </w:tbl>
    <w:p w:rsidR="00000000" w:rsidDel="00000000" w:rsidP="00000000" w:rsidRDefault="00000000" w:rsidRPr="00000000" w14:paraId="00000081">
      <w:pPr>
        <w:spacing w:after="16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0" distT="0" distL="114300" distR="114300">
            <wp:extent cx="5669280" cy="339093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69280" cy="339093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pPr>
      <w:r w:rsidDel="00000000" w:rsidR="00000000" w:rsidRPr="00000000">
        <w:rPr>
          <w:i w:val="1"/>
          <w:iCs w:val="1"/>
          <w:sz w:val="17"/>
          <w:szCs w:val="17"/>
          <w:rtl w:val="0"/>
        </w:rPr>
        <w:t xml:space="preserve">Figure 5: Streamlit Multi-Column Model Score Analytics comparing Baseline, SMOTE, and Realistic Models.</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3.2 Test Set Confusion Matrix &amp; Efficiency Economics</w:t>
      </w:r>
    </w:p>
    <w:p w:rsidR="00000000" w:rsidDel="00000000" w:rsidP="00000000" w:rsidRDefault="00000000" w:rsidRPr="00000000" w14:paraId="00000086">
      <w:pPr>
        <w:rPr/>
      </w:pPr>
      <w:r w:rsidDel="00000000" w:rsidR="00000000" w:rsidRPr="00000000">
        <w:rPr>
          <w:rtl w:val="0"/>
        </w:rPr>
        <w:t xml:space="preserve">On the 9,043 untouched test prospects evaluated without duration:</w:t>
        <w:br w:type="textWrapping"/>
        <w:t xml:space="preserve">• True Positives (Useful Calls Acquired): 648 depositors.</w:t>
        <w:br w:type="textWrapping"/>
        <w:t xml:space="preserve">• False Positives (Calls to Non-Subscribers): 1,843 calls.</w:t>
        <w:br w:type="textWrapping"/>
        <w:t xml:space="preserve">• True Negatives (Calls Successfully Avoided): 6,142 non-subscribers bypassed.</w:t>
        <w:br w:type="textWrapping"/>
        <w:t xml:space="preserve">• False Negatives (Missed Opportunities): 410 prospects.</w:t>
        <w:br w:type="textWrapping"/>
        <w:t xml:space="preserve">• Operational Workload Reduction: 72.45% of total calling volume eliminated.</w:t>
        <w:br w:type="textWrapping"/>
        <w:t xml:space="preserve">• Telemarketer Time Saved: 546.0 direct telemarketer hours saved per 9,000 clients.</w:t>
      </w:r>
    </w:p>
    <w:p w:rsidR="00000000" w:rsidDel="00000000" w:rsidP="00000000" w:rsidRDefault="00000000" w:rsidRPr="00000000" w14:paraId="00000087">
      <w:pPr>
        <w:rPr/>
      </w:pPr>
      <w:r w:rsidDel="00000000" w:rsidR="00000000" w:rsidRPr="00000000">
        <w:rPr/>
        <w:drawing>
          <wp:inline distB="0" distT="0" distL="114300" distR="114300">
            <wp:extent cx="5669280" cy="3390938"/>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69280" cy="339093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pPr>
      <w:r w:rsidDel="00000000" w:rsidR="00000000" w:rsidRPr="00000000">
        <w:rPr>
          <w:i w:val="1"/>
          <w:iCs w:val="1"/>
          <w:sz w:val="17"/>
          <w:szCs w:val="17"/>
          <w:rtl w:val="0"/>
        </w:rPr>
        <w:t xml:space="preserve">Figure 6: Test Set Confusion Matrix, Operational Call Reductions, and Top 10 Feature Importances.</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4. Interactive Streamlit Platform Modules</w:t>
      </w:r>
    </w:p>
    <w:p w:rsidR="00000000" w:rsidDel="00000000" w:rsidP="00000000" w:rsidRDefault="00000000" w:rsidRPr="00000000" w14:paraId="0000008B">
      <w:pPr>
        <w:rPr/>
      </w:pPr>
      <w:r w:rsidDel="00000000" w:rsidR="00000000" w:rsidRPr="00000000">
        <w:rPr>
          <w:rtl w:val="0"/>
        </w:rPr>
        <w:t xml:space="preserve">The web application features two real-time operational decision engines:</w:t>
      </w:r>
    </w:p>
    <w:p w:rsidR="00000000" w:rsidDel="00000000" w:rsidP="00000000" w:rsidRDefault="00000000" w:rsidRPr="00000000" w14:paraId="0000008C">
      <w:pPr>
        <w:pStyle w:val="Heading2"/>
        <w:rPr/>
      </w:pPr>
      <w:r w:rsidDel="00000000" w:rsidR="00000000" w:rsidRPr="00000000">
        <w:rPr>
          <w:rtl w:val="0"/>
        </w:rPr>
        <w:t xml:space="preserve">4.1 Real-Time Customer Targeting Engine</w:t>
      </w:r>
    </w:p>
    <w:p w:rsidR="00000000" w:rsidDel="00000000" w:rsidP="00000000" w:rsidRDefault="00000000" w:rsidRPr="00000000" w14:paraId="0000008D">
      <w:pPr>
        <w:rPr/>
      </w:pPr>
      <w:r w:rsidDel="00000000" w:rsidR="00000000" w:rsidRPr="00000000">
        <w:rPr>
          <w:rtl w:val="0"/>
        </w:rPr>
        <w:t xml:space="preserve">Telemarketers and team managers can input customer demographics, current account balance, debt status, and campaign parameters. The model returns an instantaneous priority tier (🎯 HIGH PRIORITY TARGET vs. ⛔ DO NOT TARGET) with calibrated conversion probabilities.</w:t>
      </w:r>
    </w:p>
    <w:p w:rsidR="00000000" w:rsidDel="00000000" w:rsidP="00000000" w:rsidRDefault="00000000" w:rsidRPr="00000000" w14:paraId="0000008E">
      <w:pPr>
        <w:rPr/>
      </w:pPr>
      <w:r w:rsidDel="00000000" w:rsidR="00000000" w:rsidRPr="00000000">
        <w:rPr/>
        <w:drawing>
          <wp:inline distB="0" distT="0" distL="114300" distR="114300">
            <wp:extent cx="5669280" cy="374526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69280" cy="374526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rPr>
          <w:i w:val="1"/>
          <w:iCs w:val="1"/>
          <w:sz w:val="17"/>
          <w:szCs w:val="17"/>
          <w:rtl w:val="0"/>
        </w:rPr>
        <w:t xml:space="preserve">Figure 7: Customer Targeting Prediction Engine with Form Inputs and Calibrated Assessment Results.</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4.2 Dynamic Campaign ROI Simulator</w:t>
      </w:r>
    </w:p>
    <w:p w:rsidR="00000000" w:rsidDel="00000000" w:rsidP="00000000" w:rsidRDefault="00000000" w:rsidRPr="00000000" w14:paraId="00000092">
      <w:pPr>
        <w:rPr/>
      </w:pPr>
      <w:r w:rsidDel="00000000" w:rsidR="00000000" w:rsidRPr="00000000">
        <w:rPr>
          <w:rtl w:val="0"/>
        </w:rPr>
        <w:t xml:space="preserve">Campaign strategists can simulate financial outcomes based on campaign size, cost per call (€), and revenue per converted deposit (€). The tool demonstrates how AI targeting increases net profit while preventing hundreds of thousands of euros in unproductive calling expenses.</w:t>
      </w:r>
    </w:p>
    <w:p w:rsidR="00000000" w:rsidDel="00000000" w:rsidP="00000000" w:rsidRDefault="00000000" w:rsidRPr="00000000" w14:paraId="00000093">
      <w:pPr>
        <w:rPr/>
      </w:pPr>
      <w:r w:rsidDel="00000000" w:rsidR="00000000" w:rsidRPr="00000000">
        <w:rPr/>
        <w:drawing>
          <wp:inline distB="0" distT="0" distL="114300" distR="114300">
            <wp:extent cx="5669280" cy="3745268"/>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69280" cy="374526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pPr>
      <w:r w:rsidDel="00000000" w:rsidR="00000000" w:rsidRPr="00000000">
        <w:rPr>
          <w:i w:val="1"/>
          <w:iCs w:val="1"/>
          <w:sz w:val="17"/>
          <w:szCs w:val="17"/>
          <w:rtl w:val="0"/>
        </w:rPr>
        <w:t xml:space="preserve">Figure 8: Campaign ROI Simulator comparing Traditional vs AI-Targeted Marketing Strategy Profits.</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5. Strategic Recommendations &amp; Conclusion</w:t>
      </w:r>
    </w:p>
    <w:p w:rsidR="00000000" w:rsidDel="00000000" w:rsidP="00000000" w:rsidRDefault="00000000" w:rsidRPr="00000000" w14:paraId="00000097">
      <w:pPr>
        <w:rPr/>
      </w:pPr>
      <w:r w:rsidDel="00000000" w:rsidR="00000000" w:rsidRPr="00000000">
        <w:rPr>
          <w:rtl w:val="0"/>
        </w:rPr>
        <w:t xml:space="preserve">1. Prioritize Cellular Channels: Cellular contact represents 29.4% of total predictive power.</w:t>
        <w:br w:type="textWrapping"/>
        <w:t xml:space="preserve">2. Re-target Prior Campaign Successes: Past responders convert at 64.7% and should receive immediate priority.</w:t>
        <w:br w:type="textWrapping"/>
        <w:t xml:space="preserve">3. Cap Contact Frequency at Two Calls: 3rd and subsequent calls yield diminishing returns and exacerbate customer annoyance.</w:t>
        <w:br w:type="textWrapping"/>
        <w:t xml:space="preserve">4. Shift Volume to High-Yield Months: Rebalance campaigns toward March, September, October, and December.</w:t>
        <w:br w:type="textWrapping"/>
        <w:t xml:space="preserve">5. Filter Debt-Burdened Prospects: Prospects with housing or personal loans convert at less than half the baseline rate.</w:t>
        <w:br w:type="textWrapping"/>
        <w:br w:type="textWrapping"/>
        <w:t xml:space="preserve">Conclusion: Deploying this Gradient Boosting + SMOTENC intelligence system transforms retail banking telemarketing from an untargeted cost center into a highly targeted, profitable customer acquisition engine.</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