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F39E9" w14:textId="77777777" w:rsidR="00DA214F" w:rsidRDefault="00DA214F" w:rsidP="00DA214F">
      <w:pPr>
        <w:spacing w:after="0" w:line="240" w:lineRule="auto"/>
        <w:jc w:val="center"/>
        <w:rPr>
          <w:rStyle w:val="Strong"/>
          <w:rFonts w:ascii="Segoe UI" w:hAnsi="Segoe UI" w:cs="Segoe UI"/>
          <w:color w:val="0D0D0D"/>
          <w:sz w:val="44"/>
          <w:szCs w:val="44"/>
          <w:bdr w:val="single" w:sz="2" w:space="0" w:color="E3E3E3" w:frame="1"/>
          <w:shd w:val="clear" w:color="auto" w:fill="FFFFFF"/>
        </w:rPr>
      </w:pPr>
      <w:r w:rsidRPr="00DA214F">
        <w:rPr>
          <w:rStyle w:val="Strong"/>
          <w:rFonts w:ascii="Segoe UI" w:hAnsi="Segoe UI" w:cs="Segoe UI"/>
          <w:color w:val="0D0D0D"/>
          <w:sz w:val="44"/>
          <w:szCs w:val="44"/>
          <w:bdr w:val="single" w:sz="2" w:space="0" w:color="E3E3E3" w:frame="1"/>
          <w:shd w:val="clear" w:color="auto" w:fill="FFFFFF"/>
        </w:rPr>
        <w:t xml:space="preserve">Understanding Trends </w:t>
      </w:r>
    </w:p>
    <w:p w14:paraId="1387CC40" w14:textId="5BB378A2" w:rsidR="00DA214F" w:rsidRPr="00DA214F" w:rsidRDefault="00DA214F" w:rsidP="00DA214F">
      <w:pPr>
        <w:spacing w:after="0"/>
        <w:jc w:val="center"/>
        <w:rPr>
          <w:rStyle w:val="Strong"/>
          <w:rFonts w:ascii="Segoe UI" w:hAnsi="Segoe UI" w:cs="Segoe UI"/>
          <w:color w:val="0D0D0D"/>
          <w:sz w:val="44"/>
          <w:szCs w:val="44"/>
          <w:bdr w:val="single" w:sz="2" w:space="0" w:color="E3E3E3" w:frame="1"/>
          <w:shd w:val="clear" w:color="auto" w:fill="FFFFFF"/>
        </w:rPr>
      </w:pPr>
      <w:r w:rsidRPr="00DA214F">
        <w:rPr>
          <w:rStyle w:val="Strong"/>
          <w:rFonts w:ascii="Segoe UI" w:hAnsi="Segoe UI" w:cs="Segoe UI"/>
          <w:color w:val="0D0D0D"/>
          <w:sz w:val="44"/>
          <w:szCs w:val="44"/>
          <w:bdr w:val="single" w:sz="2" w:space="0" w:color="E3E3E3" w:frame="1"/>
          <w:shd w:val="clear" w:color="auto" w:fill="FFFFFF"/>
        </w:rPr>
        <w:t xml:space="preserve">and </w:t>
      </w:r>
      <w:proofErr w:type="gramStart"/>
      <w:r w:rsidRPr="00DA214F">
        <w:rPr>
          <w:rStyle w:val="Strong"/>
          <w:rFonts w:ascii="Segoe UI" w:hAnsi="Segoe UI" w:cs="Segoe UI"/>
          <w:color w:val="0D0D0D"/>
          <w:sz w:val="44"/>
          <w:szCs w:val="44"/>
          <w:bdr w:val="single" w:sz="2" w:space="0" w:color="E3E3E3" w:frame="1"/>
          <w:shd w:val="clear" w:color="auto" w:fill="FFFFFF"/>
        </w:rPr>
        <w:t>Insights :</w:t>
      </w:r>
      <w:proofErr w:type="gramEnd"/>
    </w:p>
    <w:p w14:paraId="7A4D5B72" w14:textId="227580F3" w:rsidR="006A4F5A" w:rsidRDefault="00DA214F" w:rsidP="00DA214F">
      <w:pPr>
        <w:jc w:val="center"/>
        <w:rPr>
          <w:sz w:val="28"/>
          <w:szCs w:val="28"/>
          <w:lang w:val="en-IN"/>
        </w:rPr>
      </w:pPr>
      <w:r w:rsidRPr="00DA214F">
        <w:rPr>
          <w:sz w:val="28"/>
          <w:szCs w:val="28"/>
          <w:lang w:val="en-IN"/>
        </w:rPr>
        <w:t xml:space="preserve">Comprehensive Data Analysis of City Mall </w:t>
      </w:r>
      <w:r w:rsidR="000631E8">
        <w:rPr>
          <w:sz w:val="28"/>
          <w:szCs w:val="28"/>
          <w:lang w:val="en-IN"/>
        </w:rPr>
        <w:t xml:space="preserve">Online </w:t>
      </w:r>
      <w:r w:rsidRPr="00DA214F">
        <w:rPr>
          <w:sz w:val="28"/>
          <w:szCs w:val="28"/>
          <w:lang w:val="en-IN"/>
        </w:rPr>
        <w:t>Sales in Financial Year 2022</w:t>
      </w:r>
    </w:p>
    <w:p w14:paraId="18A7DD75" w14:textId="13E19847" w:rsidR="00DA214F" w:rsidRPr="00DA214F" w:rsidRDefault="00753FED" w:rsidP="00DA214F">
      <w:pPr>
        <w:spacing w:after="0" w:line="240" w:lineRule="auto"/>
        <w:jc w:val="center"/>
        <w:rPr>
          <w:rFonts w:cstheme="minorHAnsi"/>
          <w:i/>
          <w:iCs/>
          <w:sz w:val="24"/>
          <w:szCs w:val="24"/>
          <w:lang w:val="en-IN"/>
        </w:rPr>
      </w:pPr>
      <w:r>
        <w:rPr>
          <w:rFonts w:cstheme="minorHAnsi"/>
          <w:i/>
          <w:iCs/>
          <w:sz w:val="24"/>
          <w:szCs w:val="24"/>
          <w:lang w:val="en-IN"/>
        </w:rPr>
        <w:t>Ritesh</w:t>
      </w:r>
      <w:r w:rsidR="00EC29E6">
        <w:rPr>
          <w:rFonts w:cstheme="minorHAnsi"/>
          <w:i/>
          <w:iCs/>
          <w:sz w:val="24"/>
          <w:szCs w:val="24"/>
          <w:lang w:val="en-IN"/>
        </w:rPr>
        <w:t xml:space="preserve"> </w:t>
      </w:r>
      <w:proofErr w:type="spellStart"/>
      <w:r w:rsidR="008724F8">
        <w:rPr>
          <w:rFonts w:cstheme="minorHAnsi"/>
          <w:i/>
          <w:iCs/>
          <w:sz w:val="24"/>
          <w:szCs w:val="24"/>
          <w:lang w:val="en-IN"/>
        </w:rPr>
        <w:t>kumar</w:t>
      </w:r>
      <w:proofErr w:type="spellEnd"/>
    </w:p>
    <w:p w14:paraId="4454D931" w14:textId="77777777" w:rsidR="00DA214F" w:rsidRPr="00DA214F" w:rsidRDefault="00DA214F" w:rsidP="00DA214F">
      <w:pPr>
        <w:pStyle w:val="Author"/>
        <w:spacing w:before="0" w:after="0"/>
        <w:rPr>
          <w:rFonts w:asciiTheme="minorHAnsi" w:hAnsiTheme="minorHAnsi" w:cstheme="minorHAnsi"/>
          <w:i/>
          <w:iCs/>
          <w:sz w:val="24"/>
          <w:szCs w:val="24"/>
        </w:rPr>
      </w:pPr>
      <w:r w:rsidRPr="00DA214F">
        <w:rPr>
          <w:rFonts w:asciiTheme="minorHAnsi" w:hAnsiTheme="minorHAnsi" w:cstheme="minorHAnsi"/>
          <w:i/>
          <w:iCs/>
          <w:sz w:val="24"/>
          <w:szCs w:val="24"/>
        </w:rPr>
        <w:t>Lovely Professional University</w:t>
      </w:r>
    </w:p>
    <w:p w14:paraId="23D5195B" w14:textId="3CBCDEFA" w:rsidR="00DA214F" w:rsidRDefault="00DA214F" w:rsidP="000631E8">
      <w:pPr>
        <w:spacing w:after="0" w:line="240" w:lineRule="auto"/>
        <w:jc w:val="center"/>
        <w:rPr>
          <w:rFonts w:cstheme="minorHAnsi"/>
          <w:i/>
          <w:iCs/>
          <w:sz w:val="24"/>
          <w:szCs w:val="24"/>
        </w:rPr>
      </w:pPr>
      <w:r w:rsidRPr="00DA214F">
        <w:rPr>
          <w:rFonts w:cstheme="minorHAnsi"/>
          <w:i/>
          <w:iCs/>
          <w:sz w:val="24"/>
          <w:szCs w:val="24"/>
        </w:rPr>
        <w:t>Punjab, India</w:t>
      </w:r>
    </w:p>
    <w:p w14:paraId="34417CCE" w14:textId="77777777" w:rsidR="000631E8" w:rsidRDefault="000631E8" w:rsidP="000631E8">
      <w:pPr>
        <w:spacing w:after="0" w:line="240" w:lineRule="auto"/>
        <w:rPr>
          <w:rFonts w:cstheme="minorHAnsi"/>
          <w:sz w:val="24"/>
          <w:szCs w:val="24"/>
        </w:rPr>
      </w:pPr>
    </w:p>
    <w:p w14:paraId="57A8BC8D" w14:textId="2A1A8B01" w:rsidR="000631E8" w:rsidRDefault="000631E8" w:rsidP="000631E8">
      <w:pPr>
        <w:spacing w:after="0" w:line="240" w:lineRule="auto"/>
        <w:rPr>
          <w:rFonts w:cstheme="minorHAnsi"/>
          <w:sz w:val="24"/>
          <w:szCs w:val="24"/>
        </w:rPr>
      </w:pPr>
      <w:r w:rsidRPr="000631E8">
        <w:rPr>
          <w:rFonts w:cstheme="minorHAnsi"/>
          <w:b/>
          <w:bCs/>
          <w:sz w:val="24"/>
          <w:szCs w:val="24"/>
        </w:rPr>
        <w:t>Abstract</w:t>
      </w:r>
      <w:r>
        <w:rPr>
          <w:rFonts w:cstheme="minorHAnsi"/>
          <w:sz w:val="24"/>
          <w:szCs w:val="24"/>
        </w:rPr>
        <w:t>—</w:t>
      </w:r>
    </w:p>
    <w:p w14:paraId="4D29B18E" w14:textId="4F9E3AB7" w:rsidR="00910784" w:rsidRDefault="000631E8" w:rsidP="004C0425">
      <w:pPr>
        <w:spacing w:after="0" w:line="240" w:lineRule="auto"/>
        <w:rPr>
          <w:rFonts w:ascii="Segoe UI" w:hAnsi="Segoe UI" w:cs="Segoe UI"/>
          <w:color w:val="0D0D0D"/>
        </w:rPr>
      </w:pPr>
      <w:r>
        <w:rPr>
          <w:rFonts w:ascii="Segoe UI" w:hAnsi="Segoe UI" w:cs="Segoe UI"/>
          <w:color w:val="0D0D0D"/>
          <w:shd w:val="clear" w:color="auto" w:fill="FFFFFF"/>
        </w:rPr>
        <w:t xml:space="preserve">The transition of city malls to the online sphere marks a significant shift in the retail landscape. This report explores the implications and strategies associated with city malls venturing into the digital realm. This research report delves into the analysis of city mall’s online sales for FY’ </w:t>
      </w:r>
      <w:proofErr w:type="gramStart"/>
      <w:r>
        <w:rPr>
          <w:rFonts w:ascii="Segoe UI" w:hAnsi="Segoe UI" w:cs="Segoe UI"/>
          <w:color w:val="0D0D0D"/>
          <w:shd w:val="clear" w:color="auto" w:fill="FFFFFF"/>
        </w:rPr>
        <w:t>22 ,</w:t>
      </w:r>
      <w:proofErr w:type="gramEnd"/>
      <w:r>
        <w:rPr>
          <w:rFonts w:ascii="Segoe UI" w:hAnsi="Segoe UI" w:cs="Segoe UI"/>
          <w:color w:val="0D0D0D"/>
          <w:shd w:val="clear" w:color="auto" w:fill="FFFFFF"/>
        </w:rPr>
        <w:t xml:space="preserve"> aiming to uncover trends and insights that shed light on consumer behavior, market dynamics, and economic factors influencing retail performance during </w:t>
      </w:r>
      <w:r w:rsidRPr="000631E8">
        <w:rPr>
          <w:rFonts w:ascii="Segoe UI" w:hAnsi="Segoe UI" w:cs="Segoe UI"/>
          <w:b/>
          <w:bCs/>
          <w:color w:val="0D0D0D"/>
          <w:shd w:val="clear" w:color="auto" w:fill="FFFFFF"/>
        </w:rPr>
        <w:t>lockdown environments</w:t>
      </w:r>
      <w:r>
        <w:rPr>
          <w:rFonts w:ascii="Segoe UI" w:hAnsi="Segoe UI" w:cs="Segoe UI"/>
          <w:color w:val="0D0D0D"/>
          <w:shd w:val="clear" w:color="auto" w:fill="FFFFFF"/>
        </w:rPr>
        <w:t xml:space="preserve">. Through comprehensive data collection and analysis, this report offers valuable insights for retailers, mall operators, investors, and other stakeholders seeking to understand the evolving landscape of city mall sales. </w:t>
      </w:r>
    </w:p>
    <w:p w14:paraId="1CA8C3C3" w14:textId="77777777" w:rsidR="000631E8" w:rsidRDefault="000631E8" w:rsidP="000631E8">
      <w:pPr>
        <w:spacing w:after="0" w:line="240" w:lineRule="auto"/>
        <w:rPr>
          <w:rFonts w:cstheme="minorHAnsi"/>
          <w:sz w:val="24"/>
          <w:szCs w:val="24"/>
        </w:rPr>
      </w:pPr>
    </w:p>
    <w:p w14:paraId="0816875F" w14:textId="72BDD8DD" w:rsidR="00910784" w:rsidRPr="004732CB" w:rsidRDefault="004C0425" w:rsidP="004732CB">
      <w:pPr>
        <w:pStyle w:val="ListParagraph"/>
        <w:numPr>
          <w:ilvl w:val="0"/>
          <w:numId w:val="2"/>
        </w:numPr>
        <w:spacing w:after="0" w:line="240" w:lineRule="auto"/>
        <w:rPr>
          <w:rFonts w:cstheme="minorHAnsi"/>
          <w:b/>
          <w:bCs/>
          <w:sz w:val="24"/>
          <w:szCs w:val="24"/>
        </w:rPr>
      </w:pPr>
      <w:r w:rsidRPr="004732CB">
        <w:rPr>
          <w:rFonts w:cstheme="minorHAnsi"/>
          <w:b/>
          <w:bCs/>
          <w:sz w:val="24"/>
          <w:szCs w:val="24"/>
        </w:rPr>
        <w:t>Introduction:</w:t>
      </w:r>
    </w:p>
    <w:p w14:paraId="371451A4" w14:textId="622B5B41" w:rsidR="004C0425" w:rsidRDefault="004C0425" w:rsidP="004C04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4C0425">
        <w:rPr>
          <w:rFonts w:ascii="Segoe UI" w:eastAsia="Times New Roman" w:hAnsi="Segoe UI" w:cs="Segoe UI"/>
          <w:color w:val="0D0D0D"/>
          <w:kern w:val="0"/>
          <w:sz w:val="24"/>
          <w:szCs w:val="24"/>
          <w:lang w:val="en-IN" w:eastAsia="en-IN"/>
          <w14:ligatures w14:val="none"/>
        </w:rPr>
        <w:t>The transition of city malls to online platforms represents a strategic response to the changing demands of modern consumers. No longer confined to the physical confines of traditional shopping centres, consumers now seek convenience, accessibility, and personalized experiences in their retail interactions. By establishing a digital presence, city malls aim to meet these evolving expectations while expanding their reach to a broader audience of tech-savvy shoppers.</w:t>
      </w:r>
      <w:r w:rsidR="004732CB">
        <w:rPr>
          <w:rFonts w:ascii="Segoe UI" w:eastAsia="Times New Roman" w:hAnsi="Segoe UI" w:cs="Segoe UI"/>
          <w:color w:val="0D0D0D"/>
          <w:kern w:val="0"/>
          <w:sz w:val="24"/>
          <w:szCs w:val="24"/>
          <w:lang w:val="en-IN" w:eastAsia="en-IN"/>
          <w14:ligatures w14:val="none"/>
        </w:rPr>
        <w:t xml:space="preserve"> </w:t>
      </w:r>
      <w:r w:rsidRPr="004C0425">
        <w:rPr>
          <w:rFonts w:ascii="Segoe UI" w:eastAsia="Times New Roman" w:hAnsi="Segoe UI" w:cs="Segoe UI"/>
          <w:color w:val="0D0D0D"/>
          <w:kern w:val="0"/>
          <w:sz w:val="24"/>
          <w:szCs w:val="24"/>
          <w:lang w:val="en-IN" w:eastAsia="en-IN"/>
          <w14:ligatures w14:val="none"/>
        </w:rPr>
        <w:t>However, the journey from physical to digital retail presents both challenges and opportunities for city malls. On one hand, the online landscape offers unprecedented opportunities for growth, allowing malls to tap into new markets, drive sales, and enhance customer engagement through innovative digital channels.</w:t>
      </w:r>
    </w:p>
    <w:p w14:paraId="2AF71254" w14:textId="218CCD3B" w:rsidR="004C0425" w:rsidRPr="004C0425" w:rsidRDefault="004C0425" w:rsidP="004C042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4C0425">
        <w:rPr>
          <w:rFonts w:ascii="Segoe UI" w:eastAsia="Times New Roman" w:hAnsi="Segoe UI" w:cs="Segoe UI"/>
          <w:color w:val="0D0D0D"/>
          <w:kern w:val="0"/>
          <w:sz w:val="24"/>
          <w:szCs w:val="24"/>
          <w:lang w:val="en-IN" w:eastAsia="en-IN"/>
          <w14:ligatures w14:val="none"/>
        </w:rPr>
        <w:t xml:space="preserve">This research aims to provide a comprehensive analysis of the city mall online sales phenomenon, offering insights into consumer </w:t>
      </w:r>
      <w:proofErr w:type="spellStart"/>
      <w:r w:rsidRPr="004C0425">
        <w:rPr>
          <w:rFonts w:ascii="Segoe UI" w:eastAsia="Times New Roman" w:hAnsi="Segoe UI" w:cs="Segoe UI"/>
          <w:color w:val="0D0D0D"/>
          <w:kern w:val="0"/>
          <w:sz w:val="24"/>
          <w:szCs w:val="24"/>
          <w:lang w:val="en-IN" w:eastAsia="en-IN"/>
          <w14:ligatures w14:val="none"/>
        </w:rPr>
        <w:t>behavior</w:t>
      </w:r>
      <w:proofErr w:type="spellEnd"/>
      <w:r w:rsidRPr="004C0425">
        <w:rPr>
          <w:rFonts w:ascii="Segoe UI" w:eastAsia="Times New Roman" w:hAnsi="Segoe UI" w:cs="Segoe UI"/>
          <w:color w:val="0D0D0D"/>
          <w:kern w:val="0"/>
          <w:sz w:val="24"/>
          <w:szCs w:val="24"/>
          <w:lang w:val="en-IN" w:eastAsia="en-IN"/>
          <w14:ligatures w14:val="none"/>
        </w:rPr>
        <w:t xml:space="preserve">, market dynamics, technological innovations, and strategies for success in the digital retail </w:t>
      </w:r>
      <w:proofErr w:type="spellStart"/>
      <w:r w:rsidRPr="004C0425">
        <w:rPr>
          <w:rFonts w:ascii="Segoe UI" w:eastAsia="Times New Roman" w:hAnsi="Segoe UI" w:cs="Segoe UI"/>
          <w:color w:val="0D0D0D"/>
          <w:kern w:val="0"/>
          <w:sz w:val="24"/>
          <w:szCs w:val="24"/>
          <w:lang w:val="en-IN" w:eastAsia="en-IN"/>
          <w14:ligatures w14:val="none"/>
        </w:rPr>
        <w:t>landscape.Through</w:t>
      </w:r>
      <w:proofErr w:type="spellEnd"/>
      <w:r w:rsidRPr="004C0425">
        <w:rPr>
          <w:rFonts w:ascii="Segoe UI" w:eastAsia="Times New Roman" w:hAnsi="Segoe UI" w:cs="Segoe UI"/>
          <w:color w:val="0D0D0D"/>
          <w:kern w:val="0"/>
          <w:sz w:val="24"/>
          <w:szCs w:val="24"/>
          <w:lang w:val="en-IN" w:eastAsia="en-IN"/>
          <w14:ligatures w14:val="none"/>
        </w:rPr>
        <w:t xml:space="preserve"> rigorous research, data analysis, and case studies, this report seeks to illuminate the opportunities and challenges associated with city mall online sales, guiding stakeholders in their quest to adapt, innovate, and thrive in an increasingly digital world.</w:t>
      </w:r>
    </w:p>
    <w:p w14:paraId="2D3DF2C2" w14:textId="77777777" w:rsidR="004C0425" w:rsidRDefault="004C0425" w:rsidP="000631E8">
      <w:pPr>
        <w:spacing w:after="0" w:line="240" w:lineRule="auto"/>
        <w:rPr>
          <w:rFonts w:cstheme="minorHAnsi"/>
          <w:sz w:val="24"/>
          <w:szCs w:val="24"/>
        </w:rPr>
      </w:pPr>
    </w:p>
    <w:p w14:paraId="46524FB7" w14:textId="77777777" w:rsidR="00E50B95" w:rsidRDefault="00E50B95" w:rsidP="000631E8">
      <w:pPr>
        <w:spacing w:after="0" w:line="240" w:lineRule="auto"/>
        <w:rPr>
          <w:rFonts w:cstheme="minorHAnsi"/>
          <w:sz w:val="24"/>
          <w:szCs w:val="24"/>
        </w:rPr>
      </w:pPr>
    </w:p>
    <w:p w14:paraId="5A721EB9" w14:textId="38FA993F" w:rsidR="004C0425" w:rsidRPr="004732CB" w:rsidRDefault="004732CB" w:rsidP="004732CB">
      <w:pPr>
        <w:spacing w:after="0" w:line="240" w:lineRule="auto"/>
        <w:rPr>
          <w:rFonts w:cstheme="minorHAnsi"/>
          <w:sz w:val="24"/>
          <w:szCs w:val="24"/>
        </w:rPr>
      </w:pPr>
      <w:r w:rsidRPr="00E50B95">
        <w:rPr>
          <w:rFonts w:cstheme="minorHAnsi"/>
          <w:b/>
          <w:bCs/>
          <w:sz w:val="24"/>
          <w:szCs w:val="24"/>
        </w:rPr>
        <w:lastRenderedPageBreak/>
        <w:t xml:space="preserve">A. </w:t>
      </w:r>
      <w:r w:rsidR="004C0425" w:rsidRPr="00E50B95">
        <w:rPr>
          <w:rFonts w:cstheme="minorHAnsi"/>
          <w:b/>
          <w:bCs/>
          <w:sz w:val="24"/>
          <w:szCs w:val="24"/>
        </w:rPr>
        <w:t>Data Visualization</w:t>
      </w:r>
      <w:r w:rsidR="004C0425" w:rsidRPr="004732CB">
        <w:rPr>
          <w:rFonts w:cstheme="minorHAnsi"/>
          <w:sz w:val="24"/>
          <w:szCs w:val="24"/>
        </w:rPr>
        <w:t>:</w:t>
      </w:r>
    </w:p>
    <w:p w14:paraId="3011F2D7" w14:textId="77777777" w:rsidR="004C0425" w:rsidRPr="00910784" w:rsidRDefault="004C0425" w:rsidP="004C0425">
      <w:pPr>
        <w:spacing w:after="0" w:line="240" w:lineRule="auto"/>
        <w:rPr>
          <w:rFonts w:ascii="Segoe UI" w:hAnsi="Segoe UI" w:cs="Segoe UI"/>
          <w:color w:val="0D0D0D"/>
          <w:shd w:val="clear" w:color="auto" w:fill="FFFFFF"/>
        </w:rPr>
      </w:pPr>
      <w:r>
        <w:rPr>
          <w:rFonts w:ascii="Segoe UI" w:hAnsi="Segoe UI" w:cs="Segoe UI"/>
          <w:color w:val="0D0D0D"/>
        </w:rPr>
        <w:t>Key areas of exploration include:</w:t>
      </w:r>
    </w:p>
    <w:p w14:paraId="3B9DF461" w14:textId="77777777" w:rsidR="004C0425" w:rsidRDefault="004C0425" w:rsidP="004C0425">
      <w:pPr>
        <w:pStyle w:val="NormalWeb"/>
        <w:numPr>
          <w:ilvl w:val="0"/>
          <w:numId w:val="1"/>
        </w:numPr>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Consumer Behaviour and Preferences</w:t>
      </w:r>
      <w:r>
        <w:rPr>
          <w:rFonts w:ascii="Segoe UI" w:hAnsi="Segoe UI" w:cs="Segoe UI"/>
          <w:color w:val="0D0D0D"/>
        </w:rPr>
        <w:t>: This report examines the evolving preferences and behaviours of customers, including their shopping habits and attitudes towards online retail channels.</w:t>
      </w:r>
    </w:p>
    <w:p w14:paraId="35B4F1A6" w14:textId="77777777" w:rsidR="004C0425" w:rsidRPr="009C1E5B" w:rsidRDefault="004C0425" w:rsidP="004C0425">
      <w:pPr>
        <w:pStyle w:val="NormalWeb"/>
        <w:numPr>
          <w:ilvl w:val="0"/>
          <w:numId w:val="1"/>
        </w:numPr>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sidRPr="009C1E5B">
        <w:rPr>
          <w:rStyle w:val="Strong"/>
          <w:rFonts w:ascii="Segoe UI" w:eastAsiaTheme="majorEastAsia" w:hAnsi="Segoe UI" w:cs="Segoe UI"/>
          <w:color w:val="0D0D0D"/>
          <w:bdr w:val="single" w:sz="2" w:space="0" w:color="E3E3E3" w:frame="1"/>
        </w:rPr>
        <w:t>Market Dynamics</w:t>
      </w:r>
      <w:r w:rsidRPr="009C1E5B">
        <w:rPr>
          <w:rFonts w:ascii="Segoe UI" w:hAnsi="Segoe UI" w:cs="Segoe UI"/>
          <w:color w:val="0D0D0D"/>
        </w:rPr>
        <w:t xml:space="preserve">: By analyzing market trends and competition, this report uncovers the </w:t>
      </w:r>
      <w:r>
        <w:rPr>
          <w:rFonts w:ascii="Segoe UI" w:hAnsi="Segoe UI" w:cs="Segoe UI"/>
          <w:color w:val="0D0D0D"/>
          <w:shd w:val="clear" w:color="auto" w:fill="FFFFFF"/>
        </w:rPr>
        <w:t>gender influence on consumer preferences and purchasing habits in the context of online retail.</w:t>
      </w:r>
      <w:r w:rsidRPr="009C1E5B">
        <w:rPr>
          <w:rStyle w:val="Strong"/>
          <w:rFonts w:ascii="Segoe UI" w:eastAsiaTheme="majorEastAsia" w:hAnsi="Segoe UI" w:cs="Segoe UI"/>
          <w:color w:val="0D0D0D"/>
          <w:bdr w:val="single" w:sz="2" w:space="0" w:color="E3E3E3" w:frame="1"/>
        </w:rPr>
        <w:t xml:space="preserve"> </w:t>
      </w:r>
    </w:p>
    <w:p w14:paraId="79A740EC" w14:textId="77777777" w:rsidR="004C0425" w:rsidRPr="009C1E5B" w:rsidRDefault="004C0425" w:rsidP="004C0425">
      <w:pPr>
        <w:pStyle w:val="NormalWeb"/>
        <w:numPr>
          <w:ilvl w:val="0"/>
          <w:numId w:val="1"/>
        </w:numPr>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sidRPr="009C1E5B">
        <w:rPr>
          <w:rStyle w:val="Strong"/>
          <w:rFonts w:ascii="Segoe UI" w:eastAsiaTheme="majorEastAsia" w:hAnsi="Segoe UI" w:cs="Segoe UI"/>
          <w:color w:val="0D0D0D"/>
          <w:bdr w:val="single" w:sz="2" w:space="0" w:color="E3E3E3" w:frame="1"/>
        </w:rPr>
        <w:t>Age Factors</w:t>
      </w:r>
      <w:r w:rsidRPr="009C1E5B">
        <w:rPr>
          <w:rFonts w:ascii="Segoe UI" w:hAnsi="Segoe UI" w:cs="Segoe UI"/>
          <w:color w:val="0D0D0D"/>
        </w:rPr>
        <w:t xml:space="preserve">: The report delves into </w:t>
      </w:r>
      <w:r>
        <w:rPr>
          <w:rFonts w:ascii="Segoe UI" w:hAnsi="Segoe UI" w:cs="Segoe UI"/>
          <w:color w:val="0D0D0D"/>
          <w:shd w:val="clear" w:color="auto" w:fill="FFFFFF"/>
        </w:rPr>
        <w:t>significance of age demographics in shaping consumer preferences and purchasing behaviour in online retail.</w:t>
      </w:r>
      <w:r w:rsidRPr="009C1E5B">
        <w:rPr>
          <w:rStyle w:val="Strong"/>
          <w:rFonts w:ascii="Segoe UI" w:eastAsiaTheme="majorEastAsia" w:hAnsi="Segoe UI" w:cs="Segoe UI"/>
          <w:color w:val="0D0D0D"/>
          <w:bdr w:val="single" w:sz="2" w:space="0" w:color="E3E3E3" w:frame="1"/>
        </w:rPr>
        <w:t xml:space="preserve"> </w:t>
      </w:r>
    </w:p>
    <w:p w14:paraId="207292D9" w14:textId="77777777" w:rsidR="004C0425" w:rsidRPr="009C1E5B" w:rsidRDefault="004C0425" w:rsidP="004C0425">
      <w:pPr>
        <w:pStyle w:val="NormalWeb"/>
        <w:numPr>
          <w:ilvl w:val="0"/>
          <w:numId w:val="1"/>
        </w:numPr>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C1E5B">
        <w:rPr>
          <w:rStyle w:val="Strong"/>
          <w:rFonts w:ascii="Segoe UI" w:eastAsiaTheme="majorEastAsia" w:hAnsi="Segoe UI" w:cs="Segoe UI"/>
          <w:color w:val="0D0D0D"/>
          <w:bdr w:val="single" w:sz="2" w:space="0" w:color="E3E3E3" w:frame="1"/>
        </w:rPr>
        <w:t>Seasonal Variations and Trends</w:t>
      </w:r>
      <w:r w:rsidRPr="009C1E5B">
        <w:rPr>
          <w:rFonts w:ascii="Segoe UI" w:hAnsi="Segoe UI" w:cs="Segoe UI"/>
          <w:color w:val="0D0D0D"/>
        </w:rPr>
        <w:t>: Through seasonal analysis, this report identifies patterns and trends in city mall sales across different periods of the year, highlighting peak shopping seasons</w:t>
      </w:r>
      <w:r>
        <w:rPr>
          <w:rFonts w:ascii="Segoe UI" w:hAnsi="Segoe UI" w:cs="Segoe UI"/>
          <w:color w:val="0D0D0D"/>
        </w:rPr>
        <w:t>.</w:t>
      </w:r>
    </w:p>
    <w:p w14:paraId="66786513" w14:textId="77777777" w:rsidR="004C0425" w:rsidRDefault="004C0425" w:rsidP="004C0425">
      <w:pPr>
        <w:pStyle w:val="NormalWeb"/>
        <w:numPr>
          <w:ilvl w:val="0"/>
          <w:numId w:val="1"/>
        </w:numPr>
        <w:pBdr>
          <w:top w:val="single" w:sz="2" w:space="0" w:color="E3E3E3"/>
          <w:left w:val="single" w:sz="2" w:space="17"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Implications and Recommendations</w:t>
      </w:r>
      <w:r>
        <w:rPr>
          <w:rFonts w:ascii="Segoe UI" w:hAnsi="Segoe UI" w:cs="Segoe UI"/>
          <w:color w:val="0D0D0D"/>
        </w:rPr>
        <w:t>: Drawing on the insights gleaned from the analysis, this report provides actionable recommendations for retailers, mall operators, and other stakeholders to optimize sales performance, enhance the shopping experience, and to navigate the challenges and opportunities in the dynamic online retail landscape.</w:t>
      </w:r>
    </w:p>
    <w:p w14:paraId="6ABEB875" w14:textId="77777777" w:rsidR="004732CB" w:rsidRDefault="004732CB" w:rsidP="004732CB">
      <w:pPr>
        <w:spacing w:after="0"/>
        <w:jc w:val="both"/>
        <w:rPr>
          <w:sz w:val="24"/>
          <w:szCs w:val="24"/>
        </w:rPr>
      </w:pPr>
    </w:p>
    <w:p w14:paraId="0B47FF45" w14:textId="77777777" w:rsidR="00E50B95" w:rsidRDefault="00E50B95" w:rsidP="004732CB">
      <w:pPr>
        <w:spacing w:after="0"/>
        <w:jc w:val="both"/>
        <w:rPr>
          <w:sz w:val="24"/>
          <w:szCs w:val="24"/>
        </w:rPr>
      </w:pPr>
    </w:p>
    <w:p w14:paraId="4FA41C0E" w14:textId="6E666F0A" w:rsidR="004C0425" w:rsidRPr="004732CB" w:rsidRDefault="004732CB" w:rsidP="004732CB">
      <w:pPr>
        <w:spacing w:after="0"/>
        <w:jc w:val="both"/>
        <w:rPr>
          <w:sz w:val="24"/>
          <w:szCs w:val="24"/>
        </w:rPr>
      </w:pPr>
      <w:r w:rsidRPr="00E50B95">
        <w:rPr>
          <w:b/>
          <w:bCs/>
          <w:sz w:val="24"/>
          <w:szCs w:val="24"/>
        </w:rPr>
        <w:t xml:space="preserve">B. </w:t>
      </w:r>
      <w:r w:rsidR="004C0425" w:rsidRPr="00E50B95">
        <w:rPr>
          <w:b/>
          <w:bCs/>
          <w:sz w:val="24"/>
          <w:szCs w:val="24"/>
        </w:rPr>
        <w:t>Research Questions</w:t>
      </w:r>
      <w:r w:rsidR="004C0425" w:rsidRPr="004732CB">
        <w:rPr>
          <w:sz w:val="24"/>
          <w:szCs w:val="24"/>
        </w:rPr>
        <w:t>:</w:t>
      </w:r>
    </w:p>
    <w:p w14:paraId="0DA71487" w14:textId="55EE61A9" w:rsidR="004C0425" w:rsidRDefault="004C0425" w:rsidP="004732CB">
      <w:pPr>
        <w:spacing w:after="0"/>
        <w:jc w:val="both"/>
        <w:rPr>
          <w:sz w:val="24"/>
          <w:szCs w:val="24"/>
        </w:rPr>
      </w:pPr>
      <w:r w:rsidRPr="004732CB">
        <w:rPr>
          <w:sz w:val="24"/>
          <w:szCs w:val="24"/>
        </w:rPr>
        <w:t xml:space="preserve">The study focuses on delivering the responses to the </w:t>
      </w:r>
      <w:r w:rsidR="004732CB">
        <w:rPr>
          <w:sz w:val="24"/>
          <w:szCs w:val="24"/>
        </w:rPr>
        <w:t>following</w:t>
      </w:r>
      <w:r w:rsidRPr="004732CB">
        <w:rPr>
          <w:sz w:val="24"/>
          <w:szCs w:val="24"/>
        </w:rPr>
        <w:t xml:space="preserve"> Research Questions (RQ).</w:t>
      </w:r>
    </w:p>
    <w:p w14:paraId="76BCD93A" w14:textId="77777777" w:rsidR="004732CB" w:rsidRPr="004732CB" w:rsidRDefault="004732CB" w:rsidP="004732CB">
      <w:pPr>
        <w:spacing w:after="0"/>
        <w:jc w:val="both"/>
        <w:rPr>
          <w:sz w:val="24"/>
          <w:szCs w:val="24"/>
        </w:rPr>
      </w:pPr>
    </w:p>
    <w:p w14:paraId="7EDE469C" w14:textId="4413E9BF" w:rsidR="004732CB" w:rsidRPr="004732CB" w:rsidRDefault="004732CB" w:rsidP="004732CB">
      <w:pPr>
        <w:spacing w:after="0"/>
        <w:jc w:val="both"/>
        <w:rPr>
          <w:sz w:val="24"/>
          <w:szCs w:val="24"/>
        </w:rPr>
      </w:pPr>
      <w:r w:rsidRPr="004732CB">
        <w:rPr>
          <w:sz w:val="24"/>
          <w:szCs w:val="24"/>
        </w:rPr>
        <w:t>RQ 1: Orders vs Sales demographics of financial year 2022?</w:t>
      </w:r>
    </w:p>
    <w:p w14:paraId="5DCB495F" w14:textId="1DF751ED" w:rsidR="004C0425" w:rsidRPr="004732CB" w:rsidRDefault="004C0425" w:rsidP="004732CB">
      <w:pPr>
        <w:spacing w:after="0"/>
        <w:jc w:val="both"/>
        <w:rPr>
          <w:sz w:val="24"/>
          <w:szCs w:val="24"/>
        </w:rPr>
      </w:pPr>
      <w:r w:rsidRPr="004732CB">
        <w:rPr>
          <w:sz w:val="24"/>
          <w:szCs w:val="24"/>
        </w:rPr>
        <w:t xml:space="preserve">RQ </w:t>
      </w:r>
      <w:r w:rsidR="004732CB" w:rsidRPr="004732CB">
        <w:rPr>
          <w:sz w:val="24"/>
          <w:szCs w:val="24"/>
        </w:rPr>
        <w:t>2</w:t>
      </w:r>
      <w:r w:rsidRPr="004732CB">
        <w:rPr>
          <w:sz w:val="24"/>
          <w:szCs w:val="24"/>
        </w:rPr>
        <w:t xml:space="preserve">: What are the </w:t>
      </w:r>
      <w:r w:rsidR="004732CB" w:rsidRPr="004732CB">
        <w:rPr>
          <w:sz w:val="24"/>
          <w:szCs w:val="24"/>
        </w:rPr>
        <w:t>top 5 buying states on financial year 2022</w:t>
      </w:r>
      <w:r w:rsidRPr="004732CB">
        <w:rPr>
          <w:sz w:val="24"/>
          <w:szCs w:val="24"/>
        </w:rPr>
        <w:t>?</w:t>
      </w:r>
    </w:p>
    <w:p w14:paraId="5ACAAE0B" w14:textId="1502D38C" w:rsidR="004C0425" w:rsidRPr="004732CB" w:rsidRDefault="004C0425" w:rsidP="004732CB">
      <w:pPr>
        <w:spacing w:after="0"/>
        <w:jc w:val="both"/>
        <w:rPr>
          <w:sz w:val="24"/>
          <w:szCs w:val="24"/>
        </w:rPr>
      </w:pPr>
      <w:r w:rsidRPr="004732CB">
        <w:rPr>
          <w:sz w:val="24"/>
          <w:szCs w:val="24"/>
        </w:rPr>
        <w:t xml:space="preserve">RQ </w:t>
      </w:r>
      <w:r w:rsidR="004732CB" w:rsidRPr="004732CB">
        <w:rPr>
          <w:sz w:val="24"/>
          <w:szCs w:val="24"/>
        </w:rPr>
        <w:t>3</w:t>
      </w:r>
      <w:r w:rsidRPr="004732CB">
        <w:rPr>
          <w:sz w:val="24"/>
          <w:szCs w:val="24"/>
        </w:rPr>
        <w:t>:</w:t>
      </w:r>
      <w:r w:rsidR="004732CB" w:rsidRPr="004732CB">
        <w:rPr>
          <w:sz w:val="24"/>
          <w:szCs w:val="24"/>
        </w:rPr>
        <w:t xml:space="preserve"> What is the Age Group (Teenager, Adult, Senior) vs Gender (Male, Female) share in annual sales</w:t>
      </w:r>
      <w:r w:rsidRPr="004732CB">
        <w:rPr>
          <w:sz w:val="24"/>
          <w:szCs w:val="24"/>
        </w:rPr>
        <w:t>?</w:t>
      </w:r>
    </w:p>
    <w:p w14:paraId="2C83CD24" w14:textId="6318FA57" w:rsidR="004C0425" w:rsidRPr="004732CB" w:rsidRDefault="004C0425" w:rsidP="004732CB">
      <w:pPr>
        <w:spacing w:after="0"/>
        <w:jc w:val="both"/>
        <w:rPr>
          <w:sz w:val="24"/>
          <w:szCs w:val="24"/>
        </w:rPr>
      </w:pPr>
      <w:r w:rsidRPr="004732CB">
        <w:rPr>
          <w:sz w:val="24"/>
          <w:szCs w:val="24"/>
        </w:rPr>
        <w:t xml:space="preserve">RQ </w:t>
      </w:r>
      <w:r w:rsidR="004732CB" w:rsidRPr="004732CB">
        <w:rPr>
          <w:sz w:val="24"/>
          <w:szCs w:val="24"/>
        </w:rPr>
        <w:t>4</w:t>
      </w:r>
      <w:r w:rsidRPr="004732CB">
        <w:rPr>
          <w:sz w:val="24"/>
          <w:szCs w:val="24"/>
        </w:rPr>
        <w:t>: Which</w:t>
      </w:r>
      <w:r w:rsidR="004732CB" w:rsidRPr="004732CB">
        <w:rPr>
          <w:sz w:val="24"/>
          <w:szCs w:val="24"/>
        </w:rPr>
        <w:t xml:space="preserve"> online platform caters most traffic and sales share per channel</w:t>
      </w:r>
      <w:r w:rsidRPr="004732CB">
        <w:rPr>
          <w:sz w:val="24"/>
          <w:szCs w:val="24"/>
        </w:rPr>
        <w:t>?</w:t>
      </w:r>
    </w:p>
    <w:p w14:paraId="56B1F3E4" w14:textId="0F51EAE1" w:rsidR="004C0425" w:rsidRPr="004732CB" w:rsidRDefault="004C0425" w:rsidP="004732CB">
      <w:pPr>
        <w:spacing w:after="0"/>
        <w:jc w:val="both"/>
        <w:rPr>
          <w:sz w:val="24"/>
          <w:szCs w:val="24"/>
        </w:rPr>
      </w:pPr>
      <w:r w:rsidRPr="004732CB">
        <w:rPr>
          <w:sz w:val="24"/>
          <w:szCs w:val="24"/>
        </w:rPr>
        <w:t xml:space="preserve">RQ 5: Who won </w:t>
      </w:r>
      <w:r w:rsidR="004732CB" w:rsidRPr="004732CB">
        <w:rPr>
          <w:sz w:val="24"/>
          <w:szCs w:val="24"/>
        </w:rPr>
        <w:t xml:space="preserve">buying race- </w:t>
      </w:r>
      <w:r w:rsidRPr="004732CB">
        <w:rPr>
          <w:sz w:val="24"/>
          <w:szCs w:val="24"/>
        </w:rPr>
        <w:t>male or female?</w:t>
      </w:r>
    </w:p>
    <w:p w14:paraId="03E667D8" w14:textId="37A47940" w:rsidR="004C0425" w:rsidRPr="004732CB" w:rsidRDefault="004C0425" w:rsidP="004732CB">
      <w:pPr>
        <w:spacing w:after="0"/>
        <w:jc w:val="both"/>
        <w:rPr>
          <w:sz w:val="24"/>
          <w:szCs w:val="24"/>
        </w:rPr>
      </w:pPr>
      <w:r w:rsidRPr="004732CB">
        <w:rPr>
          <w:sz w:val="24"/>
          <w:szCs w:val="24"/>
        </w:rPr>
        <w:t>RQ 6:</w:t>
      </w:r>
      <w:r w:rsidR="004732CB" w:rsidRPr="004732CB">
        <w:rPr>
          <w:sz w:val="24"/>
          <w:szCs w:val="24"/>
        </w:rPr>
        <w:t xml:space="preserve"> What is the status of orders annually</w:t>
      </w:r>
      <w:r w:rsidRPr="004732CB">
        <w:rPr>
          <w:sz w:val="24"/>
          <w:szCs w:val="24"/>
        </w:rPr>
        <w:t>?</w:t>
      </w:r>
    </w:p>
    <w:p w14:paraId="16C57479" w14:textId="77777777" w:rsidR="004C0425" w:rsidRDefault="004C0425" w:rsidP="000631E8">
      <w:pPr>
        <w:spacing w:after="0" w:line="240" w:lineRule="auto"/>
        <w:rPr>
          <w:rFonts w:cstheme="minorHAnsi"/>
          <w:sz w:val="24"/>
          <w:szCs w:val="24"/>
        </w:rPr>
      </w:pPr>
    </w:p>
    <w:p w14:paraId="77F4D83D" w14:textId="77777777" w:rsidR="004732CB" w:rsidRDefault="004732CB" w:rsidP="000631E8">
      <w:pPr>
        <w:spacing w:after="0" w:line="240" w:lineRule="auto"/>
        <w:rPr>
          <w:rFonts w:cstheme="minorHAnsi"/>
          <w:sz w:val="24"/>
          <w:szCs w:val="24"/>
        </w:rPr>
      </w:pPr>
    </w:p>
    <w:p w14:paraId="55C072B4" w14:textId="77777777" w:rsidR="004732CB" w:rsidRDefault="004732CB" w:rsidP="000631E8">
      <w:pPr>
        <w:spacing w:after="0" w:line="240" w:lineRule="auto"/>
        <w:rPr>
          <w:rFonts w:cstheme="minorHAnsi"/>
          <w:sz w:val="24"/>
          <w:szCs w:val="24"/>
        </w:rPr>
      </w:pPr>
    </w:p>
    <w:p w14:paraId="3025E0A2" w14:textId="77777777" w:rsidR="003C5EB3" w:rsidRDefault="003C5EB3" w:rsidP="00E50B95">
      <w:pPr>
        <w:pStyle w:val="BodyText"/>
        <w:ind w:firstLine="0"/>
      </w:pPr>
    </w:p>
    <w:p w14:paraId="5BCEF702" w14:textId="52A69602" w:rsidR="003C5EB3" w:rsidRPr="003C5EB3" w:rsidRDefault="003C5EB3" w:rsidP="003C5EB3">
      <w:pPr>
        <w:pStyle w:val="BodyText"/>
        <w:numPr>
          <w:ilvl w:val="0"/>
          <w:numId w:val="2"/>
        </w:numPr>
        <w:rPr>
          <w:sz w:val="24"/>
          <w:szCs w:val="24"/>
        </w:rPr>
      </w:pPr>
      <w:r w:rsidRPr="00E50B95">
        <w:rPr>
          <w:b/>
          <w:bCs/>
          <w:sz w:val="24"/>
          <w:szCs w:val="24"/>
        </w:rPr>
        <w:lastRenderedPageBreak/>
        <w:t>Proposed Methodology</w:t>
      </w:r>
      <w:r w:rsidRPr="003C5EB3">
        <w:rPr>
          <w:sz w:val="24"/>
          <w:szCs w:val="24"/>
        </w:rPr>
        <w:t>:</w:t>
      </w:r>
    </w:p>
    <w:p w14:paraId="004635BD" w14:textId="72CB8A6D" w:rsidR="003C5EB3" w:rsidRDefault="003C5EB3" w:rsidP="003C5EB3">
      <w:pPr>
        <w:pStyle w:val="BodyText"/>
        <w:rPr>
          <w:sz w:val="24"/>
          <w:szCs w:val="24"/>
        </w:rPr>
      </w:pPr>
      <w:r w:rsidRPr="003C5EB3">
        <w:rPr>
          <w:sz w:val="24"/>
          <w:szCs w:val="24"/>
        </w:rPr>
        <w:t>Created visualizations</w:t>
      </w:r>
      <w:r w:rsidRPr="003C5EB3">
        <w:rPr>
          <w:sz w:val="24"/>
          <w:szCs w:val="24"/>
          <w:lang w:val="en-US"/>
        </w:rPr>
        <w:t xml:space="preserve"> </w:t>
      </w:r>
      <w:r w:rsidRPr="003C5EB3">
        <w:rPr>
          <w:sz w:val="24"/>
          <w:szCs w:val="24"/>
        </w:rPr>
        <w:t xml:space="preserve">on 120 years of Olympics History which describes about 120 years of what happened in the Olympics. </w:t>
      </w:r>
      <w:r w:rsidRPr="003C5EB3">
        <w:rPr>
          <w:sz w:val="24"/>
          <w:szCs w:val="24"/>
          <w:lang w:val="en-US"/>
        </w:rPr>
        <w:t xml:space="preserve">The study </w:t>
      </w:r>
      <w:r w:rsidRPr="003C5EB3">
        <w:rPr>
          <w:sz w:val="24"/>
          <w:szCs w:val="24"/>
        </w:rPr>
        <w:t>used both Tableau and R programming to show how both tools are useful in making dashboards and visualizations.</w:t>
      </w:r>
    </w:p>
    <w:p w14:paraId="74FDB1F6" w14:textId="77777777" w:rsidR="008E3708" w:rsidRDefault="008E3708" w:rsidP="003C5EB3">
      <w:pPr>
        <w:pStyle w:val="BodyText"/>
        <w:rPr>
          <w:sz w:val="24"/>
          <w:szCs w:val="24"/>
        </w:rPr>
      </w:pPr>
    </w:p>
    <w:p w14:paraId="27F57555" w14:textId="36D67B76" w:rsidR="003C5EB3" w:rsidRPr="00E50B95" w:rsidRDefault="003C5EB3" w:rsidP="003C5EB3">
      <w:pPr>
        <w:pStyle w:val="BodyText"/>
        <w:numPr>
          <w:ilvl w:val="0"/>
          <w:numId w:val="4"/>
        </w:numPr>
        <w:rPr>
          <w:b/>
          <w:bCs/>
          <w:sz w:val="24"/>
          <w:szCs w:val="24"/>
          <w:lang w:val="en-US"/>
        </w:rPr>
      </w:pPr>
      <w:r w:rsidRPr="00E50B95">
        <w:rPr>
          <w:b/>
          <w:bCs/>
          <w:sz w:val="24"/>
          <w:szCs w:val="24"/>
        </w:rPr>
        <w:t>Dataset</w:t>
      </w:r>
    </w:p>
    <w:p w14:paraId="59F4FDB4" w14:textId="7BCA0C04" w:rsidR="003C5EB3" w:rsidRDefault="003C5EB3" w:rsidP="003C5EB3">
      <w:pPr>
        <w:pStyle w:val="BodyText"/>
        <w:rPr>
          <w:sz w:val="24"/>
          <w:szCs w:val="24"/>
        </w:rPr>
      </w:pPr>
      <w:r w:rsidRPr="003C5EB3">
        <w:rPr>
          <w:sz w:val="24"/>
          <w:szCs w:val="24"/>
        </w:rPr>
        <w:t xml:space="preserve">Kaggle provided the dataset. Kaggle is a data science and data hobbyist network. Users can use this platform to find and publish data sets. Here are the specifics of the data set I chose. There are </w:t>
      </w:r>
      <w:r>
        <w:rPr>
          <w:sz w:val="24"/>
          <w:szCs w:val="24"/>
        </w:rPr>
        <w:t>31048</w:t>
      </w:r>
      <w:r w:rsidRPr="003C5EB3">
        <w:rPr>
          <w:sz w:val="24"/>
          <w:szCs w:val="24"/>
        </w:rPr>
        <w:t xml:space="preserve"> rows and 1</w:t>
      </w:r>
      <w:r>
        <w:rPr>
          <w:sz w:val="24"/>
          <w:szCs w:val="24"/>
        </w:rPr>
        <w:t>9</w:t>
      </w:r>
      <w:r w:rsidRPr="003C5EB3">
        <w:rPr>
          <w:sz w:val="24"/>
          <w:szCs w:val="24"/>
        </w:rPr>
        <w:t xml:space="preserve"> columns in the file</w:t>
      </w:r>
      <w:r>
        <w:rPr>
          <w:sz w:val="24"/>
          <w:szCs w:val="24"/>
        </w:rPr>
        <w:t xml:space="preserve"> Citymall_2022_data</w:t>
      </w:r>
      <w:r w:rsidRPr="003C5EB3">
        <w:rPr>
          <w:sz w:val="24"/>
          <w:szCs w:val="24"/>
        </w:rPr>
        <w:t>.</w:t>
      </w:r>
      <w:r>
        <w:rPr>
          <w:sz w:val="24"/>
          <w:szCs w:val="24"/>
        </w:rPr>
        <w:t>xlsx</w:t>
      </w:r>
      <w:r w:rsidRPr="003C5EB3">
        <w:rPr>
          <w:sz w:val="24"/>
          <w:szCs w:val="24"/>
        </w:rPr>
        <w:t xml:space="preserve">. Each row represents a single </w:t>
      </w:r>
      <w:r>
        <w:rPr>
          <w:sz w:val="24"/>
          <w:szCs w:val="24"/>
        </w:rPr>
        <w:t>customer</w:t>
      </w:r>
      <w:r w:rsidRPr="003C5EB3">
        <w:rPr>
          <w:sz w:val="24"/>
          <w:szCs w:val="24"/>
        </w:rPr>
        <w:t xml:space="preserve"> </w:t>
      </w:r>
      <w:r>
        <w:rPr>
          <w:sz w:val="24"/>
          <w:szCs w:val="24"/>
        </w:rPr>
        <w:t>with unique order id and other information</w:t>
      </w:r>
      <w:r w:rsidR="008E3708">
        <w:rPr>
          <w:sz w:val="24"/>
          <w:szCs w:val="24"/>
        </w:rPr>
        <w:t>.</w:t>
      </w:r>
    </w:p>
    <w:p w14:paraId="423277E3" w14:textId="77777777" w:rsidR="008E3708" w:rsidRDefault="008E3708" w:rsidP="003C5EB3">
      <w:pPr>
        <w:pStyle w:val="BodyText"/>
        <w:rPr>
          <w:sz w:val="24"/>
          <w:szCs w:val="24"/>
        </w:rPr>
      </w:pPr>
    </w:p>
    <w:p w14:paraId="21A07A8B" w14:textId="29C66794" w:rsidR="003C5EB3" w:rsidRPr="003C5EB3" w:rsidRDefault="003C5EB3" w:rsidP="00E50B95">
      <w:pPr>
        <w:pStyle w:val="BodyText"/>
        <w:numPr>
          <w:ilvl w:val="0"/>
          <w:numId w:val="2"/>
        </w:numPr>
        <w:rPr>
          <w:sz w:val="24"/>
          <w:szCs w:val="24"/>
        </w:rPr>
      </w:pPr>
      <w:r w:rsidRPr="00E50B95">
        <w:rPr>
          <w:b/>
          <w:bCs/>
          <w:sz w:val="24"/>
          <w:szCs w:val="24"/>
        </w:rPr>
        <w:t>Results and Discussions</w:t>
      </w:r>
      <w:r>
        <w:rPr>
          <w:sz w:val="24"/>
          <w:szCs w:val="24"/>
        </w:rPr>
        <w:t>:</w:t>
      </w:r>
    </w:p>
    <w:p w14:paraId="0A498A6B" w14:textId="518620AD" w:rsidR="003C5EB3" w:rsidRPr="003C5EB3" w:rsidRDefault="003C5EB3" w:rsidP="003C5EB3">
      <w:pPr>
        <w:jc w:val="both"/>
        <w:rPr>
          <w:sz w:val="24"/>
          <w:szCs w:val="24"/>
        </w:rPr>
      </w:pPr>
      <w:r w:rsidRPr="003C5EB3">
        <w:rPr>
          <w:sz w:val="24"/>
          <w:szCs w:val="24"/>
        </w:rPr>
        <w:t xml:space="preserve">This section shows solutions for the Research Questions raised in the data analysis.    </w:t>
      </w:r>
    </w:p>
    <w:p w14:paraId="4C4EB2D9" w14:textId="77777777" w:rsidR="003C5EB3" w:rsidRDefault="003C5EB3" w:rsidP="003C5EB3">
      <w:pPr>
        <w:spacing w:after="0"/>
        <w:jc w:val="both"/>
        <w:rPr>
          <w:sz w:val="24"/>
          <w:szCs w:val="24"/>
        </w:rPr>
      </w:pPr>
      <w:r w:rsidRPr="004732CB">
        <w:rPr>
          <w:sz w:val="24"/>
          <w:szCs w:val="24"/>
        </w:rPr>
        <w:t>RQ 1: Orders vs Sales demographics of financial year 2022?</w:t>
      </w:r>
    </w:p>
    <w:p w14:paraId="22E4C234" w14:textId="77777777" w:rsidR="00D94556" w:rsidRDefault="00D94556" w:rsidP="003C5EB3">
      <w:pPr>
        <w:spacing w:after="0"/>
        <w:jc w:val="both"/>
        <w:rPr>
          <w:sz w:val="24"/>
          <w:szCs w:val="24"/>
        </w:rPr>
      </w:pPr>
    </w:p>
    <w:p w14:paraId="18943BB5" w14:textId="5FF22F86" w:rsidR="00D94556" w:rsidRDefault="00D94556" w:rsidP="003C5EB3">
      <w:pPr>
        <w:spacing w:after="0"/>
        <w:jc w:val="both"/>
        <w:rPr>
          <w:sz w:val="24"/>
          <w:szCs w:val="24"/>
        </w:rPr>
      </w:pPr>
      <w:r>
        <w:rPr>
          <w:noProof/>
        </w:rPr>
        <w:drawing>
          <wp:inline distT="0" distB="0" distL="0" distR="0" wp14:anchorId="2A9BD3AD" wp14:editId="7D0EBD4D">
            <wp:extent cx="4899660" cy="2743200"/>
            <wp:effectExtent l="0" t="0" r="0" b="0"/>
            <wp:docPr id="495913081" name="Chart 1">
              <a:extLst xmlns:a="http://schemas.openxmlformats.org/drawingml/2006/main">
                <a:ext uri="{FF2B5EF4-FFF2-40B4-BE49-F238E27FC236}">
                  <a16:creationId xmlns:a16="http://schemas.microsoft.com/office/drawing/2014/main" id="{A85AFD8D-9234-2F4F-A025-35FF71C6D9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8307EE" w14:textId="4A84E662" w:rsidR="00276E2F" w:rsidRDefault="00276E2F" w:rsidP="00276E2F">
      <w:pPr>
        <w:spacing w:after="0" w:line="240" w:lineRule="auto"/>
        <w:rPr>
          <w:rFonts w:cstheme="minorHAnsi"/>
        </w:rPr>
      </w:pPr>
      <w:r w:rsidRPr="00276E2F">
        <w:rPr>
          <w:rFonts w:cstheme="minorHAnsi"/>
        </w:rPr>
        <w:t>*Amount is represented in million Rupees.</w:t>
      </w:r>
    </w:p>
    <w:p w14:paraId="0D089433" w14:textId="77777777" w:rsidR="00276E2F" w:rsidRPr="00276E2F" w:rsidRDefault="00276E2F" w:rsidP="00276E2F">
      <w:pPr>
        <w:spacing w:after="0" w:line="240" w:lineRule="auto"/>
        <w:rPr>
          <w:rFonts w:cstheme="minorHAnsi"/>
        </w:rPr>
      </w:pPr>
    </w:p>
    <w:p w14:paraId="59ED929F" w14:textId="4641A8B6" w:rsidR="00D94556" w:rsidRDefault="00D94556" w:rsidP="003C5EB3">
      <w:pPr>
        <w:spacing w:after="0"/>
        <w:jc w:val="both"/>
        <w:rPr>
          <w:sz w:val="24"/>
          <w:szCs w:val="24"/>
        </w:rPr>
      </w:pPr>
      <w:r>
        <w:rPr>
          <w:sz w:val="24"/>
          <w:szCs w:val="24"/>
        </w:rPr>
        <w:t xml:space="preserve">Conclusion: Buying attitude is more in some festive seasons like March, but </w:t>
      </w:r>
      <w:r w:rsidR="00276E2F">
        <w:rPr>
          <w:sz w:val="24"/>
          <w:szCs w:val="24"/>
        </w:rPr>
        <w:t>low</w:t>
      </w:r>
      <w:r>
        <w:rPr>
          <w:sz w:val="24"/>
          <w:szCs w:val="24"/>
        </w:rPr>
        <w:t xml:space="preserve"> in others like Oct-Nov. Rising Quarters can be seen forming twice a year.</w:t>
      </w:r>
    </w:p>
    <w:p w14:paraId="5800E3A0" w14:textId="5A62646C" w:rsidR="00D94556" w:rsidRDefault="00D94556" w:rsidP="003C5EB3">
      <w:pPr>
        <w:spacing w:after="0"/>
        <w:jc w:val="both"/>
        <w:rPr>
          <w:sz w:val="24"/>
          <w:szCs w:val="24"/>
        </w:rPr>
      </w:pPr>
      <w:r>
        <w:rPr>
          <w:sz w:val="24"/>
          <w:szCs w:val="24"/>
        </w:rPr>
        <w:t>*Rising Quarter refers to the quarter of the year which shows steady increase in graph.</w:t>
      </w:r>
    </w:p>
    <w:p w14:paraId="7FA6BE4A" w14:textId="77777777" w:rsidR="00D94556" w:rsidRDefault="00D94556" w:rsidP="003C5EB3">
      <w:pPr>
        <w:spacing w:after="0"/>
        <w:jc w:val="both"/>
        <w:rPr>
          <w:sz w:val="24"/>
          <w:szCs w:val="24"/>
        </w:rPr>
      </w:pPr>
    </w:p>
    <w:p w14:paraId="0B8A8839" w14:textId="77777777" w:rsidR="00D94556" w:rsidRDefault="00D94556" w:rsidP="003C5EB3">
      <w:pPr>
        <w:spacing w:after="0"/>
        <w:jc w:val="both"/>
        <w:rPr>
          <w:sz w:val="24"/>
          <w:szCs w:val="24"/>
        </w:rPr>
      </w:pPr>
    </w:p>
    <w:p w14:paraId="775429C2" w14:textId="77777777" w:rsidR="00D94556" w:rsidRDefault="003C5EB3" w:rsidP="00D94556">
      <w:pPr>
        <w:spacing w:after="0"/>
        <w:jc w:val="both"/>
        <w:rPr>
          <w:sz w:val="24"/>
          <w:szCs w:val="24"/>
        </w:rPr>
      </w:pPr>
      <w:r w:rsidRPr="004732CB">
        <w:rPr>
          <w:sz w:val="24"/>
          <w:szCs w:val="24"/>
        </w:rPr>
        <w:t>RQ 2: What are the top 5 buying states on financial year 2022?</w:t>
      </w:r>
    </w:p>
    <w:p w14:paraId="040E7D78" w14:textId="73C1445E" w:rsidR="003C5EB3" w:rsidRPr="00276E2F" w:rsidRDefault="003C5EB3" w:rsidP="00276E2F">
      <w:pPr>
        <w:spacing w:after="0"/>
        <w:jc w:val="both"/>
        <w:rPr>
          <w:sz w:val="24"/>
          <w:szCs w:val="24"/>
        </w:rPr>
      </w:pPr>
      <w:r>
        <w:rPr>
          <w:noProof/>
        </w:rPr>
        <w:lastRenderedPageBreak/>
        <w:drawing>
          <wp:inline distT="0" distB="0" distL="0" distR="0" wp14:anchorId="3C7EACE7" wp14:editId="61FA1669">
            <wp:extent cx="5120640" cy="2743200"/>
            <wp:effectExtent l="0" t="0" r="0" b="0"/>
            <wp:docPr id="25100292" name="Chart 1">
              <a:extLst xmlns:a="http://schemas.openxmlformats.org/drawingml/2006/main">
                <a:ext uri="{FF2B5EF4-FFF2-40B4-BE49-F238E27FC236}">
                  <a16:creationId xmlns:a16="http://schemas.microsoft.com/office/drawing/2014/main" id="{7FC68F66-D4FE-C3E1-B84E-7E660EC6CD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469073" w14:textId="5B0C2AE6" w:rsidR="00276E2F" w:rsidRDefault="00276E2F" w:rsidP="000631E8">
      <w:pPr>
        <w:spacing w:after="0" w:line="240" w:lineRule="auto"/>
        <w:rPr>
          <w:rFonts w:cstheme="minorHAnsi"/>
        </w:rPr>
      </w:pPr>
      <w:r w:rsidRPr="00276E2F">
        <w:rPr>
          <w:rFonts w:cstheme="minorHAnsi"/>
        </w:rPr>
        <w:t>*Amount is represented in million Rupees.</w:t>
      </w:r>
    </w:p>
    <w:p w14:paraId="71AF78FC" w14:textId="77777777" w:rsidR="00276E2F" w:rsidRPr="00276E2F" w:rsidRDefault="00276E2F" w:rsidP="000631E8">
      <w:pPr>
        <w:spacing w:after="0" w:line="240" w:lineRule="auto"/>
        <w:rPr>
          <w:rFonts w:cstheme="minorHAnsi"/>
        </w:rPr>
      </w:pPr>
    </w:p>
    <w:p w14:paraId="64BD8081" w14:textId="2EA2003A" w:rsidR="003C5EB3" w:rsidRDefault="003C5EB3" w:rsidP="003C5EB3">
      <w:pPr>
        <w:pStyle w:val="bulletlist"/>
        <w:numPr>
          <w:ilvl w:val="0"/>
          <w:numId w:val="0"/>
        </w:numPr>
        <w:tabs>
          <w:tab w:val="clear" w:pos="288"/>
        </w:tabs>
        <w:rPr>
          <w:sz w:val="24"/>
          <w:szCs w:val="24"/>
          <w:lang w:val="en-IN"/>
        </w:rPr>
      </w:pPr>
      <w:r w:rsidRPr="003C5EB3">
        <w:rPr>
          <w:sz w:val="24"/>
          <w:szCs w:val="24"/>
          <w:lang w:val="en-IN"/>
        </w:rPr>
        <w:t xml:space="preserve">Conclusion: </w:t>
      </w:r>
      <w:r>
        <w:rPr>
          <w:sz w:val="24"/>
          <w:szCs w:val="24"/>
          <w:lang w:val="en-IN"/>
        </w:rPr>
        <w:t xml:space="preserve">Maharashtra, </w:t>
      </w:r>
      <w:r w:rsidR="00D94556">
        <w:rPr>
          <w:sz w:val="24"/>
          <w:szCs w:val="24"/>
          <w:lang w:val="en-IN"/>
        </w:rPr>
        <w:t xml:space="preserve">Karnataka, Uttar Pradesh, Telangana, Tamil Nadu (in decreasing order) </w:t>
      </w:r>
      <w:r w:rsidRPr="003C5EB3">
        <w:rPr>
          <w:sz w:val="24"/>
          <w:szCs w:val="24"/>
          <w:lang w:val="en-IN"/>
        </w:rPr>
        <w:t xml:space="preserve">are the </w:t>
      </w:r>
      <w:r w:rsidR="00D94556">
        <w:rPr>
          <w:sz w:val="24"/>
          <w:szCs w:val="24"/>
          <w:lang w:val="en-IN"/>
        </w:rPr>
        <w:t xml:space="preserve">five </w:t>
      </w:r>
      <w:r w:rsidRPr="003C5EB3">
        <w:rPr>
          <w:sz w:val="24"/>
          <w:szCs w:val="24"/>
          <w:lang w:val="en-IN"/>
        </w:rPr>
        <w:t xml:space="preserve">most </w:t>
      </w:r>
      <w:r w:rsidR="00D94556">
        <w:rPr>
          <w:sz w:val="24"/>
          <w:szCs w:val="24"/>
          <w:lang w:val="en-IN"/>
        </w:rPr>
        <w:t>buying state</w:t>
      </w:r>
      <w:r w:rsidRPr="003C5EB3">
        <w:rPr>
          <w:sz w:val="24"/>
          <w:szCs w:val="24"/>
          <w:lang w:val="en-IN"/>
        </w:rPr>
        <w:t xml:space="preserve">s in </w:t>
      </w:r>
      <w:r w:rsidR="00D94556">
        <w:rPr>
          <w:sz w:val="24"/>
          <w:szCs w:val="24"/>
          <w:lang w:val="en-IN"/>
        </w:rPr>
        <w:t>FY’22</w:t>
      </w:r>
      <w:r w:rsidRPr="003C5EB3">
        <w:rPr>
          <w:sz w:val="24"/>
          <w:szCs w:val="24"/>
          <w:lang w:val="en-IN"/>
        </w:rPr>
        <w:t>.</w:t>
      </w:r>
    </w:p>
    <w:p w14:paraId="1FB34512" w14:textId="77777777" w:rsidR="008E3708" w:rsidRPr="003C5EB3" w:rsidRDefault="008E3708" w:rsidP="003C5EB3">
      <w:pPr>
        <w:pStyle w:val="bulletlist"/>
        <w:numPr>
          <w:ilvl w:val="0"/>
          <w:numId w:val="0"/>
        </w:numPr>
        <w:tabs>
          <w:tab w:val="clear" w:pos="288"/>
        </w:tabs>
        <w:rPr>
          <w:sz w:val="24"/>
          <w:szCs w:val="24"/>
          <w:lang w:val="en-IN"/>
        </w:rPr>
      </w:pPr>
    </w:p>
    <w:p w14:paraId="4F9226E3" w14:textId="2347C665" w:rsidR="008E3708" w:rsidRDefault="008E3708" w:rsidP="008E3708">
      <w:pPr>
        <w:spacing w:after="0"/>
        <w:jc w:val="both"/>
        <w:rPr>
          <w:sz w:val="24"/>
          <w:szCs w:val="24"/>
        </w:rPr>
      </w:pPr>
      <w:r w:rsidRPr="004732CB">
        <w:rPr>
          <w:sz w:val="24"/>
          <w:szCs w:val="24"/>
        </w:rPr>
        <w:t>RQ 3: What is the Age Group (Teenager, Adult, Senior) vs Gender (Male, Female) share in annual sales?</w:t>
      </w:r>
    </w:p>
    <w:p w14:paraId="11A438C7" w14:textId="77777777" w:rsidR="008E3708" w:rsidRDefault="008E3708" w:rsidP="008E3708">
      <w:pPr>
        <w:spacing w:after="0"/>
        <w:jc w:val="both"/>
        <w:rPr>
          <w:sz w:val="24"/>
          <w:szCs w:val="24"/>
        </w:rPr>
      </w:pPr>
    </w:p>
    <w:p w14:paraId="00BBB474" w14:textId="46A97922" w:rsidR="008E3708" w:rsidRDefault="008E3708" w:rsidP="008E3708">
      <w:pPr>
        <w:spacing w:after="0"/>
        <w:jc w:val="both"/>
        <w:rPr>
          <w:sz w:val="24"/>
          <w:szCs w:val="24"/>
        </w:rPr>
      </w:pPr>
      <w:r>
        <w:rPr>
          <w:noProof/>
        </w:rPr>
        <w:drawing>
          <wp:inline distT="0" distB="0" distL="0" distR="0" wp14:anchorId="6E98D4FB" wp14:editId="1CA1197B">
            <wp:extent cx="4968240" cy="2499360"/>
            <wp:effectExtent l="0" t="0" r="0" b="0"/>
            <wp:docPr id="993047371" name="Chart 1">
              <a:extLst xmlns:a="http://schemas.openxmlformats.org/drawingml/2006/main">
                <a:ext uri="{FF2B5EF4-FFF2-40B4-BE49-F238E27FC236}">
                  <a16:creationId xmlns:a16="http://schemas.microsoft.com/office/drawing/2014/main" id="{5D77EF53-0C43-D918-31B0-44CC87938F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467866" w14:textId="5C103155" w:rsidR="008E3708" w:rsidRPr="00E50B95" w:rsidRDefault="008E3708" w:rsidP="008E3708">
      <w:pPr>
        <w:spacing w:after="0"/>
        <w:jc w:val="both"/>
      </w:pPr>
      <w:r w:rsidRPr="00276E2F">
        <w:t>* Adult - Age &gt;=30, Senior - Age &gt;=50, Teenager - Age&lt;3</w:t>
      </w:r>
    </w:p>
    <w:p w14:paraId="622CBFC8" w14:textId="69C657F6" w:rsidR="008E3708" w:rsidRDefault="008E3708" w:rsidP="008E3708">
      <w:pPr>
        <w:spacing w:after="0"/>
        <w:jc w:val="both"/>
        <w:rPr>
          <w:sz w:val="24"/>
          <w:szCs w:val="24"/>
        </w:rPr>
      </w:pPr>
      <w:r>
        <w:rPr>
          <w:sz w:val="24"/>
          <w:szCs w:val="24"/>
        </w:rPr>
        <w:t>Conclusion: Adult Women have the most buying attitude in FY’22, on the contrary Senior Men have the least. Among Teenagers, Girls are more prone to shopping than boys.</w:t>
      </w:r>
    </w:p>
    <w:p w14:paraId="28E1DD65" w14:textId="77777777" w:rsidR="008E3708" w:rsidRPr="004732CB" w:rsidRDefault="008E3708" w:rsidP="008E3708">
      <w:pPr>
        <w:spacing w:after="0"/>
        <w:jc w:val="both"/>
        <w:rPr>
          <w:sz w:val="24"/>
          <w:szCs w:val="24"/>
        </w:rPr>
      </w:pPr>
    </w:p>
    <w:p w14:paraId="34EAAACE" w14:textId="77777777" w:rsidR="008E3708" w:rsidRDefault="008E3708" w:rsidP="008E3708">
      <w:pPr>
        <w:spacing w:after="0"/>
        <w:jc w:val="both"/>
        <w:rPr>
          <w:sz w:val="24"/>
          <w:szCs w:val="24"/>
        </w:rPr>
      </w:pPr>
      <w:r w:rsidRPr="004732CB">
        <w:rPr>
          <w:sz w:val="24"/>
          <w:szCs w:val="24"/>
        </w:rPr>
        <w:t>RQ 4: Which online platform caters most traffic and sales share per channel?</w:t>
      </w:r>
    </w:p>
    <w:p w14:paraId="3C3250FD" w14:textId="77777777" w:rsidR="008E3708" w:rsidRDefault="008E3708" w:rsidP="008E3708">
      <w:pPr>
        <w:spacing w:after="0"/>
        <w:jc w:val="both"/>
        <w:rPr>
          <w:sz w:val="24"/>
          <w:szCs w:val="24"/>
        </w:rPr>
      </w:pPr>
    </w:p>
    <w:p w14:paraId="560B5CE8" w14:textId="7AFC6A3D" w:rsidR="008E3708" w:rsidRDefault="008E3708" w:rsidP="008E3708">
      <w:pPr>
        <w:spacing w:after="0"/>
        <w:jc w:val="both"/>
        <w:rPr>
          <w:sz w:val="24"/>
          <w:szCs w:val="24"/>
        </w:rPr>
      </w:pPr>
      <w:r>
        <w:rPr>
          <w:noProof/>
        </w:rPr>
        <w:lastRenderedPageBreak/>
        <w:drawing>
          <wp:inline distT="0" distB="0" distL="0" distR="0" wp14:anchorId="4084A29E" wp14:editId="11AAD3C9">
            <wp:extent cx="5044440" cy="2567940"/>
            <wp:effectExtent l="0" t="0" r="0" b="0"/>
            <wp:docPr id="116094751" name="Chart 1">
              <a:extLst xmlns:a="http://schemas.openxmlformats.org/drawingml/2006/main">
                <a:ext uri="{FF2B5EF4-FFF2-40B4-BE49-F238E27FC236}">
                  <a16:creationId xmlns:a16="http://schemas.microsoft.com/office/drawing/2014/main" id="{A209DBB5-575D-D5F4-FF45-CF88A6D877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357012" w14:textId="77777777" w:rsidR="008E3708" w:rsidRDefault="008E3708" w:rsidP="008E3708">
      <w:pPr>
        <w:spacing w:after="0"/>
        <w:jc w:val="both"/>
        <w:rPr>
          <w:sz w:val="24"/>
          <w:szCs w:val="24"/>
        </w:rPr>
      </w:pPr>
    </w:p>
    <w:p w14:paraId="1F620FCF" w14:textId="65A3B025" w:rsidR="008E3708" w:rsidRDefault="008E3708" w:rsidP="008E3708">
      <w:pPr>
        <w:spacing w:after="0"/>
        <w:jc w:val="both"/>
        <w:rPr>
          <w:sz w:val="24"/>
          <w:szCs w:val="24"/>
        </w:rPr>
      </w:pPr>
      <w:r>
        <w:rPr>
          <w:sz w:val="24"/>
          <w:szCs w:val="24"/>
        </w:rPr>
        <w:t xml:space="preserve">Conclusion: Amazon, Myntra, Flipkart, Ajio, </w:t>
      </w:r>
      <w:proofErr w:type="spellStart"/>
      <w:r>
        <w:rPr>
          <w:sz w:val="24"/>
          <w:szCs w:val="24"/>
        </w:rPr>
        <w:t>Meesho</w:t>
      </w:r>
      <w:proofErr w:type="spellEnd"/>
      <w:r>
        <w:rPr>
          <w:sz w:val="24"/>
          <w:szCs w:val="24"/>
        </w:rPr>
        <w:t>, Nalli (in decreasing order) are some prominent online shopping channels. Among them, Amazon had the most contribution.</w:t>
      </w:r>
    </w:p>
    <w:p w14:paraId="3CADA648" w14:textId="77777777" w:rsidR="008E3708" w:rsidRPr="004732CB" w:rsidRDefault="008E3708" w:rsidP="008E3708">
      <w:pPr>
        <w:spacing w:after="0"/>
        <w:jc w:val="both"/>
        <w:rPr>
          <w:sz w:val="24"/>
          <w:szCs w:val="24"/>
        </w:rPr>
      </w:pPr>
    </w:p>
    <w:p w14:paraId="29A78099" w14:textId="77777777" w:rsidR="008E3708" w:rsidRPr="004732CB" w:rsidRDefault="008E3708" w:rsidP="008E3708">
      <w:pPr>
        <w:spacing w:after="0"/>
        <w:jc w:val="both"/>
        <w:rPr>
          <w:sz w:val="24"/>
          <w:szCs w:val="24"/>
        </w:rPr>
      </w:pPr>
      <w:r w:rsidRPr="004732CB">
        <w:rPr>
          <w:sz w:val="24"/>
          <w:szCs w:val="24"/>
        </w:rPr>
        <w:t>RQ 5: Who won buying race- male or female?</w:t>
      </w:r>
    </w:p>
    <w:p w14:paraId="277C405A" w14:textId="77777777" w:rsidR="003C5EB3" w:rsidRDefault="003C5EB3" w:rsidP="000631E8">
      <w:pPr>
        <w:spacing w:after="0" w:line="240" w:lineRule="auto"/>
        <w:rPr>
          <w:rFonts w:cstheme="minorHAnsi"/>
          <w:sz w:val="24"/>
          <w:szCs w:val="24"/>
        </w:rPr>
      </w:pPr>
    </w:p>
    <w:p w14:paraId="6674E4A8" w14:textId="76A2BD1E" w:rsidR="00276E2F" w:rsidRDefault="00276E2F" w:rsidP="000631E8">
      <w:pPr>
        <w:spacing w:after="0" w:line="240" w:lineRule="auto"/>
        <w:rPr>
          <w:rFonts w:cstheme="minorHAnsi"/>
          <w:sz w:val="24"/>
          <w:szCs w:val="24"/>
        </w:rPr>
      </w:pPr>
      <w:r>
        <w:rPr>
          <w:noProof/>
        </w:rPr>
        <w:drawing>
          <wp:inline distT="0" distB="0" distL="0" distR="0" wp14:anchorId="5C3E1A9D" wp14:editId="34BE50C2">
            <wp:extent cx="5113020" cy="2743200"/>
            <wp:effectExtent l="0" t="0" r="0" b="0"/>
            <wp:docPr id="1155860400" name="Chart 1">
              <a:extLst xmlns:a="http://schemas.openxmlformats.org/drawingml/2006/main">
                <a:ext uri="{FF2B5EF4-FFF2-40B4-BE49-F238E27FC236}">
                  <a16:creationId xmlns:a16="http://schemas.microsoft.com/office/drawing/2014/main" id="{D8321A0C-D890-0E76-9223-91D991179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FF74E4" w14:textId="77777777" w:rsidR="00276E2F" w:rsidRDefault="00276E2F" w:rsidP="000631E8">
      <w:pPr>
        <w:spacing w:after="0" w:line="240" w:lineRule="auto"/>
        <w:rPr>
          <w:rFonts w:cstheme="minorHAnsi"/>
          <w:sz w:val="24"/>
          <w:szCs w:val="24"/>
        </w:rPr>
      </w:pPr>
    </w:p>
    <w:p w14:paraId="20F05557" w14:textId="3EFFCF92" w:rsidR="00276E2F" w:rsidRPr="00276E2F" w:rsidRDefault="00276E2F" w:rsidP="00276E2F">
      <w:pPr>
        <w:rPr>
          <w:rFonts w:ascii="Calibri" w:eastAsia="Times New Roman" w:hAnsi="Calibri" w:cs="Calibri"/>
          <w:color w:val="000000"/>
          <w:kern w:val="0"/>
          <w:lang w:val="en-IN" w:eastAsia="en-IN"/>
          <w14:ligatures w14:val="none"/>
        </w:rPr>
      </w:pPr>
      <w:r>
        <w:rPr>
          <w:rFonts w:cstheme="minorHAnsi"/>
          <w:sz w:val="24"/>
          <w:szCs w:val="24"/>
        </w:rPr>
        <w:t xml:space="preserve">Conclusion: Clearly, women are ahead of men. According to data, total buying amount of women in FY’22 through this city mall is </w:t>
      </w:r>
      <w:r w:rsidRPr="00276E2F">
        <w:rPr>
          <w:rFonts w:ascii="Calibri" w:eastAsia="Times New Roman" w:hAnsi="Calibri" w:cs="Calibri"/>
          <w:color w:val="000000"/>
          <w:kern w:val="0"/>
          <w:lang w:val="en-IN" w:eastAsia="en-IN"/>
          <w14:ligatures w14:val="none"/>
        </w:rPr>
        <w:t>13593769</w:t>
      </w:r>
      <w:r>
        <w:rPr>
          <w:rFonts w:ascii="Calibri" w:eastAsia="Times New Roman" w:hAnsi="Calibri" w:cs="Calibri"/>
          <w:color w:val="000000"/>
          <w:kern w:val="0"/>
          <w:lang w:val="en-IN" w:eastAsia="en-IN"/>
          <w14:ligatures w14:val="none"/>
        </w:rPr>
        <w:t xml:space="preserve"> Rs., while men have </w:t>
      </w:r>
      <w:r w:rsidRPr="00276E2F">
        <w:rPr>
          <w:rFonts w:ascii="Calibri" w:eastAsia="Times New Roman" w:hAnsi="Calibri" w:cs="Calibri"/>
          <w:color w:val="000000"/>
          <w:kern w:val="0"/>
          <w:lang w:val="en-IN" w:eastAsia="en-IN"/>
          <w14:ligatures w14:val="none"/>
        </w:rPr>
        <w:t>7618604</w:t>
      </w:r>
      <w:r>
        <w:rPr>
          <w:rFonts w:ascii="Calibri" w:eastAsia="Times New Roman" w:hAnsi="Calibri" w:cs="Calibri"/>
          <w:color w:val="000000"/>
          <w:kern w:val="0"/>
          <w:lang w:val="en-IN" w:eastAsia="en-IN"/>
          <w14:ligatures w14:val="none"/>
        </w:rPr>
        <w:t xml:space="preserve"> Rs.</w:t>
      </w:r>
    </w:p>
    <w:p w14:paraId="1CAE2F86" w14:textId="3E7AA4D7" w:rsidR="00276E2F" w:rsidRPr="00276E2F" w:rsidRDefault="00276E2F" w:rsidP="00276E2F">
      <w:pPr>
        <w:rPr>
          <w:rFonts w:ascii="Calibri" w:eastAsia="Times New Roman" w:hAnsi="Calibri" w:cs="Calibri"/>
          <w:color w:val="000000"/>
          <w:kern w:val="0"/>
          <w:lang w:val="en-IN" w:eastAsia="en-IN"/>
          <w14:ligatures w14:val="none"/>
        </w:rPr>
      </w:pPr>
    </w:p>
    <w:p w14:paraId="72073589" w14:textId="383FF6EB" w:rsidR="00276E2F" w:rsidRDefault="00276E2F" w:rsidP="000631E8">
      <w:pPr>
        <w:spacing w:after="0" w:line="240" w:lineRule="auto"/>
        <w:rPr>
          <w:rFonts w:cstheme="minorHAnsi"/>
          <w:sz w:val="24"/>
          <w:szCs w:val="24"/>
        </w:rPr>
      </w:pPr>
    </w:p>
    <w:p w14:paraId="6F2E3169" w14:textId="77777777" w:rsidR="00D94556" w:rsidRDefault="00D94556" w:rsidP="000631E8">
      <w:pPr>
        <w:spacing w:after="0" w:line="240" w:lineRule="auto"/>
        <w:rPr>
          <w:rFonts w:cstheme="minorHAnsi"/>
          <w:sz w:val="24"/>
          <w:szCs w:val="24"/>
        </w:rPr>
      </w:pPr>
    </w:p>
    <w:p w14:paraId="2261B830" w14:textId="77777777" w:rsidR="00E50B95" w:rsidRDefault="00E50B95" w:rsidP="000631E8">
      <w:pPr>
        <w:spacing w:after="0" w:line="240" w:lineRule="auto"/>
        <w:rPr>
          <w:rFonts w:cstheme="minorHAnsi"/>
          <w:sz w:val="24"/>
          <w:szCs w:val="24"/>
        </w:rPr>
      </w:pPr>
    </w:p>
    <w:p w14:paraId="4CA23D7C" w14:textId="0BF05C85" w:rsidR="00D94556" w:rsidRPr="00D94556" w:rsidRDefault="00D94556" w:rsidP="00D94556">
      <w:pPr>
        <w:spacing w:after="0"/>
        <w:jc w:val="both"/>
        <w:rPr>
          <w:sz w:val="24"/>
          <w:szCs w:val="24"/>
        </w:rPr>
      </w:pPr>
      <w:r w:rsidRPr="004732CB">
        <w:rPr>
          <w:sz w:val="24"/>
          <w:szCs w:val="24"/>
        </w:rPr>
        <w:lastRenderedPageBreak/>
        <w:t>RQ 6: What is the status of orders annually?</w:t>
      </w:r>
    </w:p>
    <w:p w14:paraId="180A921A" w14:textId="77777777" w:rsidR="00D94556" w:rsidRDefault="00D94556" w:rsidP="000631E8">
      <w:pPr>
        <w:spacing w:after="0" w:line="240" w:lineRule="auto"/>
        <w:rPr>
          <w:rFonts w:cstheme="minorHAnsi"/>
          <w:sz w:val="24"/>
          <w:szCs w:val="24"/>
        </w:rPr>
      </w:pPr>
    </w:p>
    <w:p w14:paraId="040EBBB4" w14:textId="44438C95" w:rsidR="00D94556" w:rsidRDefault="00D94556" w:rsidP="000631E8">
      <w:pPr>
        <w:spacing w:after="0" w:line="240" w:lineRule="auto"/>
        <w:rPr>
          <w:rFonts w:cstheme="minorHAnsi"/>
          <w:sz w:val="24"/>
          <w:szCs w:val="24"/>
        </w:rPr>
      </w:pPr>
      <w:r>
        <w:rPr>
          <w:noProof/>
        </w:rPr>
        <w:drawing>
          <wp:inline distT="0" distB="0" distL="0" distR="0" wp14:anchorId="6E74FFB3" wp14:editId="553C05B9">
            <wp:extent cx="5219700" cy="2964180"/>
            <wp:effectExtent l="0" t="0" r="0" b="0"/>
            <wp:docPr id="1150006405" name="Chart 1">
              <a:extLst xmlns:a="http://schemas.openxmlformats.org/drawingml/2006/main">
                <a:ext uri="{FF2B5EF4-FFF2-40B4-BE49-F238E27FC236}">
                  <a16:creationId xmlns:a16="http://schemas.microsoft.com/office/drawing/2014/main" id="{1E1BE300-DC99-4EB9-AA4C-80DE60C57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381058" w14:textId="77777777" w:rsidR="00276E2F" w:rsidRDefault="00276E2F" w:rsidP="000631E8">
      <w:pPr>
        <w:spacing w:after="0" w:line="240" w:lineRule="auto"/>
        <w:rPr>
          <w:rFonts w:cstheme="minorHAnsi"/>
          <w:sz w:val="24"/>
          <w:szCs w:val="24"/>
        </w:rPr>
      </w:pPr>
    </w:p>
    <w:p w14:paraId="25A192E0" w14:textId="709E5A4D" w:rsidR="00276E2F" w:rsidRDefault="00276E2F" w:rsidP="000631E8">
      <w:pPr>
        <w:spacing w:after="0" w:line="240" w:lineRule="auto"/>
        <w:rPr>
          <w:rFonts w:cstheme="minorHAnsi"/>
          <w:sz w:val="24"/>
          <w:szCs w:val="24"/>
        </w:rPr>
      </w:pPr>
      <w:r>
        <w:rPr>
          <w:rFonts w:cstheme="minorHAnsi"/>
          <w:sz w:val="24"/>
          <w:szCs w:val="24"/>
        </w:rPr>
        <w:t xml:space="preserve">Conclusion: 92% contributes to successful delivery, while remaining 8% shows the negative </w:t>
      </w:r>
      <w:r w:rsidR="00E50B95">
        <w:rPr>
          <w:rFonts w:cstheme="minorHAnsi"/>
          <w:sz w:val="24"/>
          <w:szCs w:val="24"/>
        </w:rPr>
        <w:t>experience of customers.</w:t>
      </w:r>
    </w:p>
    <w:p w14:paraId="0DF08DC2" w14:textId="77777777" w:rsidR="00E50B95" w:rsidRDefault="00E50B95" w:rsidP="000631E8">
      <w:pPr>
        <w:spacing w:after="0" w:line="240" w:lineRule="auto"/>
        <w:rPr>
          <w:rFonts w:cstheme="minorHAnsi"/>
          <w:sz w:val="24"/>
          <w:szCs w:val="24"/>
        </w:rPr>
      </w:pPr>
    </w:p>
    <w:p w14:paraId="6BFDAC81" w14:textId="77777777" w:rsidR="00E50B95" w:rsidRDefault="00E50B95" w:rsidP="000631E8">
      <w:pPr>
        <w:spacing w:after="0" w:line="240" w:lineRule="auto"/>
        <w:rPr>
          <w:rFonts w:cstheme="minorHAnsi"/>
          <w:sz w:val="24"/>
          <w:szCs w:val="24"/>
        </w:rPr>
      </w:pPr>
    </w:p>
    <w:p w14:paraId="6C0B0B18" w14:textId="4AF03000" w:rsidR="00C73AD6" w:rsidRPr="00520348" w:rsidRDefault="00520348" w:rsidP="00520348">
      <w:pPr>
        <w:pStyle w:val="ListParagraph"/>
        <w:numPr>
          <w:ilvl w:val="0"/>
          <w:numId w:val="2"/>
        </w:numPr>
        <w:spacing w:after="0" w:line="240" w:lineRule="auto"/>
        <w:rPr>
          <w:rFonts w:cstheme="minorHAnsi"/>
          <w:b/>
          <w:bCs/>
          <w:sz w:val="24"/>
          <w:szCs w:val="24"/>
        </w:rPr>
      </w:pPr>
      <w:proofErr w:type="spellStart"/>
      <w:r w:rsidRPr="00520348">
        <w:rPr>
          <w:rFonts w:cstheme="minorHAnsi"/>
          <w:b/>
          <w:bCs/>
          <w:sz w:val="24"/>
          <w:szCs w:val="24"/>
        </w:rPr>
        <w:t>D</w:t>
      </w:r>
      <w:r>
        <w:rPr>
          <w:rFonts w:cstheme="minorHAnsi"/>
          <w:b/>
          <w:bCs/>
          <w:sz w:val="24"/>
          <w:szCs w:val="24"/>
        </w:rPr>
        <w:t>esic</w:t>
      </w:r>
      <w:r w:rsidRPr="00520348">
        <w:rPr>
          <w:rFonts w:cstheme="minorHAnsi"/>
          <w:b/>
          <w:bCs/>
          <w:sz w:val="24"/>
          <w:szCs w:val="24"/>
        </w:rPr>
        <w:t>ions</w:t>
      </w:r>
      <w:proofErr w:type="spellEnd"/>
      <w:r w:rsidRPr="00520348">
        <w:rPr>
          <w:rFonts w:cstheme="minorHAnsi"/>
          <w:b/>
          <w:bCs/>
          <w:sz w:val="24"/>
          <w:szCs w:val="24"/>
        </w:rPr>
        <w:t>:</w:t>
      </w:r>
    </w:p>
    <w:p w14:paraId="60DB951F" w14:textId="6243A25A" w:rsidR="00520348" w:rsidRDefault="00520348" w:rsidP="00520348">
      <w:pPr>
        <w:pStyle w:val="ListParagraph"/>
        <w:spacing w:after="0" w:line="240" w:lineRule="auto"/>
        <w:rPr>
          <w:rFonts w:cstheme="minorHAnsi"/>
          <w:sz w:val="24"/>
          <w:szCs w:val="24"/>
        </w:rPr>
      </w:pPr>
    </w:p>
    <w:p w14:paraId="51556E4C" w14:textId="77777777" w:rsidR="00520348" w:rsidRPr="00520348" w:rsidRDefault="00520348" w:rsidP="00520348">
      <w:pPr>
        <w:pStyle w:val="ListParagraph"/>
        <w:numPr>
          <w:ilvl w:val="1"/>
          <w:numId w:val="6"/>
        </w:numPr>
        <w:spacing w:after="0" w:line="240" w:lineRule="auto"/>
        <w:rPr>
          <w:rFonts w:cstheme="minorHAnsi"/>
          <w:sz w:val="24"/>
          <w:szCs w:val="24"/>
        </w:rPr>
      </w:pPr>
      <w:r w:rsidRPr="00520348">
        <w:rPr>
          <w:rFonts w:cstheme="minorHAnsi"/>
          <w:sz w:val="24"/>
          <w:szCs w:val="24"/>
        </w:rPr>
        <w:t>Women are more likely to buy compared to men (~65%)</w:t>
      </w:r>
    </w:p>
    <w:p w14:paraId="55753805" w14:textId="77777777" w:rsidR="00520348" w:rsidRPr="00520348" w:rsidRDefault="00520348" w:rsidP="00520348">
      <w:pPr>
        <w:pStyle w:val="ListParagraph"/>
        <w:numPr>
          <w:ilvl w:val="1"/>
          <w:numId w:val="6"/>
        </w:numPr>
        <w:spacing w:after="0" w:line="240" w:lineRule="auto"/>
        <w:rPr>
          <w:rFonts w:cstheme="minorHAnsi"/>
          <w:sz w:val="24"/>
          <w:szCs w:val="24"/>
        </w:rPr>
      </w:pPr>
      <w:r w:rsidRPr="00520348">
        <w:rPr>
          <w:rFonts w:cstheme="minorHAnsi"/>
          <w:sz w:val="24"/>
          <w:szCs w:val="24"/>
        </w:rPr>
        <w:t>Maharashtra, Karnataka and Uttar Pradesh are the top 3 states (~35%)</w:t>
      </w:r>
    </w:p>
    <w:p w14:paraId="0CF2EC90" w14:textId="77777777" w:rsidR="00520348" w:rsidRPr="00520348" w:rsidRDefault="00520348" w:rsidP="00520348">
      <w:pPr>
        <w:pStyle w:val="ListParagraph"/>
        <w:numPr>
          <w:ilvl w:val="1"/>
          <w:numId w:val="6"/>
        </w:numPr>
        <w:spacing w:after="0" w:line="240" w:lineRule="auto"/>
        <w:rPr>
          <w:rFonts w:cstheme="minorHAnsi"/>
          <w:sz w:val="24"/>
          <w:szCs w:val="24"/>
        </w:rPr>
      </w:pPr>
      <w:r w:rsidRPr="00520348">
        <w:rPr>
          <w:rFonts w:cstheme="minorHAnsi"/>
          <w:sz w:val="24"/>
          <w:szCs w:val="24"/>
        </w:rPr>
        <w:t xml:space="preserve">Adult age group (30-49 </w:t>
      </w:r>
      <w:proofErr w:type="spellStart"/>
      <w:r w:rsidRPr="00520348">
        <w:rPr>
          <w:rFonts w:cstheme="minorHAnsi"/>
          <w:sz w:val="24"/>
          <w:szCs w:val="24"/>
        </w:rPr>
        <w:t>yrs</w:t>
      </w:r>
      <w:proofErr w:type="spellEnd"/>
      <w:r w:rsidRPr="00520348">
        <w:rPr>
          <w:rFonts w:cstheme="minorHAnsi"/>
          <w:sz w:val="24"/>
          <w:szCs w:val="24"/>
        </w:rPr>
        <w:t>) is max contributing (~50%)</w:t>
      </w:r>
    </w:p>
    <w:p w14:paraId="51167ED6" w14:textId="26A13138" w:rsidR="00520348" w:rsidRDefault="00520348" w:rsidP="00520348">
      <w:pPr>
        <w:pStyle w:val="ListParagraph"/>
        <w:numPr>
          <w:ilvl w:val="1"/>
          <w:numId w:val="6"/>
        </w:numPr>
        <w:spacing w:after="0" w:line="240" w:lineRule="auto"/>
        <w:rPr>
          <w:rFonts w:cstheme="minorHAnsi"/>
          <w:sz w:val="24"/>
          <w:szCs w:val="24"/>
        </w:rPr>
      </w:pPr>
      <w:r w:rsidRPr="00520348">
        <w:rPr>
          <w:rFonts w:cstheme="minorHAnsi"/>
          <w:sz w:val="24"/>
          <w:szCs w:val="24"/>
        </w:rPr>
        <w:t>Amazon, Flipkart and Myntra channels are max contributing (~80%)</w:t>
      </w:r>
    </w:p>
    <w:p w14:paraId="7B8DC52C" w14:textId="77777777" w:rsidR="00520348" w:rsidRDefault="00520348" w:rsidP="00520348">
      <w:pPr>
        <w:pStyle w:val="ListParagraph"/>
        <w:numPr>
          <w:ilvl w:val="1"/>
          <w:numId w:val="6"/>
        </w:numPr>
        <w:spacing w:after="0" w:line="240" w:lineRule="auto"/>
        <w:rPr>
          <w:rFonts w:cstheme="minorHAnsi"/>
          <w:sz w:val="24"/>
          <w:szCs w:val="24"/>
        </w:rPr>
      </w:pPr>
    </w:p>
    <w:p w14:paraId="3303713D" w14:textId="7B6E48DD" w:rsidR="00520348" w:rsidRDefault="00520348" w:rsidP="00520348">
      <w:pPr>
        <w:pStyle w:val="ListParagraph"/>
        <w:spacing w:after="0" w:line="240" w:lineRule="auto"/>
        <w:rPr>
          <w:rFonts w:cstheme="minorHAnsi"/>
          <w:sz w:val="24"/>
          <w:szCs w:val="24"/>
        </w:rPr>
      </w:pPr>
      <w:r w:rsidRPr="00520348">
        <w:rPr>
          <w:rFonts w:cstheme="minorHAnsi"/>
          <w:sz w:val="24"/>
          <w:szCs w:val="24"/>
        </w:rPr>
        <w:t xml:space="preserve">Target women customers of age group (30-49 </w:t>
      </w:r>
      <w:proofErr w:type="spellStart"/>
      <w:r w:rsidRPr="00520348">
        <w:rPr>
          <w:rFonts w:cstheme="minorHAnsi"/>
          <w:sz w:val="24"/>
          <w:szCs w:val="24"/>
        </w:rPr>
        <w:t>yrs</w:t>
      </w:r>
      <w:proofErr w:type="spellEnd"/>
      <w:r w:rsidRPr="00520348">
        <w:rPr>
          <w:rFonts w:cstheme="minorHAnsi"/>
          <w:sz w:val="24"/>
          <w:szCs w:val="24"/>
        </w:rPr>
        <w:t>) living in Maharashtra, Karnataka and Uttar Pradesh by showing ads/offers/coupons available on Amazon, Flipkart and Myntra</w:t>
      </w:r>
      <w:r>
        <w:rPr>
          <w:rFonts w:cstheme="minorHAnsi"/>
          <w:sz w:val="24"/>
          <w:szCs w:val="24"/>
        </w:rPr>
        <w:t>.</w:t>
      </w:r>
    </w:p>
    <w:p w14:paraId="5CC5E12D" w14:textId="77777777" w:rsidR="00520348" w:rsidRPr="00520348" w:rsidRDefault="00520348" w:rsidP="00520348">
      <w:pPr>
        <w:pStyle w:val="ListParagraph"/>
        <w:spacing w:after="0" w:line="240" w:lineRule="auto"/>
        <w:rPr>
          <w:rFonts w:cstheme="minorHAnsi"/>
          <w:sz w:val="24"/>
          <w:szCs w:val="24"/>
        </w:rPr>
      </w:pPr>
    </w:p>
    <w:p w14:paraId="166CD7AD" w14:textId="77777777" w:rsidR="00C73AD6" w:rsidRDefault="00C73AD6" w:rsidP="000631E8">
      <w:pPr>
        <w:spacing w:after="0" w:line="240" w:lineRule="auto"/>
        <w:rPr>
          <w:rFonts w:cstheme="minorHAnsi"/>
          <w:sz w:val="24"/>
          <w:szCs w:val="24"/>
        </w:rPr>
      </w:pPr>
    </w:p>
    <w:p w14:paraId="27F631F6" w14:textId="7CBF7382" w:rsidR="00E50B95" w:rsidRPr="00C73AD6" w:rsidRDefault="00E50B95" w:rsidP="00E50B95">
      <w:pPr>
        <w:pStyle w:val="ListParagraph"/>
        <w:numPr>
          <w:ilvl w:val="0"/>
          <w:numId w:val="2"/>
        </w:numPr>
        <w:spacing w:after="0" w:line="240" w:lineRule="auto"/>
        <w:rPr>
          <w:rFonts w:cstheme="minorHAnsi"/>
          <w:b/>
          <w:bCs/>
          <w:sz w:val="24"/>
          <w:szCs w:val="24"/>
        </w:rPr>
      </w:pPr>
      <w:r w:rsidRPr="00C73AD6">
        <w:rPr>
          <w:rFonts w:cstheme="minorHAnsi"/>
          <w:b/>
          <w:bCs/>
          <w:sz w:val="24"/>
          <w:szCs w:val="24"/>
        </w:rPr>
        <w:t>Conclusion</w:t>
      </w:r>
    </w:p>
    <w:p w14:paraId="7530BD23" w14:textId="1F069D33" w:rsidR="00E50B95" w:rsidRDefault="00E50B95" w:rsidP="00E50B95">
      <w:pPr>
        <w:spacing w:after="0" w:line="240" w:lineRule="auto"/>
        <w:rPr>
          <w:rFonts w:cstheme="minorHAnsi"/>
          <w:sz w:val="24"/>
          <w:szCs w:val="24"/>
        </w:rPr>
      </w:pPr>
    </w:p>
    <w:p w14:paraId="18725F30" w14:textId="77777777" w:rsidR="00C73AD6" w:rsidRDefault="00E50B95" w:rsidP="00E50B95">
      <w:pPr>
        <w:spacing w:after="0" w:line="240" w:lineRule="auto"/>
        <w:rPr>
          <w:rFonts w:ascii="Segoe UI" w:hAnsi="Segoe UI" w:cs="Segoe UI"/>
          <w:color w:val="0D0D0D"/>
          <w:sz w:val="24"/>
          <w:szCs w:val="24"/>
          <w:shd w:val="clear" w:color="auto" w:fill="FFFFFF"/>
        </w:rPr>
      </w:pPr>
      <w:r w:rsidRPr="00E50B95">
        <w:rPr>
          <w:rFonts w:ascii="Segoe UI" w:hAnsi="Segoe UI" w:cs="Segoe UI"/>
          <w:color w:val="0D0D0D"/>
          <w:sz w:val="24"/>
          <w:szCs w:val="24"/>
          <w:shd w:val="clear" w:color="auto" w:fill="FFFFFF"/>
        </w:rPr>
        <w:t xml:space="preserve">In conclusion, the journey of city malls into the realm of online sales represents a pivotal moment in the evolution of retail. Throughout this research, we have explored the multifaceted dynamics at play, delving into consumer behavior, market trends, technological innovations, and strategic imperatives shaping the landscape of digital commerce. </w:t>
      </w:r>
    </w:p>
    <w:p w14:paraId="69847E6B" w14:textId="77777777" w:rsidR="00C73AD6" w:rsidRDefault="00C73AD6" w:rsidP="00E50B95">
      <w:pPr>
        <w:spacing w:after="0" w:line="240" w:lineRule="auto"/>
        <w:rPr>
          <w:rFonts w:ascii="Segoe UI" w:hAnsi="Segoe UI" w:cs="Segoe UI"/>
          <w:color w:val="0D0D0D"/>
          <w:sz w:val="24"/>
          <w:szCs w:val="24"/>
          <w:shd w:val="clear" w:color="auto" w:fill="FFFFFF"/>
        </w:rPr>
      </w:pPr>
    </w:p>
    <w:p w14:paraId="774509B0" w14:textId="76BA70C0" w:rsidR="00E50B95" w:rsidRDefault="00E50B95" w:rsidP="00E50B95">
      <w:pPr>
        <w:spacing w:after="0" w:line="240" w:lineRule="auto"/>
        <w:rPr>
          <w:rFonts w:cstheme="minorHAnsi"/>
          <w:sz w:val="24"/>
          <w:szCs w:val="24"/>
        </w:rPr>
      </w:pPr>
      <w:r w:rsidRPr="00E50B95">
        <w:rPr>
          <w:rFonts w:ascii="Segoe UI" w:hAnsi="Segoe UI" w:cs="Segoe UI"/>
          <w:color w:val="0D0D0D"/>
          <w:sz w:val="24"/>
          <w:szCs w:val="24"/>
          <w:shd w:val="clear" w:color="auto" w:fill="FFFFFF"/>
        </w:rPr>
        <w:lastRenderedPageBreak/>
        <w:t xml:space="preserve">However, realizing this potential requires a strategic approach and a willingness to embrace change. City malls must invest in robust e-commerce infrastructure, optimize their digital presence, and tailor their offerings to meet the diverse needs and preferences of online shoppers. </w:t>
      </w:r>
      <w:r w:rsidRPr="00E50B95">
        <w:rPr>
          <w:sz w:val="24"/>
          <w:szCs w:val="24"/>
        </w:rPr>
        <w:t xml:space="preserve">Buying attitude is more in some festive seasons like March, but low in others like Oct-Nov. Rising Quarters can be seen forming twice a year. </w:t>
      </w:r>
      <w:r w:rsidRPr="00E50B95">
        <w:rPr>
          <w:sz w:val="24"/>
          <w:szCs w:val="24"/>
          <w:lang w:val="en-IN"/>
        </w:rPr>
        <w:t xml:space="preserve">Maharashtra, Karnataka, Uttar Pradesh, Telangana, Tamil Nadu (in decreasing order) are the five most buying states in FY’22. </w:t>
      </w:r>
      <w:r w:rsidRPr="00E50B95">
        <w:rPr>
          <w:sz w:val="24"/>
          <w:szCs w:val="24"/>
        </w:rPr>
        <w:t xml:space="preserve">Adult Women have the most buying attitude in FY’22, on the contrary Senior Men have the least. Among Teenagers, Girls are more prone to shopping than boys. Amazon, Myntra, Flipkart, Ajio, </w:t>
      </w:r>
      <w:proofErr w:type="spellStart"/>
      <w:r w:rsidRPr="00E50B95">
        <w:rPr>
          <w:sz w:val="24"/>
          <w:szCs w:val="24"/>
        </w:rPr>
        <w:t>Meesho</w:t>
      </w:r>
      <w:proofErr w:type="spellEnd"/>
      <w:r w:rsidRPr="00E50B95">
        <w:rPr>
          <w:sz w:val="24"/>
          <w:szCs w:val="24"/>
        </w:rPr>
        <w:t xml:space="preserve">, Nalli (in decreasing order) are some prominent online shopping channels. Among them, Amazon had the most contribution. </w:t>
      </w:r>
      <w:r w:rsidRPr="00E50B95">
        <w:rPr>
          <w:rFonts w:cstheme="minorHAnsi"/>
          <w:sz w:val="24"/>
          <w:szCs w:val="24"/>
        </w:rPr>
        <w:t xml:space="preserve">Women are ahead of men. According to data, total buying amount of women in FY’22 through this city mall is </w:t>
      </w:r>
      <w:r w:rsidRPr="00E50B95">
        <w:rPr>
          <w:rFonts w:ascii="Calibri" w:eastAsia="Times New Roman" w:hAnsi="Calibri" w:cs="Calibri"/>
          <w:color w:val="000000"/>
          <w:kern w:val="0"/>
          <w:sz w:val="24"/>
          <w:szCs w:val="24"/>
          <w:lang w:val="en-IN" w:eastAsia="en-IN"/>
          <w14:ligatures w14:val="none"/>
        </w:rPr>
        <w:t>13593769 Rs., while men have 7618604 Rs.</w:t>
      </w:r>
      <w:r w:rsidRPr="00E50B95">
        <w:rPr>
          <w:rFonts w:cstheme="minorHAnsi"/>
          <w:sz w:val="24"/>
          <w:szCs w:val="24"/>
        </w:rPr>
        <w:t xml:space="preserve"> 92% contributes to successful delivery, while remaining 8% shows the negative experience of customers.</w:t>
      </w:r>
    </w:p>
    <w:p w14:paraId="6F2883F5" w14:textId="77777777" w:rsidR="00C73AD6" w:rsidRPr="00C73AD6" w:rsidRDefault="00C73AD6" w:rsidP="00E50B95">
      <w:pPr>
        <w:spacing w:after="0" w:line="240" w:lineRule="auto"/>
        <w:rPr>
          <w:rFonts w:ascii="Segoe UI" w:hAnsi="Segoe UI" w:cs="Segoe UI"/>
          <w:color w:val="0D0D0D"/>
          <w:sz w:val="24"/>
          <w:szCs w:val="24"/>
          <w:shd w:val="clear" w:color="auto" w:fill="FFFFFF"/>
        </w:rPr>
      </w:pPr>
    </w:p>
    <w:p w14:paraId="58C067D8" w14:textId="366112EB" w:rsidR="00E50B95" w:rsidRPr="00E50B95" w:rsidRDefault="00E50B95" w:rsidP="00E50B95">
      <w:pPr>
        <w:spacing w:after="0" w:line="240" w:lineRule="auto"/>
        <w:rPr>
          <w:rFonts w:cstheme="minorHAnsi"/>
          <w:sz w:val="24"/>
          <w:szCs w:val="24"/>
        </w:rPr>
      </w:pPr>
      <w:r w:rsidRPr="00E50B95">
        <w:rPr>
          <w:rFonts w:ascii="Segoe UI" w:hAnsi="Segoe UI" w:cs="Segoe UI"/>
          <w:color w:val="0D0D0D"/>
          <w:sz w:val="24"/>
          <w:szCs w:val="24"/>
          <w:shd w:val="clear" w:color="auto" w:fill="FFFFFF"/>
        </w:rPr>
        <w:t>In essence, city malls must remain vigilant to the challenges and complexities inherent in the online retail landscape, united in vision to shape a world where city malls stand not just as monuments of commerce, but as beacons of innovation, inspiration, and inclusivity for generations to come.</w:t>
      </w:r>
    </w:p>
    <w:sectPr w:rsidR="00E50B95" w:rsidRPr="00E50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EE8CD" w14:textId="77777777" w:rsidR="00D7696E" w:rsidRDefault="00D7696E" w:rsidP="00DA214F">
      <w:pPr>
        <w:spacing w:after="0" w:line="240" w:lineRule="auto"/>
      </w:pPr>
      <w:r>
        <w:separator/>
      </w:r>
    </w:p>
  </w:endnote>
  <w:endnote w:type="continuationSeparator" w:id="0">
    <w:p w14:paraId="5F3DA058" w14:textId="77777777" w:rsidR="00D7696E" w:rsidRDefault="00D7696E" w:rsidP="00DA2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CFFDA" w14:textId="77777777" w:rsidR="00D7696E" w:rsidRDefault="00D7696E" w:rsidP="00DA214F">
      <w:pPr>
        <w:spacing w:after="0" w:line="240" w:lineRule="auto"/>
      </w:pPr>
      <w:r>
        <w:separator/>
      </w:r>
    </w:p>
  </w:footnote>
  <w:footnote w:type="continuationSeparator" w:id="0">
    <w:p w14:paraId="67773DFE" w14:textId="77777777" w:rsidR="00D7696E" w:rsidRDefault="00D7696E" w:rsidP="00DA2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1B6"/>
    <w:multiLevelType w:val="multilevel"/>
    <w:tmpl w:val="BF8A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C1713"/>
    <w:multiLevelType w:val="hybridMultilevel"/>
    <w:tmpl w:val="EC4000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60336"/>
    <w:multiLevelType w:val="hybridMultilevel"/>
    <w:tmpl w:val="61F219FC"/>
    <w:lvl w:ilvl="0" w:tplc="6D4EC300">
      <w:start w:val="1"/>
      <w:numFmt w:val="decimal"/>
      <w:pStyle w:val="bulletlist"/>
      <w:lvlText w:val="%1."/>
      <w:lvlJc w:val="center"/>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072CBC"/>
    <w:multiLevelType w:val="hybridMultilevel"/>
    <w:tmpl w:val="73D29F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FB40A2"/>
    <w:multiLevelType w:val="hybridMultilevel"/>
    <w:tmpl w:val="3EBE8374"/>
    <w:lvl w:ilvl="0" w:tplc="C6949B60">
      <w:start w:val="1"/>
      <w:numFmt w:val="upperLetter"/>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5" w15:restartNumberingAfterBreak="0">
    <w:nsid w:val="689D1A3C"/>
    <w:multiLevelType w:val="hybridMultilevel"/>
    <w:tmpl w:val="E9702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752825">
    <w:abstractNumId w:val="0"/>
  </w:num>
  <w:num w:numId="2" w16cid:durableId="1687093310">
    <w:abstractNumId w:val="5"/>
  </w:num>
  <w:num w:numId="3" w16cid:durableId="1325085176">
    <w:abstractNumId w:val="3"/>
  </w:num>
  <w:num w:numId="4" w16cid:durableId="308168087">
    <w:abstractNumId w:val="4"/>
  </w:num>
  <w:num w:numId="5" w16cid:durableId="718095795">
    <w:abstractNumId w:val="2"/>
  </w:num>
  <w:num w:numId="6" w16cid:durableId="199761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A214F"/>
    <w:rsid w:val="000631E8"/>
    <w:rsid w:val="00276E2F"/>
    <w:rsid w:val="003C5EB3"/>
    <w:rsid w:val="004732CB"/>
    <w:rsid w:val="004C0425"/>
    <w:rsid w:val="00520348"/>
    <w:rsid w:val="00536051"/>
    <w:rsid w:val="006A4F5A"/>
    <w:rsid w:val="00753FED"/>
    <w:rsid w:val="008724F8"/>
    <w:rsid w:val="008E3708"/>
    <w:rsid w:val="00910784"/>
    <w:rsid w:val="009C1E5B"/>
    <w:rsid w:val="00C73AD6"/>
    <w:rsid w:val="00D7696E"/>
    <w:rsid w:val="00D94556"/>
    <w:rsid w:val="00DA214F"/>
    <w:rsid w:val="00DE6C53"/>
    <w:rsid w:val="00E50B95"/>
    <w:rsid w:val="00EC29E6"/>
    <w:rsid w:val="00F1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91AB"/>
  <w15:chartTrackingRefBased/>
  <w15:docId w15:val="{EF710FA0-DAB0-4A74-A659-CA52A672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A214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nhideWhenUsed/>
    <w:qFormat/>
    <w:rsid w:val="00DA214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nhideWhenUsed/>
    <w:qFormat/>
    <w:rsid w:val="00DA214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nhideWhenUsed/>
    <w:qFormat/>
    <w:rsid w:val="00DA214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214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2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4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214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214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214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214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2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14F"/>
    <w:rPr>
      <w:rFonts w:eastAsiaTheme="majorEastAsia" w:cstheme="majorBidi"/>
      <w:color w:val="272727" w:themeColor="text1" w:themeTint="D8"/>
    </w:rPr>
  </w:style>
  <w:style w:type="paragraph" w:styleId="Title">
    <w:name w:val="Title"/>
    <w:basedOn w:val="Normal"/>
    <w:next w:val="Normal"/>
    <w:link w:val="TitleChar"/>
    <w:uiPriority w:val="10"/>
    <w:qFormat/>
    <w:rsid w:val="00DA2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1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1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14F"/>
    <w:rPr>
      <w:i/>
      <w:iCs/>
      <w:color w:val="404040" w:themeColor="text1" w:themeTint="BF"/>
    </w:rPr>
  </w:style>
  <w:style w:type="paragraph" w:styleId="ListParagraph">
    <w:name w:val="List Paragraph"/>
    <w:basedOn w:val="Normal"/>
    <w:uiPriority w:val="34"/>
    <w:qFormat/>
    <w:rsid w:val="00DA214F"/>
    <w:pPr>
      <w:ind w:left="720"/>
      <w:contextualSpacing/>
    </w:pPr>
  </w:style>
  <w:style w:type="character" w:styleId="IntenseEmphasis">
    <w:name w:val="Intense Emphasis"/>
    <w:basedOn w:val="DefaultParagraphFont"/>
    <w:uiPriority w:val="21"/>
    <w:qFormat/>
    <w:rsid w:val="00DA214F"/>
    <w:rPr>
      <w:i/>
      <w:iCs/>
      <w:color w:val="365F91" w:themeColor="accent1" w:themeShade="BF"/>
    </w:rPr>
  </w:style>
  <w:style w:type="paragraph" w:styleId="IntenseQuote">
    <w:name w:val="Intense Quote"/>
    <w:basedOn w:val="Normal"/>
    <w:next w:val="Normal"/>
    <w:link w:val="IntenseQuoteChar"/>
    <w:uiPriority w:val="30"/>
    <w:qFormat/>
    <w:rsid w:val="00DA214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214F"/>
    <w:rPr>
      <w:i/>
      <w:iCs/>
      <w:color w:val="365F91" w:themeColor="accent1" w:themeShade="BF"/>
    </w:rPr>
  </w:style>
  <w:style w:type="character" w:styleId="IntenseReference">
    <w:name w:val="Intense Reference"/>
    <w:basedOn w:val="DefaultParagraphFont"/>
    <w:uiPriority w:val="32"/>
    <w:qFormat/>
    <w:rsid w:val="00DA214F"/>
    <w:rPr>
      <w:b/>
      <w:bCs/>
      <w:smallCaps/>
      <w:color w:val="365F91" w:themeColor="accent1" w:themeShade="BF"/>
      <w:spacing w:val="5"/>
    </w:rPr>
  </w:style>
  <w:style w:type="character" w:styleId="Strong">
    <w:name w:val="Strong"/>
    <w:basedOn w:val="DefaultParagraphFont"/>
    <w:uiPriority w:val="22"/>
    <w:qFormat/>
    <w:rsid w:val="00DA214F"/>
    <w:rPr>
      <w:b/>
      <w:bCs/>
    </w:rPr>
  </w:style>
  <w:style w:type="paragraph" w:styleId="Header">
    <w:name w:val="header"/>
    <w:basedOn w:val="Normal"/>
    <w:link w:val="HeaderChar"/>
    <w:uiPriority w:val="99"/>
    <w:unhideWhenUsed/>
    <w:rsid w:val="00DA2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14F"/>
  </w:style>
  <w:style w:type="paragraph" w:styleId="Footer">
    <w:name w:val="footer"/>
    <w:basedOn w:val="Normal"/>
    <w:link w:val="FooterChar"/>
    <w:uiPriority w:val="99"/>
    <w:unhideWhenUsed/>
    <w:rsid w:val="00DA2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14F"/>
  </w:style>
  <w:style w:type="paragraph" w:customStyle="1" w:styleId="Author">
    <w:name w:val="Author"/>
    <w:rsid w:val="00DA214F"/>
    <w:pPr>
      <w:spacing w:before="360" w:after="40" w:line="240" w:lineRule="auto"/>
      <w:jc w:val="center"/>
    </w:pPr>
    <w:rPr>
      <w:rFonts w:ascii="Times New Roman" w:eastAsia="SimSun" w:hAnsi="Times New Roman" w:cs="Times New Roman"/>
      <w:noProof/>
      <w:kern w:val="0"/>
      <w14:ligatures w14:val="none"/>
    </w:rPr>
  </w:style>
  <w:style w:type="paragraph" w:styleId="NormalWeb">
    <w:name w:val="Normal (Web)"/>
    <w:basedOn w:val="Normal"/>
    <w:uiPriority w:val="99"/>
    <w:semiHidden/>
    <w:unhideWhenUsed/>
    <w:rsid w:val="000631E8"/>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BodyText">
    <w:name w:val="Body Text"/>
    <w:basedOn w:val="Normal"/>
    <w:link w:val="BodyTextChar"/>
    <w:rsid w:val="003C5EB3"/>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3C5EB3"/>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3C5EB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062961">
      <w:bodyDiv w:val="1"/>
      <w:marLeft w:val="0"/>
      <w:marRight w:val="0"/>
      <w:marTop w:val="0"/>
      <w:marBottom w:val="0"/>
      <w:divBdr>
        <w:top w:val="none" w:sz="0" w:space="0" w:color="auto"/>
        <w:left w:val="none" w:sz="0" w:space="0" w:color="auto"/>
        <w:bottom w:val="none" w:sz="0" w:space="0" w:color="auto"/>
        <w:right w:val="none" w:sz="0" w:space="0" w:color="auto"/>
      </w:divBdr>
    </w:div>
    <w:div w:id="272245496">
      <w:bodyDiv w:val="1"/>
      <w:marLeft w:val="0"/>
      <w:marRight w:val="0"/>
      <w:marTop w:val="0"/>
      <w:marBottom w:val="0"/>
      <w:divBdr>
        <w:top w:val="none" w:sz="0" w:space="0" w:color="auto"/>
        <w:left w:val="none" w:sz="0" w:space="0" w:color="auto"/>
        <w:bottom w:val="none" w:sz="0" w:space="0" w:color="auto"/>
        <w:right w:val="none" w:sz="0" w:space="0" w:color="auto"/>
      </w:divBdr>
    </w:div>
    <w:div w:id="280956984">
      <w:bodyDiv w:val="1"/>
      <w:marLeft w:val="0"/>
      <w:marRight w:val="0"/>
      <w:marTop w:val="0"/>
      <w:marBottom w:val="0"/>
      <w:divBdr>
        <w:top w:val="none" w:sz="0" w:space="0" w:color="auto"/>
        <w:left w:val="none" w:sz="0" w:space="0" w:color="auto"/>
        <w:bottom w:val="none" w:sz="0" w:space="0" w:color="auto"/>
        <w:right w:val="none" w:sz="0" w:space="0" w:color="auto"/>
      </w:divBdr>
    </w:div>
    <w:div w:id="328949439">
      <w:bodyDiv w:val="1"/>
      <w:marLeft w:val="0"/>
      <w:marRight w:val="0"/>
      <w:marTop w:val="0"/>
      <w:marBottom w:val="0"/>
      <w:divBdr>
        <w:top w:val="none" w:sz="0" w:space="0" w:color="auto"/>
        <w:left w:val="none" w:sz="0" w:space="0" w:color="auto"/>
        <w:bottom w:val="none" w:sz="0" w:space="0" w:color="auto"/>
        <w:right w:val="none" w:sz="0" w:space="0" w:color="auto"/>
      </w:divBdr>
    </w:div>
    <w:div w:id="543517440">
      <w:bodyDiv w:val="1"/>
      <w:marLeft w:val="0"/>
      <w:marRight w:val="0"/>
      <w:marTop w:val="0"/>
      <w:marBottom w:val="0"/>
      <w:divBdr>
        <w:top w:val="none" w:sz="0" w:space="0" w:color="auto"/>
        <w:left w:val="none" w:sz="0" w:space="0" w:color="auto"/>
        <w:bottom w:val="none" w:sz="0" w:space="0" w:color="auto"/>
        <w:right w:val="none" w:sz="0" w:space="0" w:color="auto"/>
      </w:divBdr>
    </w:div>
    <w:div w:id="874853894">
      <w:bodyDiv w:val="1"/>
      <w:marLeft w:val="0"/>
      <w:marRight w:val="0"/>
      <w:marTop w:val="0"/>
      <w:marBottom w:val="0"/>
      <w:divBdr>
        <w:top w:val="none" w:sz="0" w:space="0" w:color="auto"/>
        <w:left w:val="none" w:sz="0" w:space="0" w:color="auto"/>
        <w:bottom w:val="none" w:sz="0" w:space="0" w:color="auto"/>
        <w:right w:val="none" w:sz="0" w:space="0" w:color="auto"/>
      </w:divBdr>
    </w:div>
    <w:div w:id="124630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IDHYA\Documents\excel%20class\Project\City%20Mall%202022%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IDHYA\Documents\excel%20class\Project\City%20Mall%202022%20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IDHYA\Documents\excel%20class\Project\City%20Mall%202022%20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IDHYA\Documents\excel%20class\Project\City%20Mall%202022%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NIDHYA\Documents\excel%20class\Project\City%20Mall%202022%20Data%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NIDHYA\Documents\excel%20class\Project\City%20Mall%202022%20Data%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[City Mall 2022 Data Analysis.xlsx]Orders vs Sales!PivotTable2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Orders</a:t>
            </a:r>
            <a:r>
              <a:rPr lang="en-IN" baseline="0"/>
              <a:t> vs Sales</a:t>
            </a:r>
            <a:endParaRPr lang="en-IN"/>
          </a:p>
        </c:rich>
      </c:tx>
      <c:layout>
        <c:manualLayout>
          <c:xMode val="edge"/>
          <c:yMode val="edge"/>
          <c:x val="0.1204722222222222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991426071741033"/>
          <c:y val="0.17171296296296296"/>
          <c:w val="0.76742060367454068"/>
          <c:h val="0.69729950422863807"/>
        </c:manualLayout>
      </c:layout>
      <c:barChart>
        <c:barDir val="col"/>
        <c:grouping val="clustered"/>
        <c:varyColors val="0"/>
        <c:ser>
          <c:idx val="0"/>
          <c:order val="0"/>
          <c:tx>
            <c:strRef>
              <c:f>'Orders vs Sales'!$B$3</c:f>
              <c:strCache>
                <c:ptCount val="1"/>
                <c:pt idx="0">
                  <c:v>Count of Order ID</c:v>
                </c:pt>
              </c:strCache>
            </c:strRef>
          </c:tx>
          <c:spPr>
            <a:solidFill>
              <a:schemeClr val="accent1"/>
            </a:solidFill>
            <a:ln>
              <a:noFill/>
            </a:ln>
            <a:effectLst/>
          </c:spPr>
          <c:invertIfNegative val="0"/>
          <c:cat>
            <c:strRef>
              <c:f>'Orders vs Sales'!$A$4:$A$15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'Orders vs Sales'!$B$4:$B$15</c:f>
              <c:numCache>
                <c:formatCode>General</c:formatCode>
                <c:ptCount val="12"/>
                <c:pt idx="0">
                  <c:v>2702</c:v>
                </c:pt>
                <c:pt idx="1">
                  <c:v>2750</c:v>
                </c:pt>
                <c:pt idx="2">
                  <c:v>2819</c:v>
                </c:pt>
                <c:pt idx="3">
                  <c:v>2685</c:v>
                </c:pt>
                <c:pt idx="4">
                  <c:v>2617</c:v>
                </c:pt>
                <c:pt idx="5">
                  <c:v>2597</c:v>
                </c:pt>
                <c:pt idx="6">
                  <c:v>2579</c:v>
                </c:pt>
                <c:pt idx="7">
                  <c:v>2617</c:v>
                </c:pt>
                <c:pt idx="8">
                  <c:v>2490</c:v>
                </c:pt>
                <c:pt idx="9">
                  <c:v>2424</c:v>
                </c:pt>
                <c:pt idx="10">
                  <c:v>2383</c:v>
                </c:pt>
                <c:pt idx="11">
                  <c:v>2384</c:v>
                </c:pt>
              </c:numCache>
            </c:numRef>
          </c:val>
          <c:extLst>
            <c:ext xmlns:c16="http://schemas.microsoft.com/office/drawing/2014/chart" uri="{C3380CC4-5D6E-409C-BE32-E72D297353CC}">
              <c16:uniqueId val="{00000000-9FBC-4A04-AAB3-F4F0E8A619B6}"/>
            </c:ext>
          </c:extLst>
        </c:ser>
        <c:dLbls>
          <c:showLegendKey val="0"/>
          <c:showVal val="0"/>
          <c:showCatName val="0"/>
          <c:showSerName val="0"/>
          <c:showPercent val="0"/>
          <c:showBubbleSize val="0"/>
        </c:dLbls>
        <c:gapWidth val="219"/>
        <c:overlap val="-27"/>
        <c:axId val="550779600"/>
        <c:axId val="109967952"/>
      </c:barChart>
      <c:lineChart>
        <c:grouping val="standard"/>
        <c:varyColors val="0"/>
        <c:ser>
          <c:idx val="1"/>
          <c:order val="1"/>
          <c:tx>
            <c:strRef>
              <c:f>'Orders vs Sales'!$C$3</c:f>
              <c:strCache>
                <c:ptCount val="1"/>
                <c:pt idx="0">
                  <c:v>Sum of Amount</c:v>
                </c:pt>
              </c:strCache>
            </c:strRef>
          </c:tx>
          <c:spPr>
            <a:ln w="28575" cap="rnd">
              <a:solidFill>
                <a:schemeClr val="accent2"/>
              </a:solidFill>
              <a:round/>
            </a:ln>
            <a:effectLst/>
          </c:spPr>
          <c:marker>
            <c:symbol val="none"/>
          </c:marker>
          <c:cat>
            <c:strRef>
              <c:f>'Orders vs Sales'!$A$4:$A$15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'Orders vs Sales'!$C$4:$C$15</c:f>
              <c:numCache>
                <c:formatCode>General</c:formatCode>
                <c:ptCount val="12"/>
                <c:pt idx="0">
                  <c:v>1820601</c:v>
                </c:pt>
                <c:pt idx="1">
                  <c:v>1875932</c:v>
                </c:pt>
                <c:pt idx="2">
                  <c:v>1928066</c:v>
                </c:pt>
                <c:pt idx="3">
                  <c:v>1829263</c:v>
                </c:pt>
                <c:pt idx="4">
                  <c:v>1797822</c:v>
                </c:pt>
                <c:pt idx="5">
                  <c:v>1750966</c:v>
                </c:pt>
                <c:pt idx="6">
                  <c:v>1772300</c:v>
                </c:pt>
                <c:pt idx="7">
                  <c:v>1808505</c:v>
                </c:pt>
                <c:pt idx="8">
                  <c:v>1688871</c:v>
                </c:pt>
                <c:pt idx="9">
                  <c:v>1694658</c:v>
                </c:pt>
                <c:pt idx="10">
                  <c:v>1623356</c:v>
                </c:pt>
                <c:pt idx="11">
                  <c:v>1622033</c:v>
                </c:pt>
              </c:numCache>
            </c:numRef>
          </c:val>
          <c:smooth val="0"/>
          <c:extLst>
            <c:ext xmlns:c16="http://schemas.microsoft.com/office/drawing/2014/chart" uri="{C3380CC4-5D6E-409C-BE32-E72D297353CC}">
              <c16:uniqueId val="{00000001-9FBC-4A04-AAB3-F4F0E8A619B6}"/>
            </c:ext>
          </c:extLst>
        </c:ser>
        <c:dLbls>
          <c:showLegendKey val="0"/>
          <c:showVal val="0"/>
          <c:showCatName val="0"/>
          <c:showSerName val="0"/>
          <c:showPercent val="0"/>
          <c:showBubbleSize val="0"/>
        </c:dLbls>
        <c:marker val="1"/>
        <c:smooth val="0"/>
        <c:axId val="435451632"/>
        <c:axId val="435453072"/>
      </c:lineChart>
      <c:catAx>
        <c:axId val="435451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53072"/>
        <c:crosses val="autoZero"/>
        <c:auto val="1"/>
        <c:lblAlgn val="ctr"/>
        <c:lblOffset val="100"/>
        <c:noMultiLvlLbl val="0"/>
      </c:catAx>
      <c:valAx>
        <c:axId val="435453072"/>
        <c:scaling>
          <c:orientation val="minMax"/>
        </c:scaling>
        <c:delete val="0"/>
        <c:axPos val="l"/>
        <c:majorGridlines>
          <c:spPr>
            <a:ln w="9525" cap="flat" cmpd="sng" algn="ctr">
              <a:solidFill>
                <a:schemeClr val="tx1">
                  <a:lumMod val="15000"/>
                  <a:lumOff val="85000"/>
                </a:schemeClr>
              </a:solidFill>
              <a:round/>
            </a:ln>
            <a:effectLst/>
          </c:spPr>
        </c:majorGridlines>
        <c:numFmt formatCode="0.0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51632"/>
        <c:crosses val="autoZero"/>
        <c:crossBetween val="between"/>
      </c:valAx>
      <c:valAx>
        <c:axId val="10996795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779600"/>
        <c:crosses val="max"/>
        <c:crossBetween val="between"/>
      </c:valAx>
      <c:catAx>
        <c:axId val="550779600"/>
        <c:scaling>
          <c:orientation val="minMax"/>
        </c:scaling>
        <c:delete val="1"/>
        <c:axPos val="b"/>
        <c:numFmt formatCode="General" sourceLinked="1"/>
        <c:majorTickMark val="out"/>
        <c:minorTickMark val="none"/>
        <c:tickLblPos val="nextTo"/>
        <c:crossAx val="109967952"/>
        <c:crosses val="autoZero"/>
        <c:auto val="1"/>
        <c:lblAlgn val="ctr"/>
        <c:lblOffset val="100"/>
        <c:noMultiLvlLbl val="0"/>
      </c:catAx>
      <c:spPr>
        <a:noFill/>
        <a:ln>
          <a:noFill/>
        </a:ln>
        <a:effectLst/>
      </c:spPr>
    </c:plotArea>
    <c:legend>
      <c:legendPos val="r"/>
      <c:layout>
        <c:manualLayout>
          <c:xMode val="edge"/>
          <c:yMode val="edge"/>
          <c:x val="0.52258245844269469"/>
          <c:y val="1.0045567220764046E-2"/>
          <c:w val="0.47741754155730531"/>
          <c:h val="0.109954797317002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[City Mall 2022 Data Analysis.xlsx]Top 5 states!PivotTable6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Top 5 state</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'Top 5 states'!$E$3</c:f>
              <c:strCache>
                <c:ptCount val="1"/>
                <c:pt idx="0">
                  <c:v>Total</c:v>
                </c:pt>
              </c:strCache>
            </c:strRef>
          </c:tx>
          <c:spPr>
            <a:solidFill>
              <a:schemeClr val="accent1"/>
            </a:solidFill>
            <a:ln>
              <a:noFill/>
            </a:ln>
            <a:effectLst/>
          </c:spPr>
          <c:invertIfNegative val="0"/>
          <c:dLbls>
            <c:numFmt formatCode="0.00,,&quot;M&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5 states'!$D$4:$D$8</c:f>
              <c:strCache>
                <c:ptCount val="5"/>
                <c:pt idx="0">
                  <c:v>MAHARASHTRA</c:v>
                </c:pt>
                <c:pt idx="1">
                  <c:v>KARNATAKA</c:v>
                </c:pt>
                <c:pt idx="2">
                  <c:v>UTTAR PRADESH</c:v>
                </c:pt>
                <c:pt idx="3">
                  <c:v>TELANGANA</c:v>
                </c:pt>
                <c:pt idx="4">
                  <c:v>TAMIL NADU</c:v>
                </c:pt>
              </c:strCache>
            </c:strRef>
          </c:cat>
          <c:val>
            <c:numRef>
              <c:f>'Top 5 states'!$E$4:$E$8</c:f>
              <c:numCache>
                <c:formatCode>General</c:formatCode>
                <c:ptCount val="5"/>
                <c:pt idx="0">
                  <c:v>2994221</c:v>
                </c:pt>
                <c:pt idx="1">
                  <c:v>2648358</c:v>
                </c:pt>
                <c:pt idx="2">
                  <c:v>2115659</c:v>
                </c:pt>
                <c:pt idx="3">
                  <c:v>1720435</c:v>
                </c:pt>
                <c:pt idx="4">
                  <c:v>1679877</c:v>
                </c:pt>
              </c:numCache>
            </c:numRef>
          </c:val>
          <c:extLst>
            <c:ext xmlns:c16="http://schemas.microsoft.com/office/drawing/2014/chart" uri="{C3380CC4-5D6E-409C-BE32-E72D297353CC}">
              <c16:uniqueId val="{00000000-61C1-49A7-876E-357A556CD01F}"/>
            </c:ext>
          </c:extLst>
        </c:ser>
        <c:dLbls>
          <c:dLblPos val="outEnd"/>
          <c:showLegendKey val="0"/>
          <c:showVal val="1"/>
          <c:showCatName val="0"/>
          <c:showSerName val="0"/>
          <c:showPercent val="0"/>
          <c:showBubbleSize val="0"/>
        </c:dLbls>
        <c:gapWidth val="182"/>
        <c:axId val="581689832"/>
        <c:axId val="581690912"/>
      </c:barChart>
      <c:catAx>
        <c:axId val="581689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690912"/>
        <c:crosses val="autoZero"/>
        <c:auto val="1"/>
        <c:lblAlgn val="ctr"/>
        <c:lblOffset val="100"/>
        <c:noMultiLvlLbl val="0"/>
      </c:catAx>
      <c:valAx>
        <c:axId val="581690912"/>
        <c:scaling>
          <c:orientation val="minMax"/>
        </c:scaling>
        <c:delete val="0"/>
        <c:axPos val="b"/>
        <c:majorGridlines>
          <c:spPr>
            <a:ln w="9525" cap="flat" cmpd="sng" algn="ctr">
              <a:solidFill>
                <a:schemeClr val="tx1">
                  <a:lumMod val="15000"/>
                  <a:lumOff val="85000"/>
                </a:schemeClr>
              </a:solidFill>
              <a:round/>
            </a:ln>
            <a:effectLst/>
          </c:spPr>
        </c:majorGridlines>
        <c:numFmt formatCode="0.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689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[City Mall 2022 Data Analysis.xlsx]Age &amp; Gender!PivotTable7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Age</a:t>
            </a:r>
            <a:r>
              <a:rPr lang="en-IN" baseline="0"/>
              <a:t> vs Gender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749039522233637"/>
          <c:y val="0.17272181678509699"/>
          <c:w val="0.82100308113659703"/>
          <c:h val="0.73480731067153193"/>
        </c:manualLayout>
      </c:layout>
      <c:barChart>
        <c:barDir val="col"/>
        <c:grouping val="clustered"/>
        <c:varyColors val="0"/>
        <c:ser>
          <c:idx val="0"/>
          <c:order val="0"/>
          <c:tx>
            <c:strRef>
              <c:f>'Age &amp; Gender'!$B$3:$B$4</c:f>
              <c:strCache>
                <c:ptCount val="1"/>
                <c:pt idx="0">
                  <c:v>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'Age &amp; Gender'!$A$5:$A$7</c:f>
              <c:strCache>
                <c:ptCount val="3"/>
                <c:pt idx="0">
                  <c:v>Adult</c:v>
                </c:pt>
                <c:pt idx="1">
                  <c:v>Senior</c:v>
                </c:pt>
                <c:pt idx="2">
                  <c:v>Teenager</c:v>
                </c:pt>
              </c:strCache>
            </c:strRef>
          </c:cat>
          <c:val>
            <c:numRef>
              <c:f>'Age &amp; Gender'!$B$5:$B$7</c:f>
              <c:numCache>
                <c:formatCode>0.00%</c:formatCode>
                <c:ptCount val="3"/>
                <c:pt idx="0">
                  <c:v>0.15470093728862691</c:v>
                </c:pt>
                <c:pt idx="1">
                  <c:v>5.9136148420137209E-2</c:v>
                </c:pt>
                <c:pt idx="2">
                  <c:v>9.1957354977936681E-2</c:v>
                </c:pt>
              </c:numCache>
            </c:numRef>
          </c:val>
          <c:extLst>
            <c:ext xmlns:c16="http://schemas.microsoft.com/office/drawing/2014/chart" uri="{C3380CC4-5D6E-409C-BE32-E72D297353CC}">
              <c16:uniqueId val="{00000000-AEE9-499F-8A80-CA2A08110939}"/>
            </c:ext>
          </c:extLst>
        </c:ser>
        <c:ser>
          <c:idx val="1"/>
          <c:order val="1"/>
          <c:tx>
            <c:strRef>
              <c:f>'Age &amp; Gender'!$C$3:$C$4</c:f>
              <c:strCache>
                <c:ptCount val="1"/>
                <c:pt idx="0">
                  <c:v>Women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'Age &amp; Gender'!$A$5:$A$7</c:f>
              <c:strCache>
                <c:ptCount val="3"/>
                <c:pt idx="0">
                  <c:v>Adult</c:v>
                </c:pt>
                <c:pt idx="1">
                  <c:v>Senior</c:v>
                </c:pt>
                <c:pt idx="2">
                  <c:v>Teenager</c:v>
                </c:pt>
              </c:strCache>
            </c:strRef>
          </c:cat>
          <c:val>
            <c:numRef>
              <c:f>'Age &amp; Gender'!$C$5:$C$7</c:f>
              <c:numCache>
                <c:formatCode>0.00%</c:formatCode>
                <c:ptCount val="3"/>
                <c:pt idx="0">
                  <c:v>0.3459271427191033</c:v>
                </c:pt>
                <c:pt idx="1">
                  <c:v>0.13698586014751829</c:v>
                </c:pt>
                <c:pt idx="2">
                  <c:v>0.2112925564466776</c:v>
                </c:pt>
              </c:numCache>
            </c:numRef>
          </c:val>
          <c:extLst>
            <c:ext xmlns:c16="http://schemas.microsoft.com/office/drawing/2014/chart" uri="{C3380CC4-5D6E-409C-BE32-E72D297353CC}">
              <c16:uniqueId val="{00000001-AEE9-499F-8A80-CA2A08110939}"/>
            </c:ext>
          </c:extLst>
        </c:ser>
        <c:dLbls>
          <c:dLblPos val="outEnd"/>
          <c:showLegendKey val="0"/>
          <c:showVal val="1"/>
          <c:showCatName val="0"/>
          <c:showSerName val="0"/>
          <c:showPercent val="0"/>
          <c:showBubbleSize val="0"/>
        </c:dLbls>
        <c:gapWidth val="219"/>
        <c:overlap val="-27"/>
        <c:axId val="662311432"/>
        <c:axId val="662311792"/>
      </c:barChart>
      <c:catAx>
        <c:axId val="662311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311792"/>
        <c:crosses val="autoZero"/>
        <c:auto val="1"/>
        <c:lblAlgn val="ctr"/>
        <c:lblOffset val="100"/>
        <c:noMultiLvlLbl val="0"/>
      </c:catAx>
      <c:valAx>
        <c:axId val="6623117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311432"/>
        <c:crosses val="autoZero"/>
        <c:crossBetween val="between"/>
      </c:valAx>
      <c:spPr>
        <a:noFill/>
        <a:ln>
          <a:noFill/>
        </a:ln>
        <a:effectLst/>
      </c:spPr>
    </c:plotArea>
    <c:legend>
      <c:legendPos val="r"/>
      <c:layout>
        <c:manualLayout>
          <c:xMode val="edge"/>
          <c:yMode val="edge"/>
          <c:x val="0.71656496062992114"/>
          <c:y val="1.0045567220764046E-2"/>
          <c:w val="0.28343503937007875"/>
          <c:h val="0.114584426946631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[City Mall 2022 Data Analysis.xlsx]Channels!PivotTable8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w="19050">
            <a:solidFill>
              <a:schemeClr val="lt1"/>
            </a:solidFill>
          </a:ln>
          <a:effectLst/>
        </c:spPr>
        <c:dLbl>
          <c:idx val="0"/>
          <c:layout>
            <c:manualLayout>
              <c:x val="2.7777777777777776E-2"/>
              <c:y val="-5.0925925925925923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w="19050">
            <a:solidFill>
              <a:schemeClr val="lt1"/>
            </a:solidFill>
          </a:ln>
          <a:effectLst/>
        </c:spPr>
        <c:dLbl>
          <c:idx val="0"/>
          <c:layout>
            <c:manualLayout>
              <c:x val="-5.0925337632079971E-17"/>
              <c:y val="-7.407407407407407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w="19050">
            <a:solidFill>
              <a:schemeClr val="lt1"/>
            </a:solidFill>
          </a:ln>
          <a:effectLst/>
        </c:spPr>
        <c:dLbl>
          <c:idx val="0"/>
          <c:layout>
            <c:manualLayout>
              <c:x val="-2.2222222222222223E-2"/>
              <c:y val="0"/>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1"/>
          </a:solidFill>
          <a:ln w="19050">
            <a:solidFill>
              <a:schemeClr val="lt1"/>
            </a:solidFill>
          </a:ln>
          <a:effectLst/>
        </c:spPr>
        <c:dLbl>
          <c:idx val="0"/>
          <c:layout>
            <c:manualLayout>
              <c:x val="-4.7222222222222249E-2"/>
              <c:y val="-9.7222222222222307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w="19050">
            <a:solidFill>
              <a:schemeClr val="lt1"/>
            </a:solidFill>
          </a:ln>
          <a:effectLst/>
        </c:spPr>
        <c:dLbl>
          <c:idx val="0"/>
          <c:layout>
            <c:manualLayout>
              <c:x val="-0.11388888888888889"/>
              <c:y val="-1.38888888888888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w="19050">
            <a:solidFill>
              <a:schemeClr val="lt1"/>
            </a:solidFill>
          </a:ln>
          <a:effectLst/>
        </c:spPr>
        <c:dLbl>
          <c:idx val="0"/>
          <c:layout>
            <c:manualLayout>
              <c:x val="2.7777777777777676E-2"/>
              <c:y val="-6.944444444444444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w="19050">
            <a:solidFill>
              <a:schemeClr val="lt1"/>
            </a:solidFill>
          </a:ln>
          <a:effectLst/>
        </c:spPr>
        <c:dLbl>
          <c:idx val="0"/>
          <c:layout>
            <c:manualLayout>
              <c:x val="-8.3333333333333332E-3"/>
              <c:y val="-3.2407407407407426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w="19050">
            <a:solidFill>
              <a:schemeClr val="lt1"/>
            </a:solidFill>
          </a:ln>
          <a:effectLst/>
        </c:spPr>
        <c:dLbl>
          <c:idx val="0"/>
          <c:layout>
            <c:manualLayout>
              <c:x val="2.7777777777777776E-2"/>
              <c:y val="-5.0925925925925923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w="19050">
            <a:solidFill>
              <a:schemeClr val="lt1"/>
            </a:solidFill>
          </a:ln>
          <a:effectLst/>
        </c:spPr>
        <c:dLbl>
          <c:idx val="0"/>
          <c:layout>
            <c:manualLayout>
              <c:x val="-8.3333333333333332E-3"/>
              <c:y val="-3.2407407407407426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1"/>
          </a:solidFill>
          <a:ln w="19050">
            <a:solidFill>
              <a:schemeClr val="lt1"/>
            </a:solidFill>
          </a:ln>
          <a:effectLst/>
        </c:spPr>
        <c:dLbl>
          <c:idx val="0"/>
          <c:layout>
            <c:manualLayout>
              <c:x val="2.7777777777777676E-2"/>
              <c:y val="-6.944444444444444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
        <c:spPr>
          <a:solidFill>
            <a:schemeClr val="accent1"/>
          </a:solidFill>
          <a:ln w="19050">
            <a:solidFill>
              <a:schemeClr val="lt1"/>
            </a:solidFill>
          </a:ln>
          <a:effectLst/>
        </c:spPr>
        <c:dLbl>
          <c:idx val="0"/>
          <c:layout>
            <c:manualLayout>
              <c:x val="-0.11388888888888889"/>
              <c:y val="-1.38888888888888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solidFill>
            <a:schemeClr val="accent1"/>
          </a:solidFill>
          <a:ln w="19050">
            <a:solidFill>
              <a:schemeClr val="lt1"/>
            </a:solidFill>
          </a:ln>
          <a:effectLst/>
        </c:spPr>
        <c:dLbl>
          <c:idx val="0"/>
          <c:layout>
            <c:manualLayout>
              <c:x val="-4.7222222222222249E-2"/>
              <c:y val="-9.7222222222222307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1"/>
          </a:solidFill>
          <a:ln w="19050">
            <a:solidFill>
              <a:schemeClr val="lt1"/>
            </a:solidFill>
          </a:ln>
          <a:effectLst/>
        </c:spPr>
        <c:dLbl>
          <c:idx val="0"/>
          <c:layout>
            <c:manualLayout>
              <c:x val="-2.2222222222222223E-2"/>
              <c:y val="0"/>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5"/>
        <c:spPr>
          <a:solidFill>
            <a:schemeClr val="accent1"/>
          </a:solidFill>
          <a:ln w="19050">
            <a:solidFill>
              <a:schemeClr val="lt1"/>
            </a:solidFill>
          </a:ln>
          <a:effectLst/>
        </c:spPr>
        <c:dLbl>
          <c:idx val="0"/>
          <c:layout>
            <c:manualLayout>
              <c:x val="-5.0925337632079971E-17"/>
              <c:y val="-7.407407407407407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7"/>
        <c:spPr>
          <a:solidFill>
            <a:schemeClr val="accent1"/>
          </a:solidFill>
          <a:ln w="19050">
            <a:solidFill>
              <a:schemeClr val="lt1"/>
            </a:solidFill>
          </a:ln>
          <a:effectLst/>
        </c:spPr>
        <c:dLbl>
          <c:idx val="0"/>
          <c:layout>
            <c:manualLayout>
              <c:x val="2.7777777777777776E-2"/>
              <c:y val="-5.0925925925925923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8"/>
        <c:spPr>
          <a:solidFill>
            <a:schemeClr val="accent1"/>
          </a:solidFill>
          <a:ln w="19050">
            <a:solidFill>
              <a:schemeClr val="lt1"/>
            </a:solidFill>
          </a:ln>
          <a:effectLst/>
        </c:spPr>
        <c:dLbl>
          <c:idx val="0"/>
          <c:layout>
            <c:manualLayout>
              <c:x val="-8.3333333333333332E-3"/>
              <c:y val="-3.2407407407407426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9"/>
        <c:spPr>
          <a:solidFill>
            <a:schemeClr val="accent1"/>
          </a:solidFill>
          <a:ln w="19050">
            <a:solidFill>
              <a:schemeClr val="lt1"/>
            </a:solidFill>
          </a:ln>
          <a:effectLst/>
        </c:spPr>
        <c:dLbl>
          <c:idx val="0"/>
          <c:layout>
            <c:manualLayout>
              <c:x val="2.7777777777777676E-2"/>
              <c:y val="-6.944444444444444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0"/>
        <c:spPr>
          <a:solidFill>
            <a:schemeClr val="accent1"/>
          </a:solidFill>
          <a:ln w="19050">
            <a:solidFill>
              <a:schemeClr val="lt1"/>
            </a:solidFill>
          </a:ln>
          <a:effectLst/>
        </c:spPr>
        <c:dLbl>
          <c:idx val="0"/>
          <c:layout>
            <c:manualLayout>
              <c:x val="-0.11388888888888889"/>
              <c:y val="-1.38888888888888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accent1"/>
          </a:solidFill>
          <a:ln w="19050">
            <a:solidFill>
              <a:schemeClr val="lt1"/>
            </a:solidFill>
          </a:ln>
          <a:effectLst/>
        </c:spPr>
        <c:dLbl>
          <c:idx val="0"/>
          <c:layout>
            <c:manualLayout>
              <c:x val="-4.7222222222222249E-2"/>
              <c:y val="-9.7222222222222307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2"/>
        <c:spPr>
          <a:solidFill>
            <a:schemeClr val="accent1"/>
          </a:solidFill>
          <a:ln w="19050">
            <a:solidFill>
              <a:schemeClr val="lt1"/>
            </a:solidFill>
          </a:ln>
          <a:effectLst/>
        </c:spPr>
        <c:dLbl>
          <c:idx val="0"/>
          <c:layout>
            <c:manualLayout>
              <c:x val="-2.2222222222222223E-2"/>
              <c:y val="0"/>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3"/>
        <c:spPr>
          <a:solidFill>
            <a:schemeClr val="accent1"/>
          </a:solidFill>
          <a:ln w="19050">
            <a:solidFill>
              <a:schemeClr val="lt1"/>
            </a:solidFill>
          </a:ln>
          <a:effectLst/>
        </c:spPr>
        <c:dLbl>
          <c:idx val="0"/>
          <c:layout>
            <c:manualLayout>
              <c:x val="-5.0925337632079971E-17"/>
              <c:y val="-7.407407407407407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Channels!$B$3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32-402C-B9F0-7F22D3EC10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32-402C-B9F0-7F22D3EC10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32-402C-B9F0-7F22D3EC10A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32-402C-B9F0-7F22D3EC10A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32-402C-B9F0-7F22D3EC10A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32-402C-B9F0-7F22D3EC10A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C32-402C-B9F0-7F22D3EC10A6}"/>
              </c:ext>
            </c:extLst>
          </c:dPt>
          <c:dLbls>
            <c:dLbl>
              <c:idx val="0"/>
              <c:layout>
                <c:manualLayout>
                  <c:x val="2.7777777777777776E-2"/>
                  <c:y val="-5.092592592592592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C32-402C-B9F0-7F22D3EC10A6}"/>
                </c:ext>
              </c:extLst>
            </c:dLbl>
            <c:dLbl>
              <c:idx val="1"/>
              <c:layout>
                <c:manualLayout>
                  <c:x val="-8.3333333333333332E-3"/>
                  <c:y val="-3.240740740740742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C32-402C-B9F0-7F22D3EC10A6}"/>
                </c:ext>
              </c:extLst>
            </c:dLbl>
            <c:dLbl>
              <c:idx val="2"/>
              <c:layout>
                <c:manualLayout>
                  <c:x val="2.7777777777777676E-2"/>
                  <c:y val="-6.94444444444444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C32-402C-B9F0-7F22D3EC10A6}"/>
                </c:ext>
              </c:extLst>
            </c:dLbl>
            <c:dLbl>
              <c:idx val="3"/>
              <c:layout>
                <c:manualLayout>
                  <c:x val="-0.11388888888888889"/>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C32-402C-B9F0-7F22D3EC10A6}"/>
                </c:ext>
              </c:extLst>
            </c:dLbl>
            <c:dLbl>
              <c:idx val="4"/>
              <c:layout>
                <c:manualLayout>
                  <c:x val="-4.7222222222222249E-2"/>
                  <c:y val="-9.722222222222230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C32-402C-B9F0-7F22D3EC10A6}"/>
                </c:ext>
              </c:extLst>
            </c:dLbl>
            <c:dLbl>
              <c:idx val="5"/>
              <c:layout>
                <c:manualLayout>
                  <c:x val="-2.2222222222222223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C32-402C-B9F0-7F22D3EC10A6}"/>
                </c:ext>
              </c:extLst>
            </c:dLbl>
            <c:dLbl>
              <c:idx val="6"/>
              <c:layout>
                <c:manualLayout>
                  <c:x val="-5.0925337632079971E-17"/>
                  <c:y val="-7.40740740740740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C32-402C-B9F0-7F22D3EC10A6}"/>
                </c:ext>
              </c:extLst>
            </c:dLbl>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Channels!$A$4:$A$10</c:f>
              <c:strCache>
                <c:ptCount val="7"/>
                <c:pt idx="0">
                  <c:v>Ajio</c:v>
                </c:pt>
                <c:pt idx="1">
                  <c:v>Amazon</c:v>
                </c:pt>
                <c:pt idx="2">
                  <c:v>Flipkart</c:v>
                </c:pt>
                <c:pt idx="3">
                  <c:v>Meesho</c:v>
                </c:pt>
                <c:pt idx="4">
                  <c:v>Myntra</c:v>
                </c:pt>
                <c:pt idx="5">
                  <c:v>Nalli</c:v>
                </c:pt>
                <c:pt idx="6">
                  <c:v>Others</c:v>
                </c:pt>
              </c:strCache>
            </c:strRef>
          </c:cat>
          <c:val>
            <c:numRef>
              <c:f>Channels!$B$4:$B$10</c:f>
              <c:numCache>
                <c:formatCode>0.0%</c:formatCode>
                <c:ptCount val="7"/>
                <c:pt idx="0">
                  <c:v>6.2196025380874161E-2</c:v>
                </c:pt>
                <c:pt idx="1">
                  <c:v>0.35481689052082327</c:v>
                </c:pt>
                <c:pt idx="2">
                  <c:v>0.21589847650336585</c:v>
                </c:pt>
                <c:pt idx="3">
                  <c:v>4.5028505169581602E-2</c:v>
                </c:pt>
                <c:pt idx="4">
                  <c:v>0.23364576287564015</c:v>
                </c:pt>
                <c:pt idx="5">
                  <c:v>4.7798499049827678E-2</c:v>
                </c:pt>
                <c:pt idx="6">
                  <c:v>4.0615840499887271E-2</c:v>
                </c:pt>
              </c:numCache>
            </c:numRef>
          </c:val>
          <c:extLst>
            <c:ext xmlns:c16="http://schemas.microsoft.com/office/drawing/2014/chart" uri="{C3380CC4-5D6E-409C-BE32-E72D297353CC}">
              <c16:uniqueId val="{0000000E-AC32-402C-B9F0-7F22D3EC10A6}"/>
            </c:ext>
          </c:extLst>
        </c:ser>
        <c:dLbls>
          <c:showLegendKey val="0"/>
          <c:showVal val="0"/>
          <c:showCatName val="0"/>
          <c:showSerName val="0"/>
          <c:showPercent val="0"/>
          <c:showBubbleSize val="0"/>
          <c:showLeaderLines val="0"/>
        </c:dLbls>
        <c:firstSliceAng val="31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[City Mall 2022 Data Analysis.xlsx]Men vs Women!PivotTable3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Men vs Women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w="19050">
            <a:solidFill>
              <a:schemeClr val="lt1"/>
            </a:solidFill>
          </a:ln>
          <a:effectLst/>
        </c:spPr>
        <c:dLbl>
          <c:idx val="0"/>
          <c:layout>
            <c:manualLayout>
              <c:x val="0.125"/>
              <c:y val="-0.11574074074074082"/>
            </c:manualLayout>
          </c:layout>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w="19050">
            <a:solidFill>
              <a:schemeClr val="lt1"/>
            </a:solidFill>
          </a:ln>
          <a:effectLst/>
        </c:spPr>
        <c:dLbl>
          <c:idx val="0"/>
          <c:layout>
            <c:manualLayout>
              <c:x val="-0.125"/>
              <c:y val="8.7962962962962965E-2"/>
            </c:manualLayout>
          </c:layout>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w="19050">
            <a:solidFill>
              <a:schemeClr val="lt1"/>
            </a:solidFill>
          </a:ln>
          <a:effectLst/>
        </c:spPr>
        <c:marker>
          <c:symbol val="none"/>
        </c:marker>
        <c:dLbl>
          <c:idx val="0"/>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solidFill>
            <a:schemeClr val="accent1"/>
          </a:solidFill>
          <a:ln w="19050">
            <a:solidFill>
              <a:schemeClr val="lt1"/>
            </a:solidFill>
          </a:ln>
          <a:effectLst/>
        </c:spPr>
        <c:dLbl>
          <c:idx val="0"/>
          <c:layout>
            <c:manualLayout>
              <c:x val="-0.125"/>
              <c:y val="8.7962962962962965E-2"/>
            </c:manualLayout>
          </c:layout>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w="19050">
            <a:solidFill>
              <a:schemeClr val="lt1"/>
            </a:solidFill>
          </a:ln>
          <a:effectLst/>
        </c:spPr>
        <c:dLbl>
          <c:idx val="0"/>
          <c:layout>
            <c:manualLayout>
              <c:x val="0.125"/>
              <c:y val="-0.11574074074074082"/>
            </c:manualLayout>
          </c:layout>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w="19050">
            <a:solidFill>
              <a:schemeClr val="lt1"/>
            </a:solidFill>
          </a:ln>
          <a:effectLst/>
        </c:spPr>
        <c:marker>
          <c:symbol val="none"/>
        </c:marker>
        <c:dLbl>
          <c:idx val="0"/>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w="19050">
            <a:solidFill>
              <a:schemeClr val="lt1"/>
            </a:solidFill>
          </a:ln>
          <a:effectLst/>
        </c:spPr>
        <c:dLbl>
          <c:idx val="0"/>
          <c:layout>
            <c:manualLayout>
              <c:x val="-0.125"/>
              <c:y val="8.7962962962962965E-2"/>
            </c:manualLayout>
          </c:layout>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solidFill>
              <a:schemeClr val="lt1"/>
            </a:solidFill>
          </a:ln>
          <a:effectLst/>
        </c:spPr>
        <c:dLbl>
          <c:idx val="0"/>
          <c:layout>
            <c:manualLayout>
              <c:x val="0.125"/>
              <c:y val="-0.11574074074074082"/>
            </c:manualLayout>
          </c:layout>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'Men vs Women'!$B$3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3F-4FEF-AB29-AB402DC922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3F-4FEF-AB29-AB402DC9221D}"/>
              </c:ext>
            </c:extLst>
          </c:dPt>
          <c:dLbls>
            <c:dLbl>
              <c:idx val="0"/>
              <c:layout>
                <c:manualLayout>
                  <c:x val="-0.125"/>
                  <c:y val="8.796296296296296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73F-4FEF-AB29-AB402DC9221D}"/>
                </c:ext>
              </c:extLst>
            </c:dLbl>
            <c:dLbl>
              <c:idx val="1"/>
              <c:layout>
                <c:manualLayout>
                  <c:x val="0.125"/>
                  <c:y val="-0.1157407407407408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73F-4FEF-AB29-AB402DC9221D}"/>
                </c:ext>
              </c:extLst>
            </c:dLbl>
            <c:spPr>
              <a:noFill/>
              <a:ln w="12700" cap="flat" cmpd="sng" algn="ctr">
                <a:noFill/>
                <a:prstDash val="solid"/>
                <a:miter lim="800000"/>
              </a:ln>
              <a:effectLst/>
            </c:spPr>
            <c:txPr>
              <a:bodyPr rot="0" spcFirstLastPara="1" vertOverflow="clip" horzOverflow="clip"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'Men vs Women'!$A$4:$A$5</c:f>
              <c:strCache>
                <c:ptCount val="2"/>
                <c:pt idx="0">
                  <c:v>Men</c:v>
                </c:pt>
                <c:pt idx="1">
                  <c:v>Women</c:v>
                </c:pt>
              </c:strCache>
            </c:strRef>
          </c:cat>
          <c:val>
            <c:numRef>
              <c:f>'Men vs Women'!$B$4:$B$5</c:f>
              <c:numCache>
                <c:formatCode>General</c:formatCode>
                <c:ptCount val="2"/>
                <c:pt idx="0">
                  <c:v>7618604</c:v>
                </c:pt>
                <c:pt idx="1">
                  <c:v>13593769</c:v>
                </c:pt>
              </c:numCache>
            </c:numRef>
          </c:val>
          <c:extLst>
            <c:ext xmlns:c16="http://schemas.microsoft.com/office/drawing/2014/chart" uri="{C3380CC4-5D6E-409C-BE32-E72D297353CC}">
              <c16:uniqueId val="{00000004-373F-4FEF-AB29-AB402DC9221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[City Mall 2022 Data Analysis.xlsx]Order Status!PivotTable4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a:t>
            </a:r>
            <a:r>
              <a:rPr lang="en-US" baseline="0"/>
              <a:t> Status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4"/>
          </a:solidFill>
          <a:ln w="19050">
            <a:solidFill>
              <a:schemeClr val="lt1"/>
            </a:solidFill>
          </a:ln>
          <a:effectLst/>
        </c:spPr>
        <c:dLbl>
          <c:idx val="0"/>
          <c:layout>
            <c:manualLayout>
              <c:x val="3.8418772366743709E-2"/>
              <c:y val="-0.13532853836476838"/>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5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prstGeom>
                <a:noFill/>
                <a:ln>
                  <a:noFill/>
                </a:ln>
              </c15:spPr>
              <c15:layout>
                <c:manualLayout>
                  <c:w val="0.23730140241345568"/>
                  <c:h val="0.20572392736622208"/>
                </c:manualLayout>
              </c15:layout>
            </c:ext>
          </c:extLst>
        </c:dLbl>
      </c:pivotFmt>
      <c:pivotFmt>
        <c:idx val="2"/>
        <c:spPr>
          <a:solidFill>
            <a:schemeClr val="accent1"/>
          </a:solidFill>
          <a:ln w="19050">
            <a:solidFill>
              <a:schemeClr val="lt1"/>
            </a:solidFill>
          </a:ln>
          <a:effectLst/>
        </c:spPr>
        <c:dLbl>
          <c:idx val="0"/>
          <c:layout>
            <c:manualLayout>
              <c:x val="1.7191471628176656E-2"/>
              <c:y val="2.7115717678147376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5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prstGeom>
                <a:noFill/>
                <a:ln>
                  <a:noFill/>
                </a:ln>
              </c15:spPr>
              <c15:layout>
                <c:manualLayout>
                  <c:w val="0.2512520254494815"/>
                  <c:h val="0.18535147392290247"/>
                </c:manualLayout>
              </c15:layout>
            </c:ext>
          </c:extLst>
        </c:dLbl>
      </c:pivotFmt>
      <c:pivotFmt>
        <c:idx val="3"/>
        <c:spPr>
          <a:solidFill>
            <a:schemeClr val="accent3"/>
          </a:solidFill>
          <a:ln w="19050">
            <a:solidFill>
              <a:schemeClr val="lt1"/>
            </a:solidFill>
          </a:ln>
          <a:effectLst/>
        </c:spPr>
        <c:dLbl>
          <c:idx val="0"/>
          <c:layout>
            <c:manualLayout>
              <c:x val="-4.7712457872324567E-2"/>
              <c:y val="-0.29354119359726633"/>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5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prstGeom>
                <a:noFill/>
                <a:ln>
                  <a:noFill/>
                </a:ln>
              </c15:spPr>
              <c15:layout>
                <c:manualLayout>
                  <c:w val="0.22474335678454394"/>
                  <c:h val="0.19266341707286588"/>
                </c:manualLayout>
              </c15:layout>
            </c:ext>
          </c:extLst>
        </c:dLbl>
      </c:pivotFmt>
      <c:pivotFmt>
        <c:idx val="4"/>
        <c:spPr>
          <a:solidFill>
            <a:schemeClr val="accent2"/>
          </a:solidFill>
          <a:ln w="19050">
            <a:solidFill>
              <a:schemeClr val="lt1"/>
            </a:solidFill>
          </a:ln>
          <a:effectLst/>
        </c:spPr>
        <c:dLbl>
          <c:idx val="0"/>
          <c:layout>
            <c:manualLayout>
              <c:x val="0.25596323388570508"/>
              <c:y val="-1.7486028532147809E-2"/>
            </c:manualLayout>
          </c:layout>
          <c:spPr>
            <a:noFill/>
            <a:ln>
              <a:noFill/>
            </a:ln>
            <a:effectLst/>
          </c:spPr>
          <c:txPr>
            <a:bodyPr rot="0" spcFirstLastPara="1" vertOverflow="clip" horzOverflow="clip" vert="horz" wrap="square" lIns="38100" tIns="19050" rIns="38100" bIns="19050" anchor="ctr" anchorCtr="1">
              <a:spAutoFit/>
            </a:bodyPr>
            <a:lstStyle/>
            <a:p>
              <a:pPr>
                <a:defRPr sz="11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w="19050">
            <a:solidFill>
              <a:schemeClr val="lt1"/>
            </a:solidFill>
          </a:ln>
          <a:effectLst/>
        </c:spPr>
        <c:dLbl>
          <c:idx val="0"/>
          <c:layout>
            <c:manualLayout>
              <c:x val="1.7191471628176656E-2"/>
              <c:y val="2.7115717678147376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5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prstGeom>
                <a:noFill/>
                <a:ln>
                  <a:noFill/>
                </a:ln>
              </c15:spPr>
              <c15:layout>
                <c:manualLayout>
                  <c:w val="0.2512520254494815"/>
                  <c:h val="0.18535147392290247"/>
                </c:manualLayout>
              </c15:layout>
            </c:ext>
          </c:extLst>
        </c:dLbl>
      </c:pivotFmt>
      <c:pivotFmt>
        <c:idx val="7"/>
        <c:spPr>
          <a:solidFill>
            <a:schemeClr val="accent1"/>
          </a:solidFill>
          <a:ln w="19050">
            <a:solidFill>
              <a:schemeClr val="lt1"/>
            </a:solidFill>
          </a:ln>
          <a:effectLst/>
        </c:spPr>
        <c:dLbl>
          <c:idx val="0"/>
          <c:layout>
            <c:manualLayout>
              <c:x val="0.25596323388570508"/>
              <c:y val="-1.7486028532147809E-2"/>
            </c:manualLayout>
          </c:layout>
          <c:spPr>
            <a:noFill/>
            <a:ln>
              <a:noFill/>
            </a:ln>
            <a:effectLst/>
          </c:spPr>
          <c:txPr>
            <a:bodyPr rot="0" spcFirstLastPara="1" vertOverflow="clip" horzOverflow="clip" vert="horz" wrap="square" lIns="38100" tIns="19050" rIns="38100" bIns="19050" anchor="ctr" anchorCtr="1">
              <a:spAutoFit/>
            </a:bodyPr>
            <a:lstStyle/>
            <a:p>
              <a:pPr>
                <a:defRPr sz="11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solidFill>
              <a:schemeClr val="lt1"/>
            </a:solidFill>
          </a:ln>
          <a:effectLst/>
        </c:spPr>
        <c:dLbl>
          <c:idx val="0"/>
          <c:layout>
            <c:manualLayout>
              <c:x val="-4.7712457872324567E-2"/>
              <c:y val="-0.29354119359726633"/>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5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prstGeom>
                <a:noFill/>
                <a:ln>
                  <a:noFill/>
                </a:ln>
              </c15:spPr>
              <c15:layout>
                <c:manualLayout>
                  <c:w val="0.22474335678454394"/>
                  <c:h val="0.19266341707286588"/>
                </c:manualLayout>
              </c15:layout>
            </c:ext>
          </c:extLst>
        </c:dLbl>
      </c:pivotFmt>
      <c:pivotFmt>
        <c:idx val="9"/>
        <c:spPr>
          <a:solidFill>
            <a:schemeClr val="accent1"/>
          </a:solidFill>
          <a:ln w="19050">
            <a:solidFill>
              <a:schemeClr val="lt1"/>
            </a:solidFill>
          </a:ln>
          <a:effectLst/>
        </c:spPr>
        <c:dLbl>
          <c:idx val="0"/>
          <c:layout>
            <c:manualLayout>
              <c:x val="3.8418772366743709E-2"/>
              <c:y val="-0.13532853836476838"/>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5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prstGeom>
                <a:noFill/>
                <a:ln>
                  <a:noFill/>
                </a:ln>
              </c15:spPr>
              <c15:layout>
                <c:manualLayout>
                  <c:w val="0.23730140241345568"/>
                  <c:h val="0.20572392736622208"/>
                </c:manualLayout>
              </c15:layout>
            </c:ext>
          </c:extLst>
        </c:dLbl>
      </c:pivotFmt>
      <c:pivotFmt>
        <c:idx val="1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11"/>
        <c:spPr>
          <a:solidFill>
            <a:schemeClr val="accent1"/>
          </a:solidFill>
          <a:ln w="19050">
            <a:solidFill>
              <a:schemeClr val="lt1"/>
            </a:solidFill>
          </a:ln>
          <a:effectLst/>
        </c:spPr>
        <c:dLbl>
          <c:idx val="0"/>
          <c:layout>
            <c:manualLayout>
              <c:x val="5.1145425277244853E-2"/>
              <c:y val="6.83478754344894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4442873508214788"/>
                  <c:h val="0.24737735485766982"/>
                </c:manualLayout>
              </c15:layout>
            </c:ext>
          </c:extLst>
        </c:dLbl>
      </c:pivotFmt>
      <c:pivotFmt>
        <c:idx val="12"/>
        <c:spPr>
          <a:solidFill>
            <a:schemeClr val="accent1"/>
          </a:solidFill>
          <a:ln w="19050">
            <a:solidFill>
              <a:schemeClr val="lt1"/>
            </a:solidFill>
          </a:ln>
          <a:effectLst/>
        </c:spPr>
        <c:dLbl>
          <c:idx val="0"/>
          <c:layout>
            <c:manualLayout>
              <c:x val="0.128981235770943"/>
              <c:y val="-4.4416998550856818E-2"/>
            </c:manualLayout>
          </c:layout>
          <c:spPr>
            <a:no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6707051811893678"/>
                  <c:h val="0.25555183980380825"/>
                </c:manualLayout>
              </c15:layout>
            </c:ext>
          </c:extLst>
        </c:dLbl>
      </c:pivotFmt>
      <c:pivotFmt>
        <c:idx val="13"/>
        <c:spPr>
          <a:solidFill>
            <a:schemeClr val="accent1"/>
          </a:solidFill>
          <a:ln w="19050">
            <a:solidFill>
              <a:schemeClr val="lt1"/>
            </a:solidFill>
          </a:ln>
          <a:effectLst/>
        </c:spPr>
        <c:dLbl>
          <c:idx val="0"/>
          <c:layout>
            <c:manualLayout>
              <c:x val="-9.2637034980200036E-3"/>
              <c:y val="-0.28037323037323036"/>
            </c:manualLayout>
          </c:layout>
          <c:tx>
            <c:rich>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fld id="{D1391FE3-A54E-4264-A1C5-F6BA03EA8076}" type="CATEGORYNAME">
                  <a:rPr lang="en-US" sz="1000"/>
                  <a:pPr>
                    <a:defRPr sz="1000" b="0" i="0" u="none" strike="noStrike" kern="1200" baseline="0">
                      <a:solidFill>
                        <a:schemeClr val="dk1">
                          <a:lumMod val="65000"/>
                          <a:lumOff val="35000"/>
                        </a:schemeClr>
                      </a:solidFill>
                      <a:latin typeface="+mn-lt"/>
                      <a:ea typeface="+mn-ea"/>
                      <a:cs typeface="+mn-cs"/>
                    </a:defRPr>
                  </a:pPr>
                  <a:t>[CATEGORY NAME]</a:t>
                </a:fld>
                <a:r>
                  <a:rPr lang="en-US" sz="1000" baseline="0"/>
                  <a:t>
</a:t>
                </a:r>
                <a:fld id="{EE7DB7D7-04C4-4C2E-8145-8587C68FA8C3}" type="PERCENTAGE">
                  <a:rPr lang="en-US" sz="1000" baseline="0"/>
                  <a:pPr>
                    <a:defRPr sz="1000" b="0" i="0" u="none" strike="noStrike" kern="1200" baseline="0">
                      <a:solidFill>
                        <a:schemeClr val="dk1">
                          <a:lumMod val="65000"/>
                          <a:lumOff val="35000"/>
                        </a:schemeClr>
                      </a:solidFill>
                      <a:latin typeface="+mn-lt"/>
                      <a:ea typeface="+mn-ea"/>
                      <a:cs typeface="+mn-cs"/>
                    </a:defRPr>
                  </a:pPr>
                  <a:t>[PERCENTAGE]</a:t>
                </a:fld>
                <a:endParaRPr lang="en-US" sz="1000" baseline="0"/>
              </a:p>
            </c:rich>
          </c:tx>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561587232326439"/>
                  <c:h val="0.22191854396578806"/>
                </c:manualLayout>
              </c15:layout>
              <c15:dlblFieldTable/>
              <c15:showDataLabelsRange val="0"/>
            </c:ext>
          </c:extLst>
        </c:dLbl>
      </c:pivotFmt>
      <c:pivotFmt>
        <c:idx val="14"/>
        <c:spPr>
          <a:solidFill>
            <a:schemeClr val="accent1"/>
          </a:solidFill>
          <a:ln w="19050">
            <a:solidFill>
              <a:schemeClr val="lt1"/>
            </a:solidFill>
          </a:ln>
          <a:effectLst/>
        </c:spPr>
        <c:dLbl>
          <c:idx val="0"/>
          <c:layout>
            <c:manualLayout>
              <c:x val="3.0576766695095181E-2"/>
              <c:y val="-0.10958815958815965"/>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64393052883503"/>
                  <c:h val="0.24433415417667387"/>
                </c:manualLayout>
              </c15:layout>
            </c:ext>
          </c:extLst>
        </c:dLbl>
      </c:pivotFmt>
      <c:pivotFmt>
        <c:idx val="15"/>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16"/>
        <c:spPr>
          <a:solidFill>
            <a:schemeClr val="accent1"/>
          </a:solidFill>
          <a:ln w="19050">
            <a:solidFill>
              <a:schemeClr val="lt1"/>
            </a:solidFill>
          </a:ln>
          <a:effectLst/>
        </c:spPr>
        <c:dLbl>
          <c:idx val="0"/>
          <c:layout>
            <c:manualLayout>
              <c:x val="5.1145425277244853E-2"/>
              <c:y val="6.83478754344894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4442873508214788"/>
                  <c:h val="0.24737735485766982"/>
                </c:manualLayout>
              </c15:layout>
            </c:ext>
          </c:extLst>
        </c:dLbl>
      </c:pivotFmt>
      <c:pivotFmt>
        <c:idx val="17"/>
        <c:spPr>
          <a:solidFill>
            <a:schemeClr val="accent1"/>
          </a:solidFill>
          <a:ln w="19050">
            <a:solidFill>
              <a:schemeClr val="lt1"/>
            </a:solidFill>
          </a:ln>
          <a:effectLst/>
        </c:spPr>
        <c:dLbl>
          <c:idx val="0"/>
          <c:layout>
            <c:manualLayout>
              <c:x val="0.128981235770943"/>
              <c:y val="-4.4416998550856818E-2"/>
            </c:manualLayout>
          </c:layout>
          <c:spPr>
            <a:no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6707051811893678"/>
                  <c:h val="0.25555183980380825"/>
                </c:manualLayout>
              </c15:layout>
            </c:ext>
          </c:extLst>
        </c:dLbl>
      </c:pivotFmt>
      <c:pivotFmt>
        <c:idx val="18"/>
        <c:spPr>
          <a:solidFill>
            <a:schemeClr val="accent1"/>
          </a:solidFill>
          <a:ln w="19050">
            <a:solidFill>
              <a:schemeClr val="lt1"/>
            </a:solidFill>
          </a:ln>
          <a:effectLst/>
        </c:spPr>
        <c:dLbl>
          <c:idx val="0"/>
          <c:layout>
            <c:manualLayout>
              <c:x val="-9.2637034980200036E-3"/>
              <c:y val="-0.28037323037323036"/>
            </c:manualLayout>
          </c:layout>
          <c:tx>
            <c:rich>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fld id="{D1391FE3-A54E-4264-A1C5-F6BA03EA8076}" type="CATEGORYNAME">
                  <a:rPr lang="en-US" sz="1000"/>
                  <a:pPr>
                    <a:defRPr sz="1000" b="0" i="0" u="none" strike="noStrike" kern="1200" baseline="0">
                      <a:solidFill>
                        <a:schemeClr val="dk1">
                          <a:lumMod val="65000"/>
                          <a:lumOff val="35000"/>
                        </a:schemeClr>
                      </a:solidFill>
                      <a:latin typeface="+mn-lt"/>
                      <a:ea typeface="+mn-ea"/>
                      <a:cs typeface="+mn-cs"/>
                    </a:defRPr>
                  </a:pPr>
                  <a:t>[CATEGORY NAME]</a:t>
                </a:fld>
                <a:r>
                  <a:rPr lang="en-US" sz="1000" baseline="0"/>
                  <a:t>
</a:t>
                </a:r>
                <a:fld id="{EE7DB7D7-04C4-4C2E-8145-8587C68FA8C3}" type="PERCENTAGE">
                  <a:rPr lang="en-US" sz="1000" baseline="0"/>
                  <a:pPr>
                    <a:defRPr sz="1000" b="0" i="0" u="none" strike="noStrike" kern="1200" baseline="0">
                      <a:solidFill>
                        <a:schemeClr val="dk1">
                          <a:lumMod val="65000"/>
                          <a:lumOff val="35000"/>
                        </a:schemeClr>
                      </a:solidFill>
                      <a:latin typeface="+mn-lt"/>
                      <a:ea typeface="+mn-ea"/>
                      <a:cs typeface="+mn-cs"/>
                    </a:defRPr>
                  </a:pPr>
                  <a:t>[PERCENTAGE]</a:t>
                </a:fld>
                <a:endParaRPr lang="en-US" sz="1000" baseline="0"/>
              </a:p>
            </c:rich>
          </c:tx>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561587232326439"/>
                  <c:h val="0.22191854396578806"/>
                </c:manualLayout>
              </c15:layout>
              <c15:dlblFieldTable/>
              <c15:showDataLabelsRange val="0"/>
            </c:ext>
          </c:extLst>
        </c:dLbl>
      </c:pivotFmt>
      <c:pivotFmt>
        <c:idx val="19"/>
        <c:spPr>
          <a:solidFill>
            <a:schemeClr val="accent1"/>
          </a:solidFill>
          <a:ln w="19050">
            <a:solidFill>
              <a:schemeClr val="lt1"/>
            </a:solidFill>
          </a:ln>
          <a:effectLst/>
        </c:spPr>
        <c:dLbl>
          <c:idx val="0"/>
          <c:layout>
            <c:manualLayout>
              <c:x val="3.0576766695095181E-2"/>
              <c:y val="-0.10958815958815965"/>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64393052883503"/>
                  <c:h val="0.24433415417667387"/>
                </c:manualLayout>
              </c15:layout>
            </c:ext>
          </c:extLst>
        </c:dLbl>
      </c:pivotFmt>
      <c:pivotFmt>
        <c:idx val="2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21"/>
        <c:spPr>
          <a:solidFill>
            <a:schemeClr val="accent1"/>
          </a:solidFill>
          <a:ln w="19050">
            <a:solidFill>
              <a:schemeClr val="lt1"/>
            </a:solidFill>
          </a:ln>
          <a:effectLst/>
        </c:spPr>
        <c:dLbl>
          <c:idx val="0"/>
          <c:layout>
            <c:manualLayout>
              <c:x val="5.1145425277244853E-2"/>
              <c:y val="6.83478754344894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4442873508214788"/>
                  <c:h val="0.24737735485766982"/>
                </c:manualLayout>
              </c15:layout>
            </c:ext>
          </c:extLst>
        </c:dLbl>
      </c:pivotFmt>
      <c:pivotFmt>
        <c:idx val="22"/>
        <c:spPr>
          <a:solidFill>
            <a:schemeClr val="accent1"/>
          </a:solidFill>
          <a:ln w="19050">
            <a:solidFill>
              <a:schemeClr val="lt1"/>
            </a:solidFill>
          </a:ln>
          <a:effectLst/>
        </c:spPr>
        <c:dLbl>
          <c:idx val="0"/>
          <c:layout>
            <c:manualLayout>
              <c:x val="0.128981235770943"/>
              <c:y val="-4.4416998550856818E-2"/>
            </c:manualLayout>
          </c:layout>
          <c:spPr>
            <a:no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6707051811893678"/>
                  <c:h val="0.25555183980380825"/>
                </c:manualLayout>
              </c15:layout>
            </c:ext>
          </c:extLst>
        </c:dLbl>
      </c:pivotFmt>
      <c:pivotFmt>
        <c:idx val="23"/>
        <c:spPr>
          <a:solidFill>
            <a:schemeClr val="accent1"/>
          </a:solidFill>
          <a:ln w="19050">
            <a:solidFill>
              <a:schemeClr val="lt1"/>
            </a:solidFill>
          </a:ln>
          <a:effectLst/>
        </c:spPr>
        <c:dLbl>
          <c:idx val="0"/>
          <c:layout>
            <c:manualLayout>
              <c:x val="-9.2637034980200036E-3"/>
              <c:y val="-0.28037323037323036"/>
            </c:manualLayout>
          </c:layout>
          <c:tx>
            <c:rich>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fld id="{D1391FE3-A54E-4264-A1C5-F6BA03EA8076}" type="CATEGORYNAME">
                  <a:rPr lang="en-US" sz="1000"/>
                  <a:pPr>
                    <a:defRPr sz="1000" b="0" i="0" u="none" strike="noStrike" kern="1200" baseline="0">
                      <a:solidFill>
                        <a:schemeClr val="dk1">
                          <a:lumMod val="65000"/>
                          <a:lumOff val="35000"/>
                        </a:schemeClr>
                      </a:solidFill>
                      <a:latin typeface="+mn-lt"/>
                      <a:ea typeface="+mn-ea"/>
                      <a:cs typeface="+mn-cs"/>
                    </a:defRPr>
                  </a:pPr>
                  <a:t>[CATEGORY NAME]</a:t>
                </a:fld>
                <a:r>
                  <a:rPr lang="en-US" sz="1000" baseline="0"/>
                  <a:t>
</a:t>
                </a:r>
                <a:fld id="{EE7DB7D7-04C4-4C2E-8145-8587C68FA8C3}" type="PERCENTAGE">
                  <a:rPr lang="en-US" sz="1000" baseline="0"/>
                  <a:pPr>
                    <a:defRPr sz="1000" b="0" i="0" u="none" strike="noStrike" kern="1200" baseline="0">
                      <a:solidFill>
                        <a:schemeClr val="dk1">
                          <a:lumMod val="65000"/>
                          <a:lumOff val="35000"/>
                        </a:schemeClr>
                      </a:solidFill>
                      <a:latin typeface="+mn-lt"/>
                      <a:ea typeface="+mn-ea"/>
                      <a:cs typeface="+mn-cs"/>
                    </a:defRPr>
                  </a:pPr>
                  <a:t>[PERCENTAGE]</a:t>
                </a:fld>
                <a:endParaRPr lang="en-US" sz="1000" baseline="0"/>
              </a:p>
            </c:rich>
          </c:tx>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561587232326439"/>
                  <c:h val="0.22191854396578806"/>
                </c:manualLayout>
              </c15:layout>
              <c15:dlblFieldTable/>
              <c15:showDataLabelsRange val="0"/>
            </c:ext>
          </c:extLst>
        </c:dLbl>
      </c:pivotFmt>
      <c:pivotFmt>
        <c:idx val="24"/>
        <c:spPr>
          <a:solidFill>
            <a:schemeClr val="accent1"/>
          </a:solidFill>
          <a:ln w="19050">
            <a:solidFill>
              <a:schemeClr val="lt1"/>
            </a:solidFill>
          </a:ln>
          <a:effectLst/>
        </c:spPr>
        <c:dLbl>
          <c:idx val="0"/>
          <c:layout>
            <c:manualLayout>
              <c:x val="3.0576766695095181E-2"/>
              <c:y val="-0.10958815958815965"/>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64393052883503"/>
                  <c:h val="0.24433415417667387"/>
                </c:manualLayout>
              </c15:layout>
            </c:ext>
          </c:extLst>
        </c:dLbl>
      </c:pivotFmt>
      <c:pivotFmt>
        <c:idx val="25"/>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26"/>
        <c:spPr>
          <a:solidFill>
            <a:schemeClr val="accent1"/>
          </a:solidFill>
          <a:ln w="19050">
            <a:solidFill>
              <a:schemeClr val="lt1"/>
            </a:solidFill>
          </a:ln>
          <a:effectLst/>
        </c:spPr>
        <c:dLbl>
          <c:idx val="0"/>
          <c:layout>
            <c:manualLayout>
              <c:x val="5.1145425277244853E-2"/>
              <c:y val="6.83478754344894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4442873508214788"/>
                  <c:h val="0.24737735485766982"/>
                </c:manualLayout>
              </c15:layout>
            </c:ext>
          </c:extLst>
        </c:dLbl>
      </c:pivotFmt>
      <c:pivotFmt>
        <c:idx val="27"/>
        <c:spPr>
          <a:solidFill>
            <a:schemeClr val="accent1"/>
          </a:solidFill>
          <a:ln w="19050">
            <a:solidFill>
              <a:schemeClr val="lt1"/>
            </a:solidFill>
          </a:ln>
          <a:effectLst/>
        </c:spPr>
        <c:dLbl>
          <c:idx val="0"/>
          <c:layout>
            <c:manualLayout>
              <c:x val="0.128981235770943"/>
              <c:y val="-4.4416998550856818E-2"/>
            </c:manualLayout>
          </c:layout>
          <c:spPr>
            <a:no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6707051811893678"/>
                  <c:h val="0.25555183980380825"/>
                </c:manualLayout>
              </c15:layout>
            </c:ext>
          </c:extLst>
        </c:dLbl>
      </c:pivotFmt>
      <c:pivotFmt>
        <c:idx val="28"/>
        <c:spPr>
          <a:solidFill>
            <a:schemeClr val="accent1"/>
          </a:solidFill>
          <a:ln w="19050">
            <a:solidFill>
              <a:schemeClr val="lt1"/>
            </a:solidFill>
          </a:ln>
          <a:effectLst/>
        </c:spPr>
        <c:dLbl>
          <c:idx val="0"/>
          <c:layout>
            <c:manualLayout>
              <c:x val="-9.2637034980200036E-3"/>
              <c:y val="-0.28037323037323036"/>
            </c:manualLayout>
          </c:layout>
          <c:tx>
            <c:rich>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fld id="{D1391FE3-A54E-4264-A1C5-F6BA03EA8076}" type="CATEGORYNAME">
                  <a:rPr lang="en-US" sz="1000"/>
                  <a:pPr>
                    <a:defRPr sz="1000" b="0" i="0" u="none" strike="noStrike" kern="1200" baseline="0">
                      <a:solidFill>
                        <a:schemeClr val="dk1">
                          <a:lumMod val="65000"/>
                          <a:lumOff val="35000"/>
                        </a:schemeClr>
                      </a:solidFill>
                      <a:latin typeface="+mn-lt"/>
                      <a:ea typeface="+mn-ea"/>
                      <a:cs typeface="+mn-cs"/>
                    </a:defRPr>
                  </a:pPr>
                  <a:t>[CATEGORY NAME]</a:t>
                </a:fld>
                <a:r>
                  <a:rPr lang="en-US" sz="1000" baseline="0"/>
                  <a:t>
</a:t>
                </a:r>
                <a:fld id="{EE7DB7D7-04C4-4C2E-8145-8587C68FA8C3}" type="PERCENTAGE">
                  <a:rPr lang="en-US" sz="1000" baseline="0"/>
                  <a:pPr>
                    <a:defRPr sz="1000" b="0" i="0" u="none" strike="noStrike" kern="1200" baseline="0">
                      <a:solidFill>
                        <a:schemeClr val="dk1">
                          <a:lumMod val="65000"/>
                          <a:lumOff val="35000"/>
                        </a:schemeClr>
                      </a:solidFill>
                      <a:latin typeface="+mn-lt"/>
                      <a:ea typeface="+mn-ea"/>
                      <a:cs typeface="+mn-cs"/>
                    </a:defRPr>
                  </a:pPr>
                  <a:t>[PERCENTAGE]</a:t>
                </a:fld>
                <a:endParaRPr lang="en-US" sz="1000" baseline="0"/>
              </a:p>
            </c:rich>
          </c:tx>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561587232326439"/>
                  <c:h val="0.22191854396578806"/>
                </c:manualLayout>
              </c15:layout>
              <c15:dlblFieldTable/>
              <c15:showDataLabelsRange val="0"/>
            </c:ext>
          </c:extLst>
        </c:dLbl>
      </c:pivotFmt>
      <c:pivotFmt>
        <c:idx val="29"/>
        <c:spPr>
          <a:solidFill>
            <a:schemeClr val="accent1"/>
          </a:solidFill>
          <a:ln w="19050">
            <a:solidFill>
              <a:schemeClr val="lt1"/>
            </a:solidFill>
          </a:ln>
          <a:effectLst/>
        </c:spPr>
        <c:dLbl>
          <c:idx val="0"/>
          <c:layout>
            <c:manualLayout>
              <c:x val="3.0576766695095181E-2"/>
              <c:y val="-0.10958815958815965"/>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64393052883503"/>
                  <c:h val="0.24433415417667387"/>
                </c:manualLayout>
              </c15:layout>
            </c:ext>
          </c:extLst>
        </c:dLbl>
      </c:pivotFmt>
      <c:pivotFmt>
        <c:idx val="3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1"/>
        <c:spPr>
          <a:solidFill>
            <a:schemeClr val="accent1"/>
          </a:solidFill>
          <a:ln w="19050">
            <a:solidFill>
              <a:schemeClr val="lt1"/>
            </a:solidFill>
          </a:ln>
          <a:effectLst/>
        </c:spPr>
        <c:dLbl>
          <c:idx val="0"/>
          <c:layout>
            <c:manualLayout>
              <c:x val="5.1145425277244853E-2"/>
              <c:y val="6.83478754344894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4442873508214788"/>
                  <c:h val="0.24737735485766982"/>
                </c:manualLayout>
              </c15:layout>
            </c:ext>
          </c:extLst>
        </c:dLbl>
      </c:pivotFmt>
      <c:pivotFmt>
        <c:idx val="32"/>
        <c:spPr>
          <a:solidFill>
            <a:schemeClr val="accent1"/>
          </a:solidFill>
          <a:ln w="19050">
            <a:solidFill>
              <a:schemeClr val="lt1"/>
            </a:solidFill>
          </a:ln>
          <a:effectLst/>
        </c:spPr>
        <c:dLbl>
          <c:idx val="0"/>
          <c:layout>
            <c:manualLayout>
              <c:x val="0.128981235770943"/>
              <c:y val="-4.4416998550856818E-2"/>
            </c:manualLayout>
          </c:layout>
          <c:spPr>
            <a:no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6707051811893678"/>
                  <c:h val="0.25555183980380825"/>
                </c:manualLayout>
              </c15:layout>
            </c:ext>
          </c:extLst>
        </c:dLbl>
      </c:pivotFmt>
      <c:pivotFmt>
        <c:idx val="33"/>
        <c:spPr>
          <a:solidFill>
            <a:schemeClr val="accent1"/>
          </a:solidFill>
          <a:ln w="19050">
            <a:solidFill>
              <a:schemeClr val="lt1"/>
            </a:solidFill>
          </a:ln>
          <a:effectLst/>
        </c:spPr>
        <c:dLbl>
          <c:idx val="0"/>
          <c:layout>
            <c:manualLayout>
              <c:x val="-9.2637034980200036E-3"/>
              <c:y val="-0.28037323037323036"/>
            </c:manualLayout>
          </c:layout>
          <c:tx>
            <c:rich>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fld id="{D1391FE3-A54E-4264-A1C5-F6BA03EA8076}" type="CATEGORYNAME">
                  <a:rPr lang="en-US" sz="1000"/>
                  <a:pPr>
                    <a:defRPr sz="1000" b="0" i="0" u="none" strike="noStrike" kern="1200" baseline="0">
                      <a:solidFill>
                        <a:schemeClr val="dk1">
                          <a:lumMod val="65000"/>
                          <a:lumOff val="35000"/>
                        </a:schemeClr>
                      </a:solidFill>
                      <a:latin typeface="+mn-lt"/>
                      <a:ea typeface="+mn-ea"/>
                      <a:cs typeface="+mn-cs"/>
                    </a:defRPr>
                  </a:pPr>
                  <a:t>[CATEGORY NAME]</a:t>
                </a:fld>
                <a:r>
                  <a:rPr lang="en-US" sz="1000" baseline="0"/>
                  <a:t>
</a:t>
                </a:r>
                <a:fld id="{EE7DB7D7-04C4-4C2E-8145-8587C68FA8C3}" type="PERCENTAGE">
                  <a:rPr lang="en-US" sz="1000" baseline="0"/>
                  <a:pPr>
                    <a:defRPr sz="1000" b="0" i="0" u="none" strike="noStrike" kern="1200" baseline="0">
                      <a:solidFill>
                        <a:schemeClr val="dk1">
                          <a:lumMod val="65000"/>
                          <a:lumOff val="35000"/>
                        </a:schemeClr>
                      </a:solidFill>
                      <a:latin typeface="+mn-lt"/>
                      <a:ea typeface="+mn-ea"/>
                      <a:cs typeface="+mn-cs"/>
                    </a:defRPr>
                  </a:pPr>
                  <a:t>[PERCENTAGE]</a:t>
                </a:fld>
                <a:endParaRPr lang="en-US" sz="1000" baseline="0"/>
              </a:p>
            </c:rich>
          </c:tx>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561587232326439"/>
                  <c:h val="0.22191854396578806"/>
                </c:manualLayout>
              </c15:layout>
              <c15:dlblFieldTable/>
              <c15:showDataLabelsRange val="0"/>
            </c:ext>
          </c:extLst>
        </c:dLbl>
      </c:pivotFmt>
      <c:pivotFmt>
        <c:idx val="34"/>
        <c:spPr>
          <a:solidFill>
            <a:schemeClr val="accent1"/>
          </a:solidFill>
          <a:ln w="19050">
            <a:solidFill>
              <a:schemeClr val="lt1"/>
            </a:solidFill>
          </a:ln>
          <a:effectLst/>
        </c:spPr>
        <c:dLbl>
          <c:idx val="0"/>
          <c:layout>
            <c:manualLayout>
              <c:x val="3.0576766695095181E-2"/>
              <c:y val="-0.10958815958815965"/>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64393052883503"/>
                  <c:h val="0.24433415417667387"/>
                </c:manualLayout>
              </c15:layout>
            </c:ext>
          </c:extLst>
        </c:dLbl>
      </c:pivotFmt>
      <c:pivotFmt>
        <c:idx val="35"/>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6"/>
        <c:spPr>
          <a:solidFill>
            <a:schemeClr val="accent1"/>
          </a:solidFill>
          <a:ln w="19050">
            <a:solidFill>
              <a:schemeClr val="lt1"/>
            </a:solidFill>
          </a:ln>
          <a:effectLst/>
        </c:spPr>
        <c:dLbl>
          <c:idx val="0"/>
          <c:layout>
            <c:manualLayout>
              <c:x val="5.1145425277244853E-2"/>
              <c:y val="6.83478754344894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4442873508214788"/>
                  <c:h val="0.24737735485766982"/>
                </c:manualLayout>
              </c15:layout>
            </c:ext>
          </c:extLst>
        </c:dLbl>
      </c:pivotFmt>
      <c:pivotFmt>
        <c:idx val="37"/>
        <c:spPr>
          <a:solidFill>
            <a:schemeClr val="accent1"/>
          </a:solidFill>
          <a:ln w="19050">
            <a:solidFill>
              <a:schemeClr val="lt1"/>
            </a:solidFill>
          </a:ln>
          <a:effectLst/>
        </c:spPr>
        <c:dLbl>
          <c:idx val="0"/>
          <c:layout>
            <c:manualLayout>
              <c:x val="0.128981235770943"/>
              <c:y val="-4.4416998550856818E-2"/>
            </c:manualLayout>
          </c:layout>
          <c:spPr>
            <a:no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6707051811893678"/>
                  <c:h val="0.25555183980380825"/>
                </c:manualLayout>
              </c15:layout>
            </c:ext>
          </c:extLst>
        </c:dLbl>
      </c:pivotFmt>
      <c:pivotFmt>
        <c:idx val="38"/>
        <c:spPr>
          <a:solidFill>
            <a:schemeClr val="accent1"/>
          </a:solidFill>
          <a:ln w="19050">
            <a:solidFill>
              <a:schemeClr val="lt1"/>
            </a:solidFill>
          </a:ln>
          <a:effectLst/>
        </c:spPr>
        <c:dLbl>
          <c:idx val="0"/>
          <c:layout>
            <c:manualLayout>
              <c:x val="-9.2637034980200036E-3"/>
              <c:y val="-0.28037323037323036"/>
            </c:manualLayout>
          </c:layout>
          <c:tx>
            <c:rich>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fld id="{D1391FE3-A54E-4264-A1C5-F6BA03EA8076}" type="CATEGORYNAME">
                  <a:rPr lang="en-US" sz="1000"/>
                  <a:pPr>
                    <a:defRPr sz="1000" b="0" i="0" u="none" strike="noStrike" kern="1200" baseline="0">
                      <a:solidFill>
                        <a:schemeClr val="dk1">
                          <a:lumMod val="65000"/>
                          <a:lumOff val="35000"/>
                        </a:schemeClr>
                      </a:solidFill>
                      <a:latin typeface="+mn-lt"/>
                      <a:ea typeface="+mn-ea"/>
                      <a:cs typeface="+mn-cs"/>
                    </a:defRPr>
                  </a:pPr>
                  <a:t>[CATEGORY NAME]</a:t>
                </a:fld>
                <a:r>
                  <a:rPr lang="en-US" sz="1000" baseline="0"/>
                  <a:t>
</a:t>
                </a:r>
                <a:fld id="{EE7DB7D7-04C4-4C2E-8145-8587C68FA8C3}" type="PERCENTAGE">
                  <a:rPr lang="en-US" sz="1000" baseline="0"/>
                  <a:pPr>
                    <a:defRPr sz="1000" b="0" i="0" u="none" strike="noStrike" kern="1200" baseline="0">
                      <a:solidFill>
                        <a:schemeClr val="dk1">
                          <a:lumMod val="65000"/>
                          <a:lumOff val="35000"/>
                        </a:schemeClr>
                      </a:solidFill>
                      <a:latin typeface="+mn-lt"/>
                      <a:ea typeface="+mn-ea"/>
                      <a:cs typeface="+mn-cs"/>
                    </a:defRPr>
                  </a:pPr>
                  <a:t>[PERCENTAGE]</a:t>
                </a:fld>
                <a:endParaRPr lang="en-US" sz="1000" baseline="0"/>
              </a:p>
            </c:rich>
          </c:tx>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561587232326439"/>
                  <c:h val="0.22191854396578806"/>
                </c:manualLayout>
              </c15:layout>
              <c15:dlblFieldTable/>
              <c15:showDataLabelsRange val="0"/>
            </c:ext>
          </c:extLst>
        </c:dLbl>
      </c:pivotFmt>
      <c:pivotFmt>
        <c:idx val="39"/>
        <c:spPr>
          <a:solidFill>
            <a:schemeClr val="accent1"/>
          </a:solidFill>
          <a:ln w="19050">
            <a:solidFill>
              <a:schemeClr val="lt1"/>
            </a:solidFill>
          </a:ln>
          <a:effectLst/>
        </c:spPr>
        <c:dLbl>
          <c:idx val="0"/>
          <c:layout>
            <c:manualLayout>
              <c:x val="3.0576766695095181E-2"/>
              <c:y val="-0.10958815958815965"/>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64393052883503"/>
                  <c:h val="0.24433415417667387"/>
                </c:manualLayout>
              </c15:layout>
            </c:ext>
          </c:extLst>
        </c:dLbl>
      </c:pivotFmt>
    </c:pivotFmts>
    <c:plotArea>
      <c:layout>
        <c:manualLayout>
          <c:layoutTarget val="inner"/>
          <c:xMode val="edge"/>
          <c:yMode val="edge"/>
          <c:x val="5.1027090548592675E-2"/>
          <c:y val="0.22794757798132376"/>
          <c:w val="0.53634161114476075"/>
          <c:h val="0.73993250843644542"/>
        </c:manualLayout>
      </c:layout>
      <c:pieChart>
        <c:varyColors val="1"/>
        <c:ser>
          <c:idx val="0"/>
          <c:order val="0"/>
          <c:tx>
            <c:strRef>
              <c:f>'Order Status'!$B$3</c:f>
              <c:strCache>
                <c:ptCount val="1"/>
                <c:pt idx="0">
                  <c:v>Total</c:v>
                </c:pt>
              </c:strCache>
            </c:strRef>
          </c:tx>
          <c:explosion val="8"/>
          <c:dPt>
            <c:idx val="0"/>
            <c:bubble3D val="0"/>
            <c:explosion val="5"/>
            <c:spPr>
              <a:solidFill>
                <a:schemeClr val="accent1"/>
              </a:solidFill>
              <a:ln w="19050">
                <a:solidFill>
                  <a:schemeClr val="lt1"/>
                </a:solidFill>
              </a:ln>
              <a:effectLst/>
            </c:spPr>
            <c:extLst>
              <c:ext xmlns:c16="http://schemas.microsoft.com/office/drawing/2014/chart" uri="{C3380CC4-5D6E-409C-BE32-E72D297353CC}">
                <c16:uniqueId val="{00000001-385D-4ED4-A3F9-6B5B211341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85D-4ED4-A3F9-6B5B21134179}"/>
              </c:ext>
            </c:extLst>
          </c:dPt>
          <c:dPt>
            <c:idx val="2"/>
            <c:bubble3D val="0"/>
            <c:explosion val="0"/>
            <c:spPr>
              <a:solidFill>
                <a:schemeClr val="accent3"/>
              </a:solidFill>
              <a:ln w="19050">
                <a:solidFill>
                  <a:schemeClr val="lt1"/>
                </a:solidFill>
              </a:ln>
              <a:effectLst/>
            </c:spPr>
            <c:extLst>
              <c:ext xmlns:c16="http://schemas.microsoft.com/office/drawing/2014/chart" uri="{C3380CC4-5D6E-409C-BE32-E72D297353CC}">
                <c16:uniqueId val="{00000005-385D-4ED4-A3F9-6B5B21134179}"/>
              </c:ext>
            </c:extLst>
          </c:dPt>
          <c:dPt>
            <c:idx val="3"/>
            <c:bubble3D val="0"/>
            <c:explosion val="12"/>
            <c:spPr>
              <a:solidFill>
                <a:schemeClr val="accent4"/>
              </a:solidFill>
              <a:ln w="19050">
                <a:solidFill>
                  <a:schemeClr val="lt1"/>
                </a:solidFill>
              </a:ln>
              <a:effectLst/>
            </c:spPr>
            <c:extLst>
              <c:ext xmlns:c16="http://schemas.microsoft.com/office/drawing/2014/chart" uri="{C3380CC4-5D6E-409C-BE32-E72D297353CC}">
                <c16:uniqueId val="{00000007-385D-4ED4-A3F9-6B5B21134179}"/>
              </c:ext>
            </c:extLst>
          </c:dPt>
          <c:dLbls>
            <c:dLbl>
              <c:idx val="0"/>
              <c:layout>
                <c:manualLayout>
                  <c:x val="5.1145425277244853E-2"/>
                  <c:y val="6.8347875434489488E-2"/>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4442873508214788"/>
                      <c:h val="0.24737735485766982"/>
                    </c:manualLayout>
                  </c15:layout>
                </c:ext>
                <c:ext xmlns:c16="http://schemas.microsoft.com/office/drawing/2014/chart" uri="{C3380CC4-5D6E-409C-BE32-E72D297353CC}">
                  <c16:uniqueId val="{00000001-385D-4ED4-A3F9-6B5B21134179}"/>
                </c:ext>
              </c:extLst>
            </c:dLbl>
            <c:dLbl>
              <c:idx val="1"/>
              <c:layout>
                <c:manualLayout>
                  <c:x val="0.128981235770943"/>
                  <c:y val="-4.4416998550856818E-2"/>
                </c:manualLayout>
              </c:layout>
              <c:spPr>
                <a:no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6707051811893678"/>
                      <c:h val="0.25555183980380825"/>
                    </c:manualLayout>
                  </c15:layout>
                </c:ext>
                <c:ext xmlns:c16="http://schemas.microsoft.com/office/drawing/2014/chart" uri="{C3380CC4-5D6E-409C-BE32-E72D297353CC}">
                  <c16:uniqueId val="{00000003-385D-4ED4-A3F9-6B5B21134179}"/>
                </c:ext>
              </c:extLst>
            </c:dLbl>
            <c:dLbl>
              <c:idx val="2"/>
              <c:layout>
                <c:manualLayout>
                  <c:x val="-9.2637034980200036E-3"/>
                  <c:y val="-0.28037323037323036"/>
                </c:manualLayout>
              </c:layout>
              <c:tx>
                <c:rich>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fld id="{D1391FE3-A54E-4264-A1C5-F6BA03EA8076}" type="CATEGORYNAME">
                      <a:rPr lang="en-US" sz="1000"/>
                      <a:pPr>
                        <a:defRPr sz="1000"/>
                      </a:pPr>
                      <a:t>[CATEGORY NAME]</a:t>
                    </a:fld>
                    <a:r>
                      <a:rPr lang="en-US" sz="1000" baseline="0"/>
                      <a:t>
</a:t>
                    </a:r>
                    <a:fld id="{EE7DB7D7-04C4-4C2E-8145-8587C68FA8C3}" type="PERCENTAGE">
                      <a:rPr lang="en-US" sz="1000" baseline="0"/>
                      <a:pPr>
                        <a:defRPr sz="1000"/>
                      </a:pPr>
                      <a:t>[PERCENTAGE]</a:t>
                    </a:fld>
                    <a:endParaRPr lang="en-US" sz="1000" baseline="0"/>
                  </a:p>
                </c:rich>
              </c:tx>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561587232326439"/>
                      <c:h val="0.22191854396578806"/>
                    </c:manualLayout>
                  </c15:layout>
                  <c15:dlblFieldTable/>
                  <c15:showDataLabelsRange val="0"/>
                </c:ext>
                <c:ext xmlns:c16="http://schemas.microsoft.com/office/drawing/2014/chart" uri="{C3380CC4-5D6E-409C-BE32-E72D297353CC}">
                  <c16:uniqueId val="{00000005-385D-4ED4-A3F9-6B5B21134179}"/>
                </c:ext>
              </c:extLst>
            </c:dLbl>
            <c:dLbl>
              <c:idx val="3"/>
              <c:layout>
                <c:manualLayout>
                  <c:x val="3.0576766695095181E-2"/>
                  <c:y val="-0.10958815958815965"/>
                </c:manualLayout>
              </c:layout>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no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oundRectCallout">
                      <a:avLst/>
                    </a:prstGeom>
                    <a:noFill/>
                    <a:ln>
                      <a:noFill/>
                    </a:ln>
                  </c15:spPr>
                  <c15:layout>
                    <c:manualLayout>
                      <c:w val="0.2364393052883503"/>
                      <c:h val="0.24433415417667387"/>
                    </c:manualLayout>
                  </c15:layout>
                </c:ext>
                <c:ext xmlns:c16="http://schemas.microsoft.com/office/drawing/2014/chart" uri="{C3380CC4-5D6E-409C-BE32-E72D297353CC}">
                  <c16:uniqueId val="{00000007-385D-4ED4-A3F9-6B5B2113417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oundRectCallout">
                    <a:avLst/>
                  </a:prstGeom>
                  <a:noFill/>
                  <a:ln>
                    <a:noFill/>
                  </a:ln>
                </c15:spPr>
              </c:ext>
            </c:extLst>
          </c:dLbls>
          <c:cat>
            <c:strRef>
              <c:f>'Order Status'!$A$4:$A$7</c:f>
              <c:strCache>
                <c:ptCount val="4"/>
                <c:pt idx="0">
                  <c:v>Cancelled</c:v>
                </c:pt>
                <c:pt idx="1">
                  <c:v>Delivered</c:v>
                </c:pt>
                <c:pt idx="2">
                  <c:v>Refunded</c:v>
                </c:pt>
                <c:pt idx="3">
                  <c:v>Returned</c:v>
                </c:pt>
              </c:strCache>
            </c:strRef>
          </c:cat>
          <c:val>
            <c:numRef>
              <c:f>'Order Status'!$B$4:$B$7</c:f>
              <c:numCache>
                <c:formatCode>General</c:formatCode>
                <c:ptCount val="4"/>
                <c:pt idx="0">
                  <c:v>844</c:v>
                </c:pt>
                <c:pt idx="1">
                  <c:v>28641</c:v>
                </c:pt>
                <c:pt idx="2">
                  <c:v>517</c:v>
                </c:pt>
                <c:pt idx="3">
                  <c:v>1045</c:v>
                </c:pt>
              </c:numCache>
            </c:numRef>
          </c:val>
          <c:extLst>
            <c:ext xmlns:c16="http://schemas.microsoft.com/office/drawing/2014/chart" uri="{C3380CC4-5D6E-409C-BE32-E72D297353CC}">
              <c16:uniqueId val="{00000008-385D-4ED4-A3F9-6B5B21134179}"/>
            </c:ext>
          </c:extLst>
        </c:ser>
        <c:dLbls>
          <c:showLegendKey val="0"/>
          <c:showVal val="0"/>
          <c:showCatName val="0"/>
          <c:showSerName val="0"/>
          <c:showPercent val="0"/>
          <c:showBubbleSize val="0"/>
          <c:showLeaderLines val="0"/>
        </c:dLbls>
        <c:firstSliceAng val="10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 Dubey .</dc:creator>
  <cp:keywords/>
  <dc:description/>
  <cp:lastModifiedBy>RITESH KUMAR</cp:lastModifiedBy>
  <cp:revision>5</cp:revision>
  <dcterms:created xsi:type="dcterms:W3CDTF">2024-04-06T09:57:00Z</dcterms:created>
  <dcterms:modified xsi:type="dcterms:W3CDTF">2024-04-13T03:29:00Z</dcterms:modified>
</cp:coreProperties>
</file>