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 Scikit-learn supports building models based on classical machine learning techniques rooted in statistics and regression-based mathematics.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Classical machine learning techniques offer high performance and ease of implementation, making them widely used in AI solutions.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Limitations in computer vision applications arise due to the classification of image pixel arrays being susceptible to variations in color, contrast, and lighting conditions.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Equalizing and preparing images can mitigate susceptibility to image variations, but it requires significant effort.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Classical machine learning techniques consider the entire pixel array, which can be problematic as not all pixels represent object features.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Background pixels without relevance to object classification can heavily influence classical algorithms due to being part of the pixel array.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