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64748B"/>
          <w:sz w:val="19"/>
        </w:rPr>
        <w:t>SRINIVAS INSTITUTE OF TECHNOLOGY, VALACHIL, MANGALURU</w:t>
        <w:br/>
        <w:t>Department of MBA  •  15 October 2026</w:t>
      </w:r>
    </w:p>
    <w:p>
      <w:pPr>
        <w:spacing w:before="120" w:after="80"/>
        <w:jc w:val="center"/>
      </w:pPr>
      <w:r>
        <w:rPr>
          <w:rFonts w:ascii="Times New Roman" w:hAnsi="Times New Roman"/>
          <w:b/>
          <w:color w:val="0F2240"/>
          <w:sz w:val="30"/>
        </w:rPr>
        <w:t>SIT International Conference 2026: Oral Presentation Script &amp; Q&amp;A Preparation Sheet</w:t>
      </w:r>
    </w:p>
    <w:p>
      <w:pPr>
        <w:spacing w:after="280"/>
        <w:jc w:val="center"/>
      </w:pPr>
      <w:r>
        <w:rPr>
          <w:rFonts w:ascii="Times New Roman" w:hAnsi="Times New Roman"/>
          <w:i/>
          <w:color w:val="1E293B"/>
          <w:sz w:val="20"/>
        </w:rPr>
        <w:t>International Conference on Innovative Pathways to Sustainable Business: AI, ESG &amp; Responsible Leadership</w:t>
        <w:br/>
        <w:t>Paper: EduMatrix: Institutional Academic and Placement Intelligence System</w:t>
      </w:r>
    </w:p>
    <w:tbl>
      <w:tblPr>
        <w:tblW w:type="auto" w:w="0"/>
        <w:tblLayout w:type="fixed"/>
        <w:tblLook w:firstColumn="1" w:firstRow="1" w:lastColumn="0" w:lastRow="0" w:noHBand="0" w:noVBand="1" w:val="04A0"/>
      </w:tblPr>
      <w:tblGrid>
        <w:gridCol w:w="3168"/>
        <w:gridCol w:w="6192"/>
      </w:tblGrid>
      <w:tr>
        <w:tc>
          <w:tcPr>
            <w:tcW w:type="dxa" w:w="4680"/>
            <w:shd w:val="clear" w:color="auto" w:fill="F1F5F9"/>
          </w:tcPr>
          <w:p>
            <w:r>
              <w:rPr>
                <w:b/>
                <w:sz w:val="19"/>
              </w:rPr>
              <w:t>Presenting Author</w:t>
            </w:r>
          </w:p>
        </w:tc>
        <w:tc>
          <w:tcPr>
            <w:tcW w:type="dxa" w:w="4680"/>
            <w:shd w:val="clear" w:color="auto" w:fill="FFFFFF"/>
          </w:tcPr>
          <w:p>
            <w:r>
              <w:rPr>
                <w:sz w:val="19"/>
              </w:rPr>
              <w:t>Rithesh N D (Department of AI &amp; ML, VCET Puttur)</w:t>
            </w:r>
          </w:p>
        </w:tc>
      </w:tr>
      <w:tr>
        <w:tc>
          <w:tcPr>
            <w:tcW w:type="dxa" w:w="4680"/>
            <w:shd w:val="clear" w:color="auto" w:fill="F1F5F9"/>
          </w:tcPr>
          <w:p>
            <w:r>
              <w:rPr>
                <w:b/>
                <w:sz w:val="19"/>
              </w:rPr>
              <w:t>Co-Authors &amp; Guide</w:t>
            </w:r>
          </w:p>
        </w:tc>
        <w:tc>
          <w:tcPr>
            <w:tcW w:type="dxa" w:w="4680"/>
            <w:shd w:val="clear" w:color="auto" w:fill="FFFFFF"/>
          </w:tcPr>
          <w:p>
            <w:r>
              <w:rPr>
                <w:sz w:val="19"/>
              </w:rPr>
              <w:t>Adithya C S, Manikanta, Pushanth S B, Prof. Nidhishree M P (Guide)</w:t>
            </w:r>
          </w:p>
        </w:tc>
      </w:tr>
      <w:tr>
        <w:tc>
          <w:tcPr>
            <w:tcW w:type="dxa" w:w="4680"/>
            <w:shd w:val="clear" w:color="auto" w:fill="F1F5F9"/>
          </w:tcPr>
          <w:p>
            <w:r>
              <w:rPr>
                <w:b/>
                <w:sz w:val="19"/>
              </w:rPr>
              <w:t>Presentation Format</w:t>
            </w:r>
          </w:p>
        </w:tc>
        <w:tc>
          <w:tcPr>
            <w:tcW w:type="dxa" w:w="4680"/>
            <w:shd w:val="clear" w:color="auto" w:fill="FFFFFF"/>
          </w:tcPr>
          <w:p>
            <w:r>
              <w:rPr>
                <w:sz w:val="19"/>
              </w:rPr>
              <w:t>Strictly 5 Minutes Oral Presentation + 2 Minutes Q&amp;A (7 Slides)</w:t>
            </w:r>
          </w:p>
        </w:tc>
      </w:tr>
      <w:tr>
        <w:tc>
          <w:tcPr>
            <w:tcW w:type="dxa" w:w="4680"/>
            <w:shd w:val="clear" w:color="auto" w:fill="F1F5F9"/>
          </w:tcPr>
          <w:p>
            <w:r>
              <w:rPr>
                <w:b/>
                <w:sz w:val="19"/>
              </w:rPr>
              <w:t>Key Theme Alignment</w:t>
            </w:r>
          </w:p>
        </w:tc>
        <w:tc>
          <w:tcPr>
            <w:tcW w:type="dxa" w:w="4680"/>
            <w:shd w:val="clear" w:color="auto" w:fill="FFFFFF"/>
          </w:tcPr>
          <w:p>
            <w:r>
              <w:rPr>
                <w:sz w:val="19"/>
              </w:rPr>
              <w:t>AI, ESG (Paperless Governance, Faculty Well-being), and Equitable Talent Mobility</w:t>
            </w:r>
          </w:p>
        </w:tc>
      </w:tr>
    </w:tbl>
    <w:p>
      <w:pPr>
        <w:spacing w:after="200"/>
      </w:pPr>
    </w:p>
    <w:p>
      <w:pPr>
        <w:spacing w:before="240" w:after="120"/>
      </w:pPr>
      <w:r>
        <w:rPr>
          <w:b/>
          <w:color w:val="0F2240"/>
          <w:sz w:val="26"/>
        </w:rPr>
        <w:t>1. Five-Minute Presentation Timing Roadmap</w:t>
      </w:r>
    </w:p>
    <w:tbl>
      <w:tblPr>
        <w:tblW w:type="auto" w:w="0"/>
        <w:tblLayout w:type="fixed"/>
        <w:tblLook w:firstColumn="1" w:firstRow="1" w:lastColumn="0" w:lastRow="0" w:noHBand="0" w:noVBand="1" w:val="04A0"/>
      </w:tblPr>
      <w:tblGrid>
        <w:gridCol w:w="1152"/>
        <w:gridCol w:w="4032"/>
        <w:gridCol w:w="1872"/>
        <w:gridCol w:w="2304"/>
      </w:tblGrid>
      <w:tr>
        <w:tc>
          <w:tcPr>
            <w:tcW w:type="dxa" w:w="2340"/>
            <w:shd w:val="clear" w:color="auto" w:fill="0F2240"/>
          </w:tcPr>
          <w:p>
            <w:r>
              <w:rPr>
                <w:b/>
                <w:color w:val="FFFFFF"/>
              </w:rPr>
              <w:t>Slide</w:t>
            </w:r>
          </w:p>
        </w:tc>
        <w:tc>
          <w:tcPr>
            <w:tcW w:type="dxa" w:w="2340"/>
            <w:shd w:val="clear" w:color="auto" w:fill="0F2240"/>
          </w:tcPr>
          <w:p>
            <w:r>
              <w:rPr>
                <w:b/>
                <w:color w:val="FFFFFF"/>
              </w:rPr>
              <w:t>Slide Topic</w:t>
            </w:r>
          </w:p>
        </w:tc>
        <w:tc>
          <w:tcPr>
            <w:tcW w:type="dxa" w:w="2340"/>
            <w:shd w:val="clear" w:color="auto" w:fill="0F2240"/>
          </w:tcPr>
          <w:p>
            <w:r>
              <w:rPr>
                <w:b/>
                <w:color w:val="FFFFFF"/>
              </w:rPr>
              <w:t>Duration</w:t>
            </w:r>
          </w:p>
        </w:tc>
        <w:tc>
          <w:tcPr>
            <w:tcW w:type="dxa" w:w="2340"/>
            <w:shd w:val="clear" w:color="auto" w:fill="0F2240"/>
          </w:tcPr>
          <w:p>
            <w:r>
              <w:rPr>
                <w:b/>
                <w:color w:val="FFFFFF"/>
              </w:rPr>
              <w:t>Running Time</w:t>
            </w:r>
          </w:p>
        </w:tc>
      </w:tr>
      <w:tr>
        <w:tc>
          <w:tcPr>
            <w:tcW w:type="dxa" w:w="2340"/>
            <w:shd w:val="clear" w:color="auto" w:fill="F8FAFC"/>
          </w:tcPr>
          <w:p>
            <w:r>
              <w:rPr>
                <w:sz w:val="19"/>
              </w:rPr>
              <w:t>Slide 1</w:t>
            </w:r>
          </w:p>
        </w:tc>
        <w:tc>
          <w:tcPr>
            <w:tcW w:type="dxa" w:w="2340"/>
            <w:shd w:val="clear" w:color="auto" w:fill="F8FAFC"/>
          </w:tcPr>
          <w:p>
            <w:r>
              <w:rPr>
                <w:sz w:val="19"/>
              </w:rPr>
              <w:t>Title &amp; Author Introductions</w:t>
            </w:r>
          </w:p>
        </w:tc>
        <w:tc>
          <w:tcPr>
            <w:tcW w:type="dxa" w:w="2340"/>
            <w:shd w:val="clear" w:color="auto" w:fill="F8FAFC"/>
          </w:tcPr>
          <w:p>
            <w:r>
              <w:rPr>
                <w:sz w:val="19"/>
              </w:rPr>
              <w:t>15 seconds</w:t>
            </w:r>
          </w:p>
        </w:tc>
        <w:tc>
          <w:tcPr>
            <w:tcW w:type="dxa" w:w="2340"/>
            <w:shd w:val="clear" w:color="auto" w:fill="F8FAFC"/>
          </w:tcPr>
          <w:p>
            <w:r>
              <w:rPr>
                <w:sz w:val="19"/>
              </w:rPr>
              <w:t>0:00 – 0:15</w:t>
            </w:r>
          </w:p>
        </w:tc>
      </w:tr>
      <w:tr>
        <w:tc>
          <w:tcPr>
            <w:tcW w:type="dxa" w:w="2340"/>
            <w:shd w:val="clear" w:color="auto" w:fill="FFFFFF"/>
          </w:tcPr>
          <w:p>
            <w:r>
              <w:rPr>
                <w:sz w:val="19"/>
              </w:rPr>
              <w:t>Slide 2</w:t>
            </w:r>
          </w:p>
        </w:tc>
        <w:tc>
          <w:tcPr>
            <w:tcW w:type="dxa" w:w="2340"/>
            <w:shd w:val="clear" w:color="auto" w:fill="FFFFFF"/>
          </w:tcPr>
          <w:p>
            <w:r>
              <w:rPr>
                <w:sz w:val="19"/>
              </w:rPr>
              <w:t>The Institutional Dilemma (Research Problem)</w:t>
            </w:r>
          </w:p>
        </w:tc>
        <w:tc>
          <w:tcPr>
            <w:tcW w:type="dxa" w:w="2340"/>
            <w:shd w:val="clear" w:color="auto" w:fill="FFFFFF"/>
          </w:tcPr>
          <w:p>
            <w:r>
              <w:rPr>
                <w:sz w:val="19"/>
              </w:rPr>
              <w:t>40 seconds</w:t>
            </w:r>
          </w:p>
        </w:tc>
        <w:tc>
          <w:tcPr>
            <w:tcW w:type="dxa" w:w="2340"/>
            <w:shd w:val="clear" w:color="auto" w:fill="FFFFFF"/>
          </w:tcPr>
          <w:p>
            <w:r>
              <w:rPr>
                <w:sz w:val="19"/>
              </w:rPr>
              <w:t>0:15 – 0:55</w:t>
            </w:r>
          </w:p>
        </w:tc>
      </w:tr>
      <w:tr>
        <w:tc>
          <w:tcPr>
            <w:tcW w:type="dxa" w:w="2340"/>
            <w:shd w:val="clear" w:color="auto" w:fill="F8FAFC"/>
          </w:tcPr>
          <w:p>
            <w:r>
              <w:rPr>
                <w:sz w:val="19"/>
              </w:rPr>
              <w:t>Slide 3</w:t>
            </w:r>
          </w:p>
        </w:tc>
        <w:tc>
          <w:tcPr>
            <w:tcW w:type="dxa" w:w="2340"/>
            <w:shd w:val="clear" w:color="auto" w:fill="F8FAFC"/>
          </w:tcPr>
          <w:p>
            <w:r>
              <w:rPr>
                <w:sz w:val="19"/>
              </w:rPr>
              <w:t>System Scope &amp; Research Objectives</w:t>
            </w:r>
          </w:p>
        </w:tc>
        <w:tc>
          <w:tcPr>
            <w:tcW w:type="dxa" w:w="2340"/>
            <w:shd w:val="clear" w:color="auto" w:fill="F8FAFC"/>
          </w:tcPr>
          <w:p>
            <w:r>
              <w:rPr>
                <w:sz w:val="19"/>
              </w:rPr>
              <w:t>25 seconds</w:t>
            </w:r>
          </w:p>
        </w:tc>
        <w:tc>
          <w:tcPr>
            <w:tcW w:type="dxa" w:w="2340"/>
            <w:shd w:val="clear" w:color="auto" w:fill="F8FAFC"/>
          </w:tcPr>
          <w:p>
            <w:r>
              <w:rPr>
                <w:sz w:val="19"/>
              </w:rPr>
              <w:t>0:55 – 1:20</w:t>
            </w:r>
          </w:p>
        </w:tc>
      </w:tr>
      <w:tr>
        <w:tc>
          <w:tcPr>
            <w:tcW w:type="dxa" w:w="2340"/>
            <w:shd w:val="clear" w:color="auto" w:fill="FFFFFF"/>
          </w:tcPr>
          <w:p>
            <w:r>
              <w:rPr>
                <w:sz w:val="19"/>
              </w:rPr>
              <w:t>Slide 4</w:t>
            </w:r>
          </w:p>
        </w:tc>
        <w:tc>
          <w:tcPr>
            <w:tcW w:type="dxa" w:w="2340"/>
            <w:shd w:val="clear" w:color="auto" w:fill="FFFFFF"/>
          </w:tcPr>
          <w:p>
            <w:r>
              <w:rPr>
                <w:sz w:val="19"/>
              </w:rPr>
              <w:t>Proposed Architecture &amp; Technical Pipeline</w:t>
            </w:r>
          </w:p>
        </w:tc>
        <w:tc>
          <w:tcPr>
            <w:tcW w:type="dxa" w:w="2340"/>
            <w:shd w:val="clear" w:color="auto" w:fill="FFFFFF"/>
          </w:tcPr>
          <w:p>
            <w:r>
              <w:rPr>
                <w:sz w:val="19"/>
              </w:rPr>
              <w:t>65 seconds</w:t>
            </w:r>
          </w:p>
        </w:tc>
        <w:tc>
          <w:tcPr>
            <w:tcW w:type="dxa" w:w="2340"/>
            <w:shd w:val="clear" w:color="auto" w:fill="FFFFFF"/>
          </w:tcPr>
          <w:p>
            <w:r>
              <w:rPr>
                <w:sz w:val="19"/>
              </w:rPr>
              <w:t>1:20 – 2:25</w:t>
            </w:r>
          </w:p>
        </w:tc>
      </w:tr>
      <w:tr>
        <w:tc>
          <w:tcPr>
            <w:tcW w:type="dxa" w:w="2340"/>
            <w:shd w:val="clear" w:color="auto" w:fill="F8FAFC"/>
          </w:tcPr>
          <w:p>
            <w:r>
              <w:rPr>
                <w:sz w:val="19"/>
              </w:rPr>
              <w:t>Slide 5</w:t>
            </w:r>
          </w:p>
        </w:tc>
        <w:tc>
          <w:tcPr>
            <w:tcW w:type="dxa" w:w="2340"/>
            <w:shd w:val="clear" w:color="auto" w:fill="F8FAFC"/>
          </w:tcPr>
          <w:p>
            <w:r>
              <w:rPr>
                <w:sz w:val="19"/>
              </w:rPr>
              <w:t>Key Empirical Findings &amp; Model Results</w:t>
            </w:r>
          </w:p>
        </w:tc>
        <w:tc>
          <w:tcPr>
            <w:tcW w:type="dxa" w:w="2340"/>
            <w:shd w:val="clear" w:color="auto" w:fill="F8FAFC"/>
          </w:tcPr>
          <w:p>
            <w:r>
              <w:rPr>
                <w:sz w:val="19"/>
              </w:rPr>
              <w:t>75 seconds</w:t>
            </w:r>
          </w:p>
        </w:tc>
        <w:tc>
          <w:tcPr>
            <w:tcW w:type="dxa" w:w="2340"/>
            <w:shd w:val="clear" w:color="auto" w:fill="F8FAFC"/>
          </w:tcPr>
          <w:p>
            <w:r>
              <w:rPr>
                <w:sz w:val="19"/>
              </w:rPr>
              <w:t>2:25 – 3:40</w:t>
            </w:r>
          </w:p>
        </w:tc>
      </w:tr>
      <w:tr>
        <w:tc>
          <w:tcPr>
            <w:tcW w:type="dxa" w:w="2340"/>
            <w:shd w:val="clear" w:color="auto" w:fill="FFFFFF"/>
          </w:tcPr>
          <w:p>
            <w:r>
              <w:rPr>
                <w:sz w:val="19"/>
              </w:rPr>
              <w:t>Slide 6</w:t>
            </w:r>
          </w:p>
        </w:tc>
        <w:tc>
          <w:tcPr>
            <w:tcW w:type="dxa" w:w="2340"/>
            <w:shd w:val="clear" w:color="auto" w:fill="FFFFFF"/>
          </w:tcPr>
          <w:p>
            <w:r>
              <w:rPr>
                <w:sz w:val="19"/>
              </w:rPr>
              <w:t>Implications: Business, ESG &amp; Leadership</w:t>
            </w:r>
          </w:p>
        </w:tc>
        <w:tc>
          <w:tcPr>
            <w:tcW w:type="dxa" w:w="2340"/>
            <w:shd w:val="clear" w:color="auto" w:fill="FFFFFF"/>
          </w:tcPr>
          <w:p>
            <w:r>
              <w:rPr>
                <w:sz w:val="19"/>
              </w:rPr>
              <w:t>45 seconds</w:t>
            </w:r>
          </w:p>
        </w:tc>
        <w:tc>
          <w:tcPr>
            <w:tcW w:type="dxa" w:w="2340"/>
            <w:shd w:val="clear" w:color="auto" w:fill="FFFFFF"/>
          </w:tcPr>
          <w:p>
            <w:r>
              <w:rPr>
                <w:sz w:val="19"/>
              </w:rPr>
              <w:t>3:40 – 4:25</w:t>
            </w:r>
          </w:p>
        </w:tc>
      </w:tr>
      <w:tr>
        <w:tc>
          <w:tcPr>
            <w:tcW w:type="dxa" w:w="2340"/>
            <w:shd w:val="clear" w:color="auto" w:fill="F8FAFC"/>
          </w:tcPr>
          <w:p>
            <w:r>
              <w:rPr>
                <w:sz w:val="19"/>
              </w:rPr>
              <w:t>Slide 7</w:t>
            </w:r>
          </w:p>
        </w:tc>
        <w:tc>
          <w:tcPr>
            <w:tcW w:type="dxa" w:w="2340"/>
            <w:shd w:val="clear" w:color="auto" w:fill="F8FAFC"/>
          </w:tcPr>
          <w:p>
            <w:r>
              <w:rPr>
                <w:sz w:val="19"/>
              </w:rPr>
              <w:t>Conclusion, Future Horizons &amp; Closing</w:t>
            </w:r>
          </w:p>
        </w:tc>
        <w:tc>
          <w:tcPr>
            <w:tcW w:type="dxa" w:w="2340"/>
            <w:shd w:val="clear" w:color="auto" w:fill="F8FAFC"/>
          </w:tcPr>
          <w:p>
            <w:r>
              <w:rPr>
                <w:sz w:val="19"/>
              </w:rPr>
              <w:t>15 seconds</w:t>
            </w:r>
          </w:p>
        </w:tc>
        <w:tc>
          <w:tcPr>
            <w:tcW w:type="dxa" w:w="2340"/>
            <w:shd w:val="clear" w:color="auto" w:fill="F8FAFC"/>
          </w:tcPr>
          <w:p>
            <w:r>
              <w:rPr>
                <w:sz w:val="19"/>
              </w:rPr>
              <w:t>4:25 – 4:40</w:t>
            </w:r>
          </w:p>
        </w:tc>
      </w:tr>
    </w:tbl>
    <w:p>
      <w:pPr>
        <w:spacing w:before="360" w:after="120"/>
      </w:pPr>
      <w:r>
        <w:rPr>
          <w:b/>
          <w:color w:val="0F2240"/>
          <w:sz w:val="26"/>
        </w:rPr>
        <w:t>2. Verbatim Slide-by-Slide Speaking Script (Target Time: 4m 40s)</w:t>
      </w:r>
    </w:p>
    <w:p>
      <w:pPr>
        <w:spacing w:before="200" w:after="40"/>
      </w:pPr>
      <w:r>
        <w:rPr>
          <w:b/>
          <w:color w:val="0F2240"/>
          <w:sz w:val="22"/>
        </w:rPr>
        <w:t>Slide 1: Title and Authors  [15 Seconds | Running Time: 0:00 – 0:15]</w:t>
      </w:r>
    </w:p>
    <w:p>
      <w:pPr>
        <w:spacing w:after="160" w:line="283" w:lineRule="auto"/>
      </w:pPr>
      <w:r>
        <w:rPr>
          <w:color w:val="1E293B"/>
          <w:sz w:val="20"/>
        </w:rPr>
        <w:t>“Respected session chairs, distinguished faculty members, and fellow researchers, a very pleasant morning to all. I am Rithesh N D from the Department of Artificial Intelligence and Machine Learning at Vivekananda College of Engineering and Technology, Puttur. Today, on behalf of my co-authors and our project guide Prof. Nidhishree M P, I am delighted to present our research titled: ‘EduMatrix: Institutional Academic and Placement Intelligence System’.”</w:t>
      </w:r>
    </w:p>
    <w:p>
      <w:pPr>
        <w:spacing w:before="200" w:after="40"/>
      </w:pPr>
      <w:r>
        <w:rPr>
          <w:b/>
          <w:color w:val="0F2240"/>
          <w:sz w:val="22"/>
        </w:rPr>
        <w:t>Slide 2: Context &amp; Problem Formulation  [40 Seconds | Running Time: 0:15 – 0:55]</w:t>
      </w:r>
    </w:p>
    <w:p>
      <w:pPr>
        <w:spacing w:after="160" w:line="283" w:lineRule="auto"/>
      </w:pPr>
      <w:r>
        <w:rPr>
          <w:color w:val="1E293B"/>
          <w:sz w:val="20"/>
        </w:rPr>
        <w:t>“In modern higher educational institutions, day-to-day administrative communication remains heavily fragmented. Important circulars, internal exam schedules, and placement notifications are routinely broadcast across uncoordinated WhatsApp groups, email chains, and physical notice boards. This informal setup creates three severe bottlenecks: first, students experience information fatigue and miss vital application deadlines; second, Heads of Departments manually allocate examination invigilation duties, leading to room clashes and unequal faculty workloads; and third, institutional placement cells struggle with manual, subjective screening of hundreds of unstructured student resumes against rigid recruiter criteria. Existing campus ERPs operate in disconnected silos. There is a glaring research gap for a unified, real-time platform that integrates collaborative communication with applied document intelligence and predictive placement screening.”</w:t>
      </w:r>
    </w:p>
    <w:p>
      <w:pPr>
        <w:spacing w:before="200" w:after="40"/>
      </w:pPr>
      <w:r>
        <w:rPr>
          <w:b/>
          <w:color w:val="0F2240"/>
          <w:sz w:val="22"/>
        </w:rPr>
        <w:t>Slide 3: System Scope &amp; Research Objectives  [25 Seconds | Running Time: 0:55 – 1:20]</w:t>
      </w:r>
    </w:p>
    <w:p>
      <w:pPr>
        <w:spacing w:after="160" w:line="283" w:lineRule="auto"/>
      </w:pPr>
      <w:r>
        <w:rPr>
          <w:color w:val="1E293B"/>
          <w:sz w:val="20"/>
        </w:rPr>
        <w:t>“To resolve this, our study formulated five core objectives directly reflected in EduMatrix: First, automated extraction of examination schedules and deadlines from uploaded circulars using OCR and computer vision; second, conflict-free faculty examination duty allocation for HODs; third, an intelligent resume ATS scoring and skill-gap diagnostic engine; fourth, instantaneous campus-wide notifications and deadline reminders via persistent WebSockets; and fifth, dedicated, secure role-based dashboards with JWT access control for students, faculty, HODs, placement officers, and administrators.”</w:t>
      </w:r>
    </w:p>
    <w:p>
      <w:pPr>
        <w:spacing w:before="200" w:after="40"/>
      </w:pPr>
      <w:r>
        <w:rPr>
          <w:b/>
          <w:color w:val="0F2240"/>
          <w:sz w:val="22"/>
        </w:rPr>
        <w:t>Slide 4: System Framework &amp; Technical Pipeline  [65 Seconds | Running Time: 1:20 – 2:25]</w:t>
      </w:r>
    </w:p>
    <w:p>
      <w:pPr>
        <w:spacing w:after="160" w:line="283" w:lineRule="auto"/>
      </w:pPr>
      <w:r>
        <w:rPr>
          <w:color w:val="1E293B"/>
          <w:sz w:val="20"/>
        </w:rPr>
        <w:t>“EduMatrix is built on a decoupled, reactive full-stack architecture. On the frontend, we utilize React, Vite, and Tailwind CSS to deliver responsive, role-specific interfaces. The backend is powered by Python and FastAPI, with PostgreSQL for structured relational persistence and Redis with WebSockets for real-time bi-directional messaging.</w:t>
        <w:br/>
        <w:br/>
        <w:t>Our technical processing pipeline operates across four distinct stages: When academic circulars or scanned timetables are uploaded, they undergo OpenCV image preprocessing—including grayscale conversion, adaptive thresholding, and noise removal—before being parsed by Tesseract OCR. For complex tabular timetables, we deploy a Vision Transformer (Table Transformer) that isolates cell boundaries, course codes, and session slots to automate invigilation duty assignment without scheduling conflicts.</w:t>
        <w:br/>
        <w:br/>
        <w:t>Simultaneously, the placement intelligence module ingests student PDF resumes through LayoutLMv3 and spaCy NLP, extracting technical proficiencies and project histories. Candidate suitability against company job descriptions is mathematically evaluated using normalized cosine similarity, shown on the slide, yielding an objective ATS compatibility score. Lastly, student inquiries and feedback are classified using a fine-tuned BERT model and deep learning sentiment analyzer.”</w:t>
      </w:r>
    </w:p>
    <w:p>
      <w:pPr>
        <w:spacing w:before="200" w:after="40"/>
      </w:pPr>
      <w:r>
        <w:rPr>
          <w:b/>
          <w:color w:val="0F2240"/>
          <w:sz w:val="22"/>
        </w:rPr>
        <w:t>Slide 5: Key Findings &amp; Experimental Evaluation  [75 Seconds | Running Time: 2:25 – 3:40]</w:t>
      </w:r>
    </w:p>
    <w:p>
      <w:pPr>
        <w:spacing w:after="160" w:line="283" w:lineRule="auto"/>
      </w:pPr>
      <w:r>
        <w:rPr>
          <w:color w:val="1E293B"/>
          <w:sz w:val="20"/>
        </w:rPr>
        <w:t>“Turning to our experimental results, Table 2 on the slide highlights the performance benchmarks achieved across our deployed models. In tabular timetable extraction, the Table Transformer achieved a high testing accuracy of 94.20%, accurately mapping multi-column session slots and enabling zero-collision invigilation duty assignment. In candidate evaluation, our LayoutLMv3 resume parser achieved 93.90% testing accuracy, successfully extracting hard and soft competencies and providing objective ATS scoring without human screening bias.</w:t>
        <w:br/>
        <w:br/>
        <w:t>Furthermore, our fine-tuned BERT query classifier achieved 95.60% testing accuracy, allowing the system to categorize student inquiries into exams, marks, or placement eligibility for rapid automated guidance. The sentiment classifier reached 93.10% accuracy, prioritizing urgent student support requests. Crucially, persistent WebSocket channels demonstrated sub-second notification broadcasting across all tested client sessions, ensuring that upcoming, due-today, and missed deadlines are communicated instantaneously.”</w:t>
      </w:r>
    </w:p>
    <w:p>
      <w:pPr>
        <w:spacing w:before="200" w:after="40"/>
      </w:pPr>
      <w:r>
        <w:rPr>
          <w:b/>
          <w:color w:val="0F2240"/>
          <w:sz w:val="22"/>
        </w:rPr>
        <w:t>Slide 6: Business, ESG &amp; Leadership Implications  [45 Seconds | Running Time: 3:40 – 4:25]</w:t>
      </w:r>
    </w:p>
    <w:p>
      <w:pPr>
        <w:spacing w:after="160" w:line="283" w:lineRule="auto"/>
      </w:pPr>
      <w:r>
        <w:rPr>
          <w:color w:val="1E293B"/>
          <w:sz w:val="20"/>
        </w:rPr>
        <w:t>“Aligning directly with the conference theme of Sustainable Business, AI, and Responsible Leadership, EduMatrix delivers profound institutional impacts. Under Environmental Sustainability, automated digital circular ingestion eliminates paper printing and physical notice boards, promoting a truly paperless campus. Under Social Responsibility, equitable algorithmic invigilation scheduling prevents faculty over-allocation and burnout. Under Governance and Responsible Leadership, our quantitative ATS scoring eliminates subjective recruitment bias, democratizing career access by giving every student transparent skill-gap diagnostics. Moreover, EduMatrix proves highly feasible, running efficiently on standard institutional hardware—an Intel i5 processor with 8 to 16 GB of RAM—without requiring costly enterprise infrastructure.”</w:t>
      </w:r>
    </w:p>
    <w:p>
      <w:pPr>
        <w:spacing w:before="200" w:after="40"/>
      </w:pPr>
      <w:r>
        <w:rPr>
          <w:b/>
          <w:color w:val="0F2240"/>
          <w:sz w:val="22"/>
        </w:rPr>
        <w:t>Slide 7: Conclusion &amp; Future Horizons  [15 Seconds | Running Time: 4:25 – 4:40]</w:t>
      </w:r>
    </w:p>
    <w:p>
      <w:pPr>
        <w:spacing w:after="160" w:line="283" w:lineRule="auto"/>
      </w:pPr>
      <w:r>
        <w:rPr>
          <w:color w:val="1E293B"/>
          <w:sz w:val="20"/>
        </w:rPr>
        <w:t>“In conclusion, EduMatrix successfully demonstrates how applied AI and real-time web services can transform institutional governance—eliminating communication gaps and accelerating student placement readiness. Moving forward, we plan to extend this work to multilingual circular parsing and cross-campus university federations. Thank you very much for your time and kind attention. I now welcome your questions and feedback.”</w:t>
      </w:r>
    </w:p>
    <w:p>
      <w:pPr>
        <w:spacing w:before="360" w:after="120"/>
      </w:pPr>
      <w:r>
        <w:rPr>
          <w:b/>
          <w:color w:val="0F2240"/>
          <w:sz w:val="26"/>
        </w:rPr>
        <w:t>3. High-Yield Q&amp;A Preparation Sheet (10 Anticipated Questions &amp; Model Answers)</w:t>
      </w:r>
    </w:p>
    <w:p>
      <w:pPr>
        <w:spacing w:before="160" w:after="40"/>
      </w:pPr>
      <w:r>
        <w:rPr>
          <w:b/>
          <w:color w:val="0F2240"/>
          <w:sz w:val="21"/>
        </w:rPr>
        <w:t>Q1: How does EduMatrix align with the conference theme of ESG and Sustainable Business?</w:t>
      </w:r>
    </w:p>
    <w:p>
      <w:pPr>
        <w:spacing w:after="120" w:line="276" w:lineRule="auto"/>
      </w:pPr>
      <w:r>
        <w:rPr>
          <w:color w:val="1E293B"/>
          <w:sz w:val="19"/>
        </w:rPr>
        <w:t>EduMatrix directly operationalizes all three ESG pillars in higher education:</w:t>
        <w:br/>
        <w:t>• Environmental (E): Replaces physical paper circulars and notice board postings with automated digital document ingestion and push notifications, minimizing paper waste and campus carbon footprint.</w:t>
        <w:br/>
        <w:t>• Social (S): Ensures fair, balanced faculty invigilation workloads to prevent burnout, and democratizes placement access by providing every student transparent skill-gap diagnostics.</w:t>
        <w:br/>
        <w:t>• Governance (G): Establishes auditable, role-based institutional administration with tamper-proof records and unbiased, data-backed recruitment screening.</w:t>
      </w:r>
    </w:p>
    <w:p>
      <w:pPr>
        <w:spacing w:before="160" w:after="40"/>
      </w:pPr>
      <w:r>
        <w:rPr>
          <w:b/>
          <w:color w:val="0F2240"/>
          <w:sz w:val="21"/>
        </w:rPr>
        <w:t>Q2: How does the Table Transformer extract examination schedules from complex PDF timetables?</w:t>
      </w:r>
    </w:p>
    <w:p>
      <w:pPr>
        <w:spacing w:after="120" w:line="276" w:lineRule="auto"/>
      </w:pPr>
      <w:r>
        <w:rPr>
          <w:color w:val="1E293B"/>
          <w:sz w:val="19"/>
        </w:rPr>
        <w:t>We utilize a Vision Transformer-based Table Transformer model trained to identify table boundaries, row headers, and column spans in scanned documents. After OpenCV preprocessing converts image inputs to high-contrast binarized formats, the Table Transformer extracts bounding boxes for date, time slot, course code, and semester. This structured data is mapped directly into PostgreSQL to power automated invigilation duty assignment.</w:t>
      </w:r>
    </w:p>
    <w:p>
      <w:pPr>
        <w:spacing w:before="160" w:after="40"/>
      </w:pPr>
      <w:r>
        <w:rPr>
          <w:b/>
          <w:color w:val="0F2240"/>
          <w:sz w:val="21"/>
        </w:rPr>
        <w:t>Q3: How is the ATS Score calculated mathematically?</w:t>
      </w:r>
    </w:p>
    <w:p>
      <w:pPr>
        <w:spacing w:after="120" w:line="276" w:lineRule="auto"/>
      </w:pPr>
      <w:r>
        <w:rPr>
          <w:color w:val="1E293B"/>
          <w:sz w:val="19"/>
        </w:rPr>
        <w:t>The ATS score is calculated using normalized cosine similarity between the extracted student feature vector (r) and the recruiter job requirement vector (j):</w:t>
        <w:br/>
        <w:t>ATS Score = [ (r · j) / ( ||r|| ||j|| + ε ) ] × 100</w:t>
        <w:br/>
        <w:t>LayoutLMv3 and spaCy extract candidate technical proficiencies and project histories into dense vector representations. The epsilon parameter (ε = 1e-7) prevents division by zero. A match score above 75% indicates strong alignment, while missing dimensions are flagged as specific skill gaps.</w:t>
      </w:r>
    </w:p>
    <w:p>
      <w:pPr>
        <w:spacing w:before="160" w:after="40"/>
      </w:pPr>
      <w:r>
        <w:rPr>
          <w:b/>
          <w:color w:val="0F2240"/>
          <w:sz w:val="21"/>
        </w:rPr>
        <w:t>Q4: Why did you choose FastAPI and WebSockets over a traditional Django/Flask architecture?</w:t>
      </w:r>
    </w:p>
    <w:p>
      <w:pPr>
        <w:spacing w:after="120" w:line="276" w:lineRule="auto"/>
      </w:pPr>
      <w:r>
        <w:rPr>
          <w:color w:val="1E293B"/>
          <w:sz w:val="19"/>
        </w:rPr>
        <w:t>FastAPI is an asynchronous, high-performance ASGI framework capable of handling thousands of concurrent requests with minimal overhead. In an institutional context where hundreds of students and faculty members interact simultaneously, WebSockets coupled with Redis Pub/Sub allow sub-second, bi-directional broadcasting of urgent alerts (e.g., duty allocations and deadline reminders) without polling the server repeatedly.</w:t>
      </w:r>
    </w:p>
    <w:p>
      <w:pPr>
        <w:spacing w:before="160" w:after="40"/>
      </w:pPr>
      <w:r>
        <w:rPr>
          <w:b/>
          <w:color w:val="0F2240"/>
          <w:sz w:val="21"/>
        </w:rPr>
        <w:t>Q5: What datasets were used to achieve the model testing accuracies reported in Table 2?</w:t>
      </w:r>
    </w:p>
    <w:p>
      <w:pPr>
        <w:spacing w:after="120" w:line="276" w:lineRule="auto"/>
      </w:pPr>
      <w:r>
        <w:rPr>
          <w:color w:val="1E293B"/>
          <w:sz w:val="19"/>
        </w:rPr>
        <w:t>The evaluation utilized real institutional datasets gathered from our engineering college environment:</w:t>
        <w:br/>
        <w:t>1. Academic Documents: Over 150 historical institutional circulars, internal test timetables, and notification sheets in PDF and scanned image formats.</w:t>
        <w:br/>
        <w:t>2. Placement Intelligence: 300+ anonymized student resumes across Computer Science, AI, and related engineering disciplines, paired with 50+ real company job descriptions.</w:t>
        <w:br/>
        <w:t>3. Administrative Records: Departmental faculty rosters, course codes, and semester schedules.</w:t>
      </w:r>
    </w:p>
    <w:p>
      <w:pPr>
        <w:spacing w:before="160" w:after="40"/>
      </w:pPr>
      <w:r>
        <w:rPr>
          <w:b/>
          <w:color w:val="0F2240"/>
          <w:sz w:val="21"/>
        </w:rPr>
        <w:t>Q6: How does the system handle timetable conflicts during faculty examination duty allocation?</w:t>
      </w:r>
    </w:p>
    <w:p>
      <w:pPr>
        <w:spacing w:after="120" w:line="276" w:lineRule="auto"/>
      </w:pPr>
      <w:r>
        <w:rPr>
          <w:color w:val="1E293B"/>
          <w:sz w:val="19"/>
        </w:rPr>
        <w:t>When an exam timetable is parsed, the backend loads faculty availability, departmental rosters, and existing assigned duty counts. A constraint satisfaction algorithm assigns duties ensuring no faculty member is booked for overlapping sessions or consecutive slots, while balancing the total duty count equitably across senior and junior faculty members.</w:t>
      </w:r>
    </w:p>
    <w:p>
      <w:pPr>
        <w:spacing w:before="160" w:after="40"/>
      </w:pPr>
      <w:r>
        <w:rPr>
          <w:b/>
          <w:color w:val="0F2240"/>
          <w:sz w:val="21"/>
        </w:rPr>
        <w:t>Q7: What is the purpose of the Sentiment Classifier in an academic platform?</w:t>
      </w:r>
    </w:p>
    <w:p>
      <w:pPr>
        <w:spacing w:after="120" w:line="276" w:lineRule="auto"/>
      </w:pPr>
      <w:r>
        <w:rPr>
          <w:color w:val="1E293B"/>
          <w:sz w:val="19"/>
        </w:rPr>
        <w:t>The Deep Learning sentiment classifier analyzes incoming student feedback and support tickets. By evaluating sentiment polarity and emotional urgency, it flags highly frustrated or critical messages, allowing HODs and administrators to prioritize urgent student grievances (e.g., missed hall tickets or scholarship deadlines) over routine inquiries.</w:t>
      </w:r>
    </w:p>
    <w:p>
      <w:pPr>
        <w:spacing w:before="160" w:after="40"/>
      </w:pPr>
      <w:r>
        <w:rPr>
          <w:b/>
          <w:color w:val="0F2240"/>
          <w:sz w:val="21"/>
        </w:rPr>
        <w:t>Q8: How does your system ensure student data privacy and security?</w:t>
      </w:r>
    </w:p>
    <w:p>
      <w:pPr>
        <w:spacing w:after="120" w:line="276" w:lineRule="auto"/>
      </w:pPr>
      <w:r>
        <w:rPr>
          <w:color w:val="1E293B"/>
          <w:sz w:val="19"/>
        </w:rPr>
        <w:t>EduMatrix enforces strict Role-Based Access Control (RBAC) secured via JSON Web Tokens (JWT) with salted password hashing. Sensitive student resume data and academic records are isolated such that recruiters and faculty can only view authorized records according to role permissions, preventing unauthorized access across departments.</w:t>
      </w:r>
    </w:p>
    <w:p>
      <w:pPr>
        <w:spacing w:before="160" w:after="40"/>
      </w:pPr>
      <w:r>
        <w:rPr>
          <w:b/>
          <w:color w:val="0F2240"/>
          <w:sz w:val="21"/>
        </w:rPr>
        <w:t>Q9: What are the current limitations of EduMatrix?</w:t>
      </w:r>
    </w:p>
    <w:p>
      <w:pPr>
        <w:spacing w:after="120" w:line="276" w:lineRule="auto"/>
      </w:pPr>
      <w:r>
        <w:rPr>
          <w:color w:val="1E293B"/>
          <w:sz w:val="19"/>
        </w:rPr>
        <w:t>As noted in Section V of the paper, the current implementation is evaluated on standard English-language institutional circular templates and structured resumes. Scanned documents with heavy handwritten annotations or severe physical degradation require further fine-tuning. Future work will integrate multilingual Indic OCR models and federated multi-campus deployment.</w:t>
      </w:r>
    </w:p>
    <w:p>
      <w:pPr>
        <w:spacing w:before="160" w:after="40"/>
      </w:pPr>
      <w:r>
        <w:rPr>
          <w:b/>
          <w:color w:val="0F2240"/>
          <w:sz w:val="21"/>
        </w:rPr>
        <w:t>Q10: Can this system be deployed in institutions without specialized GPU hardware?</w:t>
      </w:r>
    </w:p>
    <w:p>
      <w:pPr>
        <w:spacing w:after="120" w:line="276" w:lineRule="auto"/>
      </w:pPr>
      <w:r>
        <w:rPr>
          <w:color w:val="1E293B"/>
          <w:sz w:val="19"/>
        </w:rPr>
        <w:t>Yes, absolutely. As reported in Table 1 of our paper, EduMatrix was specifically architected to run on standard commodity hardware—an Intel Core i5 processor with 8 to 16 GB of RAM. The lightweight transformer inference is accelerated using ONNX runtime and CPU-optimized PyTorch quantization, making it accessible and cost-effective for any educational institution.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