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Demand-Based Public Transport Planning System</w:t>
      </w:r>
    </w:p>
    <w:p>
      <w:pPr>
        <w:jc w:val="center"/>
      </w:pPr>
      <w:r>
        <w:rPr>
          <w:b/>
        </w:rPr>
        <w:t>Dataset Assumptions, Simulation Methodology &amp; Limitations</w:t>
      </w:r>
    </w:p>
    <w:p>
      <w:pPr>
        <w:pStyle w:val="Heading1"/>
      </w:pPr>
      <w:r>
        <w:t>1. Overview</w:t>
      </w:r>
    </w:p>
    <w:p>
      <w:r>
        <w:t>This document describes the assumptions used to design the synthetic 2026 transport dataset and interpret the system's outputs. It distinguishes simulated demand patterns from observed operational data and records the constraints used for capacity planning and fleet reallocation.</w:t>
      </w:r>
    </w:p>
    <w:p>
      <w:pPr>
        <w:pStyle w:val="Heading1"/>
      </w:pPr>
      <w:r>
        <w:t>2. Dataset Scope</w:t>
      </w:r>
    </w:p>
    <w:p>
      <w:pPr>
        <w:pStyle w:val="ListBullet"/>
      </w:pPr>
      <w:r>
        <w:t>The dataset contains 74,470 hourly records covering 1 January through 31 December 2026.</w:t>
      </w:r>
    </w:p>
    <w:p>
      <w:pPr>
        <w:pStyle w:val="ListBullet"/>
      </w:pPr>
      <w:r>
        <w:t>The route master contains 12 configured routes: six Local routes (L01–L06), three Regional routes (R01–R03), and three Intercity routes (I01–I03).</w:t>
      </w:r>
    </w:p>
    <w:p>
      <w:pPr>
        <w:pStyle w:val="ListBullet"/>
      </w:pPr>
      <w:r>
        <w:t>The dataset includes hourly demand and capacity fields, route and service information, calendar and festival features, trip-operation metrics, bus bunching indicators, and configured disruption scenarios.</w:t>
      </w:r>
    </w:p>
    <w:p>
      <w:pPr>
        <w:pStyle w:val="ListBullet"/>
      </w:pPr>
      <w:r>
        <w:t>Passenger demand, passenger counts, bus availability, delays, bunching indicators, and demand changes associated with festivals are synthetic values intended to support simulation, analysis, and model development. They are not actual passenger counts collected from a transport authority.</w:t>
      </w:r>
    </w:p>
    <w:p>
      <w:pPr>
        <w:pStyle w:val="Heading1"/>
      </w:pPr>
      <w:r>
        <w:t>3. Demand Pattern Assumptions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Period / situation</w:t>
            </w:r>
          </w:p>
        </w:tc>
        <w:tc>
          <w:tcPr>
            <w:tcW w:type="dxa" w:w="3408"/>
          </w:tcPr>
          <w:p>
            <w:r>
              <w:t>Simulation assumption</w:t>
            </w:r>
          </w:p>
        </w:tc>
        <w:tc>
          <w:tcPr>
            <w:tcW w:type="dxa" w:w="3408"/>
          </w:tcPr>
          <w:p>
            <w:r>
              <w:t>Implementation notes</w:t>
            </w:r>
          </w:p>
        </w:tc>
      </w:tr>
      <w:tr>
        <w:tc>
          <w:tcPr>
            <w:tcW w:type="dxa" w:w="3408"/>
            <w:vAlign w:val="center"/>
          </w:tcPr>
          <w:p>
            <w:r>
              <w:t>Weekday morning commute</w:t>
            </w:r>
          </w:p>
        </w:tc>
        <w:tc>
          <w:tcPr>
            <w:tcW w:type="dxa" w:w="3408"/>
            <w:vAlign w:val="center"/>
          </w:tcPr>
          <w:p>
            <w:r>
              <w:t>Local-route demand generally increases around 07:00–09:00.</w:t>
            </w:r>
          </w:p>
        </w:tc>
        <w:tc>
          <w:tcPr>
            <w:tcW w:type="dxa" w:w="3408"/>
            <w:vAlign w:val="center"/>
          </w:tcPr>
          <w:p>
            <w:r>
              <w:t>Demand varies by route and date; some routes may exceed available capacity.</w:t>
            </w:r>
          </w:p>
        </w:tc>
      </w:tr>
      <w:tr>
        <w:tc>
          <w:tcPr>
            <w:tcW w:type="dxa" w:w="3408"/>
            <w:vAlign w:val="center"/>
          </w:tcPr>
          <w:p>
            <w:r>
              <w:t>Weekday evening commute</w:t>
            </w:r>
          </w:p>
        </w:tc>
        <w:tc>
          <w:tcPr>
            <w:tcW w:type="dxa" w:w="3408"/>
            <w:vAlign w:val="center"/>
          </w:tcPr>
          <w:p>
            <w:r>
              <w:t>Local-route demand generally increases around 16:00–19:00.</w:t>
            </w:r>
          </w:p>
        </w:tc>
        <w:tc>
          <w:tcPr>
            <w:tcW w:type="dxa" w:w="3408"/>
            <w:vAlign w:val="center"/>
          </w:tcPr>
          <w:p>
            <w:r>
              <w:t>Peak intensity is not assumed to be identical across all routes.</w:t>
            </w:r>
          </w:p>
        </w:tc>
      </w:tr>
      <w:tr>
        <w:tc>
          <w:tcPr>
            <w:tcW w:type="dxa" w:w="3408"/>
            <w:vAlign w:val="center"/>
          </w:tcPr>
          <w:p>
            <w:r>
              <w:t>Friday evening</w:t>
            </w:r>
          </w:p>
        </w:tc>
        <w:tc>
          <w:tcPr>
            <w:tcW w:type="dxa" w:w="3408"/>
            <w:vAlign w:val="center"/>
          </w:tcPr>
          <w:p>
            <w:r>
              <w:t>Local demand increases more strongly as people travel within the city and toward transport hubs.</w:t>
            </w:r>
          </w:p>
        </w:tc>
        <w:tc>
          <w:tcPr>
            <w:tcW w:type="dxa" w:w="3408"/>
            <w:vAlign w:val="center"/>
          </w:tcPr>
          <w:p>
            <w:r>
              <w:t>Regional and Intercity demand may also change, but their Friday uplift should be route-specific and generally smaller than the Local uplift where this scenario is intended.</w:t>
            </w:r>
          </w:p>
        </w:tc>
      </w:tr>
      <w:tr>
        <w:tc>
          <w:tcPr>
            <w:tcW w:type="dxa" w:w="3408"/>
            <w:vAlign w:val="center"/>
          </w:tcPr>
          <w:p>
            <w:r>
              <w:t>Festival outbound period</w:t>
            </w:r>
          </w:p>
        </w:tc>
        <w:tc>
          <w:tcPr>
            <w:tcW w:type="dxa" w:w="3408"/>
            <w:vAlign w:val="center"/>
          </w:tcPr>
          <w:p>
            <w:r>
              <w:t>Demand rises before selected holidays, with stronger long-distance demand on Regional and Intercity services; Local routes may also experience increases.</w:t>
            </w:r>
          </w:p>
        </w:tc>
        <w:tc>
          <w:tcPr>
            <w:tcW w:type="dxa" w:w="3408"/>
            <w:vAlign w:val="center"/>
          </w:tcPr>
          <w:p>
            <w:r>
              <w:t>The outbound date windows and multipliers are synthetic scenario settings.</w:t>
            </w:r>
          </w:p>
        </w:tc>
      </w:tr>
      <w:tr>
        <w:tc>
          <w:tcPr>
            <w:tcW w:type="dxa" w:w="3408"/>
            <w:vAlign w:val="center"/>
          </w:tcPr>
          <w:p>
            <w:r>
              <w:t>Festival holiday</w:t>
            </w:r>
          </w:p>
        </w:tc>
        <w:tc>
          <w:tcPr>
            <w:tcW w:type="dxa" w:w="3408"/>
            <w:vAlign w:val="center"/>
          </w:tcPr>
          <w:p>
            <w:r>
              <w:t>Some office- or college-oriented Local corridors may have lower demand, while other Local journeys and intercity travel may continue.</w:t>
            </w:r>
          </w:p>
        </w:tc>
        <w:tc>
          <w:tcPr>
            <w:tcW w:type="dxa" w:w="3408"/>
            <w:vAlign w:val="center"/>
          </w:tcPr>
          <w:p>
            <w:r>
              <w:t>Demand is not assumed to decrease on every Local route.</w:t>
            </w:r>
          </w:p>
        </w:tc>
      </w:tr>
      <w:tr>
        <w:tc>
          <w:tcPr>
            <w:tcW w:type="dxa" w:w="3408"/>
            <w:vAlign w:val="center"/>
          </w:tcPr>
          <w:p>
            <w:r>
              <w:t>Festival return period</w:t>
            </w:r>
          </w:p>
        </w:tc>
        <w:tc>
          <w:tcPr>
            <w:tcW w:type="dxa" w:w="3408"/>
            <w:vAlign w:val="center"/>
          </w:tcPr>
          <w:p>
            <w:r>
              <w:t>Demand increases as passengers return after holidays.</w:t>
            </w:r>
          </w:p>
        </w:tc>
        <w:tc>
          <w:tcPr>
            <w:tcW w:type="dxa" w:w="3408"/>
            <w:vAlign w:val="center"/>
          </w:tcPr>
          <w:p>
            <w:r>
              <w:t>Separate return windows and service-class multipliers are simulated.</w:t>
            </w:r>
          </w:p>
        </w:tc>
      </w:tr>
      <w:tr>
        <w:tc>
          <w:tcPr>
            <w:tcW w:type="dxa" w:w="3408"/>
            <w:vAlign w:val="center"/>
          </w:tcPr>
          <w:p>
            <w:r>
              <w:t>Ordinary and midday periods</w:t>
            </w:r>
          </w:p>
        </w:tc>
        <w:tc>
          <w:tcPr>
            <w:tcW w:type="dxa" w:w="3408"/>
            <w:vAlign w:val="center"/>
          </w:tcPr>
          <w:p>
            <w:r>
              <w:t>Demand is generally below the strongest commute peaks but retains natural variation.</w:t>
            </w:r>
          </w:p>
        </w:tc>
        <w:tc>
          <w:tcPr>
            <w:tcW w:type="dxa" w:w="3408"/>
            <w:vAlign w:val="center"/>
          </w:tcPr>
          <w:p>
            <w:r>
              <w:t>Values are not intended to be constant or zero outside peak periods.</w:t>
            </w:r>
          </w:p>
        </w:tc>
      </w:tr>
    </w:tbl>
    <w:p>
      <w:pPr>
        <w:pStyle w:val="Heading1"/>
      </w:pPr>
      <w:r>
        <w:t>4. Calendar and Festival Assumptions</w:t>
      </w:r>
    </w:p>
    <w:p>
      <w:pPr>
        <w:pStyle w:val="ListBullet"/>
      </w:pPr>
      <w:r>
        <w:t>calendar_events.csv provides date-level calendar and scenario features for 2026, including holiday flags, festival names or phases, and service-class multipliers.</w:t>
      </w:r>
    </w:p>
    <w:p>
      <w:pPr>
        <w:pStyle w:val="ListBullet"/>
      </w:pPr>
      <w:r>
        <w:t>festival_scenario_windows.csv contains 15 configured event-phase windows. The file labels the multipliers and travel-window assumptions as synthetic.</w:t>
      </w:r>
    </w:p>
    <w:p>
      <w:pPr>
        <w:pStyle w:val="ListBullet"/>
      </w:pPr>
      <w:r>
        <w:t>Holiday dates can be used to position simulated outbound, holiday, and return periods. The presence of an official holiday does not establish a measured passenger-demand increase or decrease.</w:t>
      </w:r>
    </w:p>
    <w:p>
      <w:pPr>
        <w:pStyle w:val="ListBullet"/>
      </w:pPr>
      <w:r>
        <w:t>Festival windows and demand multipliers should therefore be interpreted as modelling assumptions, not as official ridership statistics.</w:t>
      </w:r>
    </w:p>
    <w:p>
      <w:pPr>
        <w:pStyle w:val="Heading1"/>
      </w:pPr>
      <w:r>
        <w:t>5. Fleet, Capacity, and Reallocation Assumptions</w:t>
      </w:r>
    </w:p>
    <w:p>
      <w:pPr>
        <w:pStyle w:val="ListBullet"/>
      </w:pPr>
      <w:r>
        <w:t>route_master.csv defines route service class, distance, bus type, capacity per bus, base bus count, and minimum service bus count.</w:t>
      </w:r>
    </w:p>
    <w:p>
      <w:pPr>
        <w:pStyle w:val="ListBullet"/>
      </w:pPr>
      <w:r>
        <w:t>Configured capacity per bus is 55 for Local routes, 52 for Regional routes, and varies by Intercity bus type (including 40, 48, and 32 in the supplied route configuration).</w:t>
      </w:r>
    </w:p>
    <w:p>
      <w:pPr>
        <w:pStyle w:val="ListBullet"/>
      </w:pPr>
      <w:r>
        <w:t>Minimum service bus count represents a lower operational bound. A bus should not be transferred from a donor route if doing so would reduce the route below this minimum.</w:t>
      </w:r>
    </w:p>
    <w:p>
      <w:pPr>
        <w:pStyle w:val="ListBullet"/>
      </w:pPr>
      <w:r>
        <w:t>A bus is treated as a whole vehicle. It cannot be split between routes or assigned to overlapping route/time slots.</w:t>
      </w:r>
    </w:p>
    <w:p>
      <w:pPr>
        <w:pStyle w:val="ListBullet"/>
      </w:pPr>
      <w:r>
        <w:t>Bus-type compatibility, route distance, transfer time, turnaround time, and operational feasibility must be respected. AC and Sleeper buses are restricted to compatible Intercity services.</w:t>
      </w:r>
    </w:p>
    <w:p>
      <w:pPr>
        <w:pStyle w:val="ListBullet"/>
      </w:pPr>
      <w:r>
        <w:t>Reallocation may draw from available depot buses or from a donor route with genuine spare capacity. A donor route should retain sufficient capacity for its own expected demand after the transfer.</w:t>
      </w:r>
    </w:p>
    <w:p>
      <w:pPr>
        <w:pStyle w:val="ListBullet"/>
      </w:pPr>
      <w:r>
        <w:t>When all buses are needed or overcrowded, reallocation cannot create new capacity. The system should report residual unmet demand and identify possible responses, such as arranging additional services or operator intervention.</w:t>
      </w:r>
    </w:p>
    <w:p>
      <w:pPr>
        <w:pStyle w:val="ListBullet"/>
      </w:pPr>
      <w:r>
        <w:t>The dataset contains bus-count and capacity fields; the application code must be checked separately to establish which allocation constraints are implemented.</w:t>
      </w:r>
    </w:p>
    <w:p>
      <w:pPr>
        <w:pStyle w:val="Heading1"/>
      </w:pPr>
      <w:r>
        <w:t>6. Capacity and Demand Calculations</w:t>
      </w:r>
    </w:p>
    <w:p>
      <w:pPr>
        <w:pStyle w:val="ListBullet"/>
      </w:pPr>
      <w:r>
        <w:t>Passenger demand represents the simulated number of passengers expected for a route and time period.</w:t>
      </w:r>
    </w:p>
    <w:p>
      <w:pPr>
        <w:pStyle w:val="ListBullet"/>
      </w:pPr>
      <w:r>
        <w:t>Total capacity should correspond to the number of buses actually available for the route/time multiplied by capacity per bus, subject to any explicitly documented project-specific rule.</w:t>
      </w:r>
    </w:p>
    <w:p>
      <w:pPr>
        <w:pStyle w:val="ListBullet"/>
      </w:pPr>
      <w:r>
        <w:t>Capacity shortage = max(passenger_demand − total_capacity, 0).</w:t>
      </w:r>
    </w:p>
    <w:p>
      <w:pPr>
        <w:pStyle w:val="ListBullet"/>
      </w:pPr>
      <w:r>
        <w:t>Capacity surplus = max(total_capacity − passenger_demand, 0). Surplus is reported separately rather than as a negative shortage.</w:t>
      </w:r>
    </w:p>
    <w:p>
      <w:pPr>
        <w:pStyle w:val="ListBullet"/>
      </w:pPr>
      <w:r>
        <w:t>When demand exceeds capacity, the excess represents unmet or at-risk demand for planning purposes; it must not be interpreted as passengers successfully transported.</w:t>
      </w:r>
    </w:p>
    <w:p>
      <w:pPr>
        <w:pStyle w:val="ListBullet"/>
      </w:pPr>
      <w:r>
        <w:t>For next-hour demand forecasting, the target must be aligned to the next hour within the same route/service sequence. Naturally unavailable end-of-sequence targets should be excluded from training rather than filled with invented values.</w:t>
      </w:r>
    </w:p>
    <w:p>
      <w:pPr>
        <w:pStyle w:val="Heading1"/>
      </w:pPr>
      <w:r>
        <w:t>7. Descriptive Summary of the Synthetic Dataset</w:t>
      </w:r>
    </w:p>
    <w:p>
      <w:r>
        <w:t>The table below summarizes average passenger demand in the supplied hourly dataset. These values describe the simulation only and should not be interpreted as real-world ridership measurements.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Comparison group</w:t>
            </w:r>
          </w:p>
        </w:tc>
        <w:tc>
          <w:tcPr>
            <w:tcW w:type="dxa" w:w="2556"/>
          </w:tcPr>
          <w:p>
            <w:r>
              <w:t>Local mean</w:t>
            </w:r>
          </w:p>
        </w:tc>
        <w:tc>
          <w:tcPr>
            <w:tcW w:type="dxa" w:w="2556"/>
          </w:tcPr>
          <w:p>
            <w:r>
              <w:t>Regional mean</w:t>
            </w:r>
          </w:p>
        </w:tc>
        <w:tc>
          <w:tcPr>
            <w:tcW w:type="dxa" w:w="2556"/>
          </w:tcPr>
          <w:p>
            <w:r>
              <w:t>Intercity mean</w:t>
            </w:r>
          </w:p>
        </w:tc>
      </w:tr>
      <w:tr>
        <w:tc>
          <w:tcPr>
            <w:tcW w:type="dxa" w:w="2556"/>
          </w:tcPr>
          <w:p>
            <w:r>
              <w:t>Peak-hour records</w:t>
            </w:r>
          </w:p>
        </w:tc>
        <w:tc>
          <w:tcPr>
            <w:tcW w:type="dxa" w:w="2556"/>
          </w:tcPr>
          <w:p>
            <w:r>
              <w:t>275.0</w:t>
            </w:r>
          </w:p>
        </w:tc>
        <w:tc>
          <w:tcPr>
            <w:tcW w:type="dxa" w:w="2556"/>
          </w:tcPr>
          <w:p>
            <w:r>
              <w:t>180.2</w:t>
            </w:r>
          </w:p>
        </w:tc>
        <w:tc>
          <w:tcPr>
            <w:tcW w:type="dxa" w:w="2556"/>
          </w:tcPr>
          <w:p>
            <w:r>
              <w:t>60.7</w:t>
            </w:r>
          </w:p>
        </w:tc>
      </w:tr>
      <w:tr>
        <w:tc>
          <w:tcPr>
            <w:tcW w:type="dxa" w:w="2556"/>
          </w:tcPr>
          <w:p>
            <w:r>
              <w:t>Non-peak records</w:t>
            </w:r>
          </w:p>
        </w:tc>
        <w:tc>
          <w:tcPr>
            <w:tcW w:type="dxa" w:w="2556"/>
          </w:tcPr>
          <w:p>
            <w:r>
              <w:t>128.6</w:t>
            </w:r>
          </w:p>
        </w:tc>
        <w:tc>
          <w:tcPr>
            <w:tcW w:type="dxa" w:w="2556"/>
          </w:tcPr>
          <w:p>
            <w:r>
              <w:t>119.2</w:t>
            </w:r>
          </w:p>
        </w:tc>
        <w:tc>
          <w:tcPr>
            <w:tcW w:type="dxa" w:w="2556"/>
          </w:tcPr>
          <w:p>
            <w:r>
              <w:t>55.0</w:t>
            </w:r>
          </w:p>
        </w:tc>
      </w:tr>
      <w:tr>
        <w:tc>
          <w:tcPr>
            <w:tcW w:type="dxa" w:w="2556"/>
          </w:tcPr>
          <w:p>
            <w:r>
              <w:t>Friday evening (16:00–20:00)</w:t>
            </w:r>
          </w:p>
        </w:tc>
        <w:tc>
          <w:tcPr>
            <w:tcW w:type="dxa" w:w="2556"/>
          </w:tcPr>
          <w:p>
            <w:r>
              <w:t>324.5</w:t>
            </w:r>
          </w:p>
        </w:tc>
        <w:tc>
          <w:tcPr>
            <w:tcW w:type="dxa" w:w="2556"/>
          </w:tcPr>
          <w:p>
            <w:r>
              <w:t>232.5</w:t>
            </w:r>
          </w:p>
        </w:tc>
        <w:tc>
          <w:tcPr>
            <w:tcW w:type="dxa" w:w="2556"/>
          </w:tcPr>
          <w:p>
            <w:r>
              <w:t>84.2</w:t>
            </w:r>
          </w:p>
        </w:tc>
      </w:tr>
      <w:tr>
        <w:tc>
          <w:tcPr>
            <w:tcW w:type="dxa" w:w="2556"/>
          </w:tcPr>
          <w:p>
            <w:r>
              <w:t>Other evenings (16:00–20:00)</w:t>
            </w:r>
          </w:p>
        </w:tc>
        <w:tc>
          <w:tcPr>
            <w:tcW w:type="dxa" w:w="2556"/>
          </w:tcPr>
          <w:p>
            <w:r>
              <w:t>250.7</w:t>
            </w:r>
          </w:p>
        </w:tc>
        <w:tc>
          <w:tcPr>
            <w:tcW w:type="dxa" w:w="2556"/>
          </w:tcPr>
          <w:p>
            <w:r>
              <w:t>177.7</w:t>
            </w:r>
          </w:p>
        </w:tc>
        <w:tc>
          <w:tcPr>
            <w:tcW w:type="dxa" w:w="2556"/>
          </w:tcPr>
          <w:p>
            <w:r>
              <w:t>75.1</w:t>
            </w:r>
          </w:p>
        </w:tc>
      </w:tr>
      <w:tr>
        <w:tc>
          <w:tcPr>
            <w:tcW w:type="dxa" w:w="2556"/>
          </w:tcPr>
          <w:p>
            <w:r>
              <w:t>Festival outbound phase</w:t>
            </w:r>
          </w:p>
        </w:tc>
        <w:tc>
          <w:tcPr>
            <w:tcW w:type="dxa" w:w="2556"/>
          </w:tcPr>
          <w:p>
            <w:r>
              <w:t>206.7</w:t>
            </w:r>
          </w:p>
        </w:tc>
        <w:tc>
          <w:tcPr>
            <w:tcW w:type="dxa" w:w="2556"/>
          </w:tcPr>
          <w:p>
            <w:r>
              <w:t>222.2</w:t>
            </w:r>
          </w:p>
        </w:tc>
        <w:tc>
          <w:tcPr>
            <w:tcW w:type="dxa" w:w="2556"/>
          </w:tcPr>
          <w:p>
            <w:r>
              <w:t>102.0</w:t>
            </w:r>
          </w:p>
        </w:tc>
      </w:tr>
      <w:tr>
        <w:tc>
          <w:tcPr>
            <w:tcW w:type="dxa" w:w="2556"/>
          </w:tcPr>
          <w:p>
            <w:r>
              <w:t>Festival return phase</w:t>
            </w:r>
          </w:p>
        </w:tc>
        <w:tc>
          <w:tcPr>
            <w:tcW w:type="dxa" w:w="2556"/>
          </w:tcPr>
          <w:p>
            <w:r>
              <w:t>204.9</w:t>
            </w:r>
          </w:p>
        </w:tc>
        <w:tc>
          <w:tcPr>
            <w:tcW w:type="dxa" w:w="2556"/>
          </w:tcPr>
          <w:p>
            <w:r>
              <w:t>211.0</w:t>
            </w:r>
          </w:p>
        </w:tc>
        <w:tc>
          <w:tcPr>
            <w:tcW w:type="dxa" w:w="2556"/>
          </w:tcPr>
          <w:p>
            <w:r>
              <w:t>98.8</w:t>
            </w:r>
          </w:p>
        </w:tc>
      </w:tr>
      <w:tr>
        <w:tc>
          <w:tcPr>
            <w:tcW w:type="dxa" w:w="2556"/>
          </w:tcPr>
          <w:p>
            <w:r>
              <w:t>Festival holiday phase</w:t>
            </w:r>
          </w:p>
        </w:tc>
        <w:tc>
          <w:tcPr>
            <w:tcW w:type="dxa" w:w="2556"/>
          </w:tcPr>
          <w:p>
            <w:r>
              <w:t>122.2</w:t>
            </w:r>
          </w:p>
        </w:tc>
        <w:tc>
          <w:tcPr>
            <w:tcW w:type="dxa" w:w="2556"/>
          </w:tcPr>
          <w:p>
            <w:r>
              <w:t>161.0</w:t>
            </w:r>
          </w:p>
        </w:tc>
        <w:tc>
          <w:tcPr>
            <w:tcW w:type="dxa" w:w="2556"/>
          </w:tcPr>
          <w:p>
            <w:r>
              <w:t>69.4</w:t>
            </w:r>
          </w:p>
        </w:tc>
      </w:tr>
    </w:tbl>
    <w:p>
      <w:r>
        <w:t>Interpretation: average demand is higher in peak-hour records than in non-peak records. Friday-evening averages are higher than other evenings across all three service classes in the supplied data. Festival outbound and return records also show elevated averages, while holiday-phase Local demand is lower on average. These comparisons describe the current synthetic dataset; they do not validate the assumptions against observed passenger counts.</w:t>
      </w:r>
    </w:p>
    <w:p>
      <w:pPr>
        <w:pStyle w:val="Heading1"/>
      </w:pPr>
      <w:r>
        <w:t>8. Modelling and Operational Limitations</w:t>
      </w:r>
    </w:p>
    <w:p>
      <w:pPr>
        <w:pStyle w:val="ListBullet"/>
      </w:pPr>
      <w:r>
        <w:t>Synthetic demand: the data is designed to mimic plausible patterns and demonstrate analysis, forecasting, and allocation logic. It is not collected from real buses, ticketing systems, passenger counters, or GPS devices.</w:t>
      </w:r>
    </w:p>
    <w:p>
      <w:pPr>
        <w:pStyle w:val="ListBullet"/>
      </w:pPr>
      <w:r>
        <w:t>Demand-pattern uncertainty: peak hours, Friday uplifts, holiday multipliers, and festival travel windows can vary by route, year, location, and event. The configured values are assumptions for the prototype.</w:t>
      </w:r>
    </w:p>
    <w:p>
      <w:pPr>
        <w:pStyle w:val="ListBullet"/>
      </w:pPr>
      <w:r>
        <w:t>Calendar versus demand: a holiday date is a calendar fact; the associated passenger-demand response is a separate modelling assumption.</w:t>
      </w:r>
    </w:p>
    <w:p>
      <w:pPr>
        <w:pStyle w:val="ListBullet"/>
      </w:pPr>
      <w:r>
        <w:t>Fleet state: real deployment would require current fleet status, driver availability, maintenance status, depot location, and realistic transfer and turnaround times.</w:t>
      </w:r>
    </w:p>
    <w:p>
      <w:pPr>
        <w:pStyle w:val="ListBullet"/>
      </w:pPr>
      <w:r>
        <w:t>Forecast uncertainty: Random Forest predictions are estimates and should be evaluated using a chronological holdout set and reported error metrics. Predictions are not guarantees of actual demand.</w:t>
      </w:r>
    </w:p>
    <w:p>
      <w:pPr>
        <w:pStyle w:val="ListBullet"/>
      </w:pPr>
      <w:r>
        <w:t>Capacity-exhausted cases: if all buses are occupied and no safe donor or depot bus exists, the system can identify the shortage but cannot resolve it without additional service or another operational intervention.</w:t>
      </w:r>
    </w:p>
    <w:p>
      <w:pPr>
        <w:pStyle w:val="ListBullet"/>
      </w:pPr>
      <w:r>
        <w:t>Live integrations: no live GPS, traffic, ticketing, or dispatch integration should be assumed unless it has been explicitly connected and tested.</w:t>
      </w:r>
    </w:p>
    <w:p>
      <w:pPr>
        <w:pStyle w:val="Heading1"/>
      </w:pPr>
      <w:r>
        <w:t>9. Summary</w:t>
      </w:r>
    </w:p>
    <w:p>
      <w:r>
        <w:t>The dataset uses synthetic route- and time-based demand patterns to approximate commute peaks, Friday travel, festival outbound and return periods, and capacity constraints. Fleet allocation is intended to respect minimum route service, bus compatibility, and whole-vehicle constraints. The system should expose shortages when the available fleet cannot meet demand and distinguish simulated assumptions from observed operational data. Future calibration against real ridership and fleet records would improve realism and support stronger validation.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