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FFFFFF"/>
          <w:sz w:val="24"/>
          <w:szCs w:val="24"/>
        </w:rPr>
        <w:t xml:space="preserve">AIIA</w:t>
      </w:r>
    </w:p>
    <w:p>
      <w:pPr>
        <w:pBdr>
          <w:bottom w:val="single" w:color="FFFFFF" w:sz="16" w:space="1"/>
        </w:pBdr>
        <w:spacing w:after="80"/>
        <w:jc w:val="center"/>
      </w:pPr>
      <w:r>
        <w:rPr>
          <w:rFonts w:ascii="Times New Roman" w:cs="Times New Roman" w:eastAsia="Times New Roman" w:hAnsi="Times New Roman"/>
          <w:b/>
          <w:bCs/>
          <w:color w:val="FFFFFF"/>
          <w:sz w:val="40"/>
          <w:szCs w:val="40"/>
        </w:rPr>
        <w:t xml:space="preserve">AIIA Annual Report 2029-2030</w:t>
      </w:r>
    </w:p>
    <w:p>
      <w:pPr>
        <w:spacing w:after="240"/>
        <w:jc w:val="center"/>
      </w:pPr>
      <w:r>
        <w:rPr>
          <w:rFonts w:ascii="Times New Roman" w:cs="Times New Roman" w:eastAsia="Times New Roman" w:hAnsi="Times New Roman"/>
          <w:i/>
          <w:iCs/>
          <w:color w:val="DDDDDD"/>
          <w:sz w:val="18"/>
          <w:szCs w:val="18"/>
        </w:rPr>
        <w:t xml:space="preserve">Annual   ·   2029-2030</w:t>
      </w:r>
    </w:p>
    <w:p>
      <w:pPr>
        <w:pageBreakBefore/>
        <w:pBdr>
          <w:bottom w:val="single" w:color="FFFFFF" w:sz="8" w:space="1"/>
        </w:pBdr>
        <w:spacing w:after="240" w:before="0"/>
        <w:jc w:val="center"/>
      </w:pPr>
      <w:r>
        <w:rPr>
          <w:rFonts w:ascii="Times New Roman" w:cs="Times New Roman" w:eastAsia="Times New Roman" w:hAnsi="Times New Roman"/>
          <w:b/>
          <w:bCs/>
          <w:color w:val="FFFFFF"/>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FFFFFF"/>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3</w:t>
      </w:r>
    </w:p>
    <w:p>
      <w:pPr>
        <w:tabs>
          <w:tab w:val="right" w:pos="9026" w:leader="dot"/>
        </w:tabs>
        <w:spacing w:after="90"/>
        <w:ind w:left="0"/>
      </w:pPr>
      <w:r>
        <w:rPr>
          <w:rFonts w:ascii="Times New Roman" w:cs="Times New Roman" w:eastAsia="Times New Roman" w:hAnsi="Times New Roman"/>
          <w:b/>
          <w:bCs/>
          <w:color w:val="FFFFFF"/>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5</w:t>
      </w:r>
    </w:p>
    <w:p>
      <w:pPr>
        <w:tabs>
          <w:tab w:val="right" w:pos="9026" w:leader="dot"/>
        </w:tabs>
        <w:spacing w:after="90"/>
        <w:ind w:left="0"/>
      </w:pPr>
      <w:r>
        <w:rPr>
          <w:rFonts w:ascii="Times New Roman" w:cs="Times New Roman" w:eastAsia="Times New Roman" w:hAnsi="Times New Roman"/>
          <w:b/>
          <w:bCs/>
          <w:color w:val="FFFFFF"/>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7</w:t>
      </w:r>
    </w:p>
    <w:p>
      <w:pPr>
        <w:tabs>
          <w:tab w:val="right" w:pos="9026" w:leader="dot"/>
        </w:tabs>
        <w:spacing w:after="90"/>
        <w:ind w:left="0"/>
      </w:pPr>
      <w:r>
        <w:rPr>
          <w:rFonts w:ascii="Times New Roman" w:cs="Times New Roman" w:eastAsia="Times New Roman" w:hAnsi="Times New Roman"/>
          <w:b/>
          <w:bCs/>
          <w:color w:val="FFFFFF"/>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13</w:t>
      </w:r>
    </w:p>
    <w:p>
      <w:pPr>
        <w:tabs>
          <w:tab w:val="right" w:pos="9026" w:leader="dot"/>
        </w:tabs>
        <w:spacing w:after="90"/>
        <w:ind w:left="0"/>
      </w:pPr>
      <w:r>
        <w:rPr>
          <w:rFonts w:ascii="Times New Roman" w:cs="Times New Roman" w:eastAsia="Times New Roman" w:hAnsi="Times New Roman"/>
          <w:b/>
          <w:bCs/>
          <w:color w:val="FFFFFF"/>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16</w:t>
      </w:r>
    </w:p>
    <w:p>
      <w:pPr>
        <w:tabs>
          <w:tab w:val="right" w:pos="9026" w:leader="dot"/>
        </w:tabs>
        <w:spacing w:after="90"/>
        <w:ind w:left="0"/>
      </w:pPr>
      <w:r>
        <w:rPr>
          <w:rFonts w:ascii="Times New Roman" w:cs="Times New Roman" w:eastAsia="Times New Roman" w:hAnsi="Times New Roman"/>
          <w:b/>
          <w:bCs/>
          <w:color w:val="FFFFFF"/>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1.  PREFACE</w:t>
      </w:r>
    </w:p>
    <w:p>
      <w:pPr>
        <w:spacing w:after="80" w:line="432"/>
      </w:pPr>
      <w:r>
        <w:rPr>
          <w:rFonts w:ascii="Times New Roman" w:cs="Times New Roman" w:eastAsia="Times New Roman" w:hAnsi="Times New Roman"/>
          <w:color w:val="FFFFFF"/>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FFFFFF"/>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FFFFFF"/>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FFFFFF"/>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FFFFFF"/>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FFFFFF"/>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FFFFFF"/>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FFFFFF"/>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Outpatient Services:</w:t>
      </w:r>
      <w:r>
        <w:rPr>
          <w:rFonts w:ascii="Times New Roman" w:cs="Times New Roman" w:eastAsia="Times New Roman" w:hAnsi="Times New Roman"/>
          <w:color w:val="FFFFFF"/>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Inpatient Services:</w:t>
      </w:r>
      <w:r>
        <w:rPr>
          <w:rFonts w:ascii="Times New Roman" w:cs="Times New Roman" w:eastAsia="Times New Roman" w:hAnsi="Times New Roman"/>
          <w:color w:val="FFFFFF"/>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Specialized Procedures:</w:t>
      </w:r>
      <w:r>
        <w:rPr>
          <w:rFonts w:ascii="Times New Roman" w:cs="Times New Roman" w:eastAsia="Times New Roman" w:hAnsi="Times New Roman"/>
          <w:color w:val="FFFFFF"/>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Diagnostics:</w:t>
      </w:r>
      <w:r>
        <w:rPr>
          <w:rFonts w:ascii="Times New Roman" w:cs="Times New Roman" w:eastAsia="Times New Roman" w:hAnsi="Times New Roman"/>
          <w:color w:val="FFFFFF"/>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FFFFFF"/>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FFFFFF"/>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Postgraduate Education:</w:t>
      </w:r>
      <w:r>
        <w:rPr>
          <w:rFonts w:ascii="Times New Roman" w:cs="Times New Roman" w:eastAsia="Times New Roman" w:hAnsi="Times New Roman"/>
          <w:color w:val="FFFFFF"/>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Doctoral Research:</w:t>
      </w:r>
      <w:r>
        <w:rPr>
          <w:rFonts w:ascii="Times New Roman" w:cs="Times New Roman" w:eastAsia="Times New Roman" w:hAnsi="Times New Roman"/>
          <w:color w:val="FFFFFF"/>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Research Projects:</w:t>
      </w:r>
      <w:r>
        <w:rPr>
          <w:rFonts w:ascii="Times New Roman" w:cs="Times New Roman" w:eastAsia="Times New Roman" w:hAnsi="Times New Roman"/>
          <w:color w:val="FFFFFF"/>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Publications:</w:t>
      </w:r>
      <w:r>
        <w:rPr>
          <w:rFonts w:ascii="Times New Roman" w:cs="Times New Roman" w:eastAsia="Times New Roman" w:hAnsi="Times New Roman"/>
          <w:color w:val="FFFFFF"/>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Collaborations:</w:t>
      </w:r>
      <w:r>
        <w:rPr>
          <w:rFonts w:ascii="Times New Roman" w:cs="Times New Roman" w:eastAsia="Times New Roman" w:hAnsi="Times New Roman"/>
          <w:color w:val="FFFFFF"/>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Skill Development:</w:t>
      </w:r>
      <w:r>
        <w:rPr>
          <w:rFonts w:ascii="Times New Roman" w:cs="Times New Roman" w:eastAsia="Times New Roman" w:hAnsi="Times New Roman"/>
          <w:color w:val="FFFFFF"/>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FFFFFF"/>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Infrastructure Development:</w:t>
      </w:r>
      <w:r>
        <w:rPr>
          <w:rFonts w:ascii="Times New Roman" w:cs="Times New Roman" w:eastAsia="Times New Roman" w:hAnsi="Times New Roman"/>
          <w:color w:val="FFFFFF"/>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Goa Campus:</w:t>
      </w:r>
      <w:r>
        <w:rPr>
          <w:rFonts w:ascii="Times New Roman" w:cs="Times New Roman" w:eastAsia="Times New Roman" w:hAnsi="Times New Roman"/>
          <w:color w:val="FFFFFF"/>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&gt;Prof. (Dr.) Sujata Kadam</w:t>
      </w:r>
    </w:p>
    <w:p>
      <w:pPr>
        <w:spacing w:after="80" w:line="432"/>
      </w:pPr>
      <w:r>
        <w:rPr>
          <w:rFonts w:ascii="Times New Roman" w:cs="Times New Roman" w:eastAsia="Times New Roman" w:hAnsi="Times New Roman"/>
          <w:color w:val="FFFFFF"/>
          <w:sz w:val="22"/>
          <w:szCs w:val="22"/>
        </w:rPr>
        <w:t xml:space="preserve">Director (I/c), All India Institute of Ayurveda</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FFFFFF"/>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FFFFFF"/>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3.  MANAGEMENT</w:t>
      </w:r>
    </w:p>
    <w:p>
      <w:pPr>
        <w:spacing w:after="80" w:line="432"/>
      </w:pPr>
      <w:r>
        <w:rPr>
          <w:rFonts w:ascii="Times New Roman" w:cs="Times New Roman" w:eastAsia="Times New Roman" w:hAnsi="Times New Roman"/>
          <w:color w:val="FFFFFF"/>
          <w:sz w:val="22"/>
          <w:szCs w:val="22"/>
        </w:rPr>
        <w:t xml:space="preserve">The All-India Institute of Ayurveda is governed by the following statutory bodies: </w:t>
      </w:r>
      <w:r>
        <w:rPr>
          <w:rFonts w:ascii="Times New Roman" w:cs="Times New Roman" w:eastAsia="Times New Roman" w:hAnsi="Times New Roman"/>
          <w:b/>
          <w:bCs/>
          <w:color w:val="FFFFFF"/>
          <w:sz w:val="22"/>
          <w:szCs w:val="22"/>
        </w:rPr>
        <w:t xml:space="preserve">General Body (GB), </w:t>
      </w:r>
      <w:r>
        <w:rPr>
          <w:rFonts w:ascii="Times New Roman" w:cs="Times New Roman" w:eastAsia="Times New Roman" w:hAnsi="Times New Roman"/>
          <w:b/>
          <w:bCs/>
          <w:color w:val="FFFFFF"/>
          <w:sz w:val="22"/>
          <w:szCs w:val="22"/>
        </w:rPr>
        <w:t xml:space="preserve">Executive Council (EC), </w:t>
      </w:r>
      <w:r>
        <w:rPr>
          <w:rFonts w:ascii="Times New Roman" w:cs="Times New Roman" w:eastAsia="Times New Roman" w:hAnsi="Times New Roman"/>
          <w:b/>
          <w:bCs/>
          <w:color w:val="FFFFFF"/>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E0E0E0"/>
          <w:sz w:val="24"/>
          <w:szCs w:val="24"/>
        </w:rPr>
        <w:t xml:space="preserve">Governing Body:</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President</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Devinder Triguna, Nominated Member by Ministry of Ayush</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Hoveyda Abbas,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Vijay Vishwanath Doiphode, Director, Ayurveda Rashashala Foundation</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12</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N.K. Manjunath, Vice Chancellor, S-VYASA Yoga University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13</w:t>
            </w:r>
          </w:p>
        </w:tc>
        <w:tc>
          <w:tcPr>
            <w:tcW w:type="dxa" w:w="3006"/>
          </w:tcPr>
          <w:p>
            <w:pPr>
              <w:spacing w:after="0"/>
            </w:pPr>
            <w:r>
              <w:rPr>
                <w:rFonts w:ascii="Times New Roman" w:cs="Times New Roman" w:eastAsia="Times New Roman" w:hAnsi="Times New Roman"/>
                <w:color w:val="FFFFFF"/>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w:t>
            </w:r>
          </w:p>
        </w:tc>
        <w:tc>
          <w:tcPr>
            <w:tcW w:type="dxa" w:w="3006"/>
            <w:shd w:fill="222222" w:val="clear"/>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15</w:t>
            </w:r>
          </w:p>
        </w:tc>
        <w:tc>
          <w:tcPr>
            <w:tcW w:type="dxa" w:w="3006"/>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16</w:t>
            </w:r>
          </w:p>
        </w:tc>
        <w:tc>
          <w:tcPr>
            <w:tcW w:type="dxa" w:w="3006"/>
            <w:shd w:fill="222222" w:val="clear"/>
          </w:tcPr>
          <w:p>
            <w:pPr>
              <w:spacing w:after="0"/>
            </w:pPr>
            <w:r>
              <w:rPr>
                <w:rFonts w:ascii="Times New Roman" w:cs="Times New Roman" w:eastAsia="Times New Roman" w:hAnsi="Times New Roman"/>
                <w:color w:val="FFFFFF"/>
                <w:sz w:val="20"/>
                <w:szCs w:val="20"/>
              </w:rPr>
              <w:t xml:space="preserve">Representative of Department of Biotechnology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17</w:t>
            </w:r>
          </w:p>
        </w:tc>
        <w:tc>
          <w:tcPr>
            <w:tcW w:type="dxa" w:w="3006"/>
          </w:tcPr>
          <w:p>
            <w:pPr>
              <w:spacing w:after="0"/>
            </w:pPr>
            <w:r>
              <w:rPr>
                <w:rFonts w:ascii="Times New Roman" w:cs="Times New Roman" w:eastAsia="Times New Roman" w:hAnsi="Times New Roman"/>
                <w:color w:val="FFFFFF"/>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18</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(Dr.) Manjusha Rajagopala, Director (I/C), All India Institute of Ayurveda</w:t>
            </w:r>
          </w:p>
        </w:tc>
        <w:tc>
          <w:tcPr>
            <w:tcW w:type="dxa" w:w="3006"/>
            <w:shd w:fill="222222" w:val="clear"/>
          </w:tcPr>
          <w:p>
            <w:pPr>
              <w:spacing w:after="0"/>
            </w:pPr>
            <w:r>
              <w:rPr>
                <w:rFonts w:ascii="Times New Roman" w:cs="Times New Roman" w:eastAsia="Times New Roman" w:hAnsi="Times New Roman"/>
                <w:color w:val="FFFFFF"/>
                <w:sz w:val="20"/>
                <w:szCs w:val="20"/>
              </w:rPr>
              <w:t xml:space="preserve">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Executive Council:</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Davendra Triguna, President, Ayurved Mahasammelan,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B.K Singh, Joint Secretary, Ministry of Ayush, Govt. of India</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M Srinivas, Director, All India Institute of Medical Sciences,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Dulal Panda, Professor, National Institute for Pharmaceutical Education and Research (NIPER)</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Standing Finance Committee:</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or his representative,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Smt. Jaspal Kaur Pradyut, The Chief Controller of Accounts,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Padma Srivastava, AIIMS,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List of Faculty Positions as on 31st March 2025 at AIIA, New Delhi</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Name</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Dr. Tanuja Manoj Nesari</w:t>
            </w:r>
          </w:p>
        </w:tc>
        <w:tc>
          <w:tcPr>
            <w:tcW w:type="dxa" w:w="4510"/>
          </w:tcPr>
          <w:p>
            <w:pPr>
              <w:spacing w:after="0"/>
            </w:pPr>
            <w:r>
              <w:rPr>
                <w:rFonts w:ascii="Times New Roman" w:cs="Times New Roman" w:eastAsia="Times New Roman" w:hAnsi="Times New Roman"/>
                <w:color w:val="FFFFFF"/>
                <w:sz w:val="20"/>
                <w:szCs w:val="20"/>
              </w:rPr>
              <w:t xml:space="preserve">Professor / Director (Till 31.10.2024)</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Sujata Dhanajirao Kadam</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Pradeep Kumar Prajapati</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Manjusha Rajagopala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Maheshkumar Shivnarayan Vyas</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Jonah Sandrepogu</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Anandaraman P V</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Yogesh Rajendra Badwe</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Sarita Vilas Ohol</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Meda Mruthyumjaya Rao</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Vittal Govindappa Huddar</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Rama Kant Yadava</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Kamini Dhiman</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Santoshkumar Bankatlalji Bhatted</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Vyasadeva Mahanta</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Rajgopala Shrikrishna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Galib</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Meera Keshavlal Bhojani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Shivakumar Shankar Harti</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Narayan Giriyappa Bavalatti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Meena Shamrao Deogade</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Vivek Agarwal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Arun Kumar Mahapatra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Rajaram Jagat Mahto</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Prasanth Dharmarajan</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Meenakshi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Pramod Ratiram Yadav</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Divya Kajaria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Pankaj Kundal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Shivani Ghildiyal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Shalini Rai</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Swati Vinayak Gaikwad</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Ramesh Kumar Kl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Rinky Thakur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Ramavtar Sharma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Awadhesh Kumar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Shekhar Gopalrao Uike</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Kamal Kumar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Garima Srivastava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Nidhi Sharma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Ankur Tripathi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Rashmi R Bhise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 Neelayathatchi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Prashant Kumar Gupta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Laxmi Maharana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Sushma Kumari</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Praveen Kumar K S</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Rupashri Nath</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Meeta Jhala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Amrish Prakash Dedge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Swapnil Yashwant Chaudhari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Bidhan Mahajon</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FFFFFF"/>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FFFFFF"/>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FFFFFF"/>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5.  HOSPITAL AND PATIENT CARE</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FFFFFF"/>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(a) Out Patient Department (OPD)</w:t>
      </w:r>
    </w:p>
    <w:p>
      <w:pPr>
        <w:spacing w:after="80" w:line="432"/>
        <w:jc w:val="both"/>
      </w:pPr>
      <w:r>
        <w:rPr>
          <w:rFonts w:ascii="Times New Roman" w:cs="Times New Roman" w:eastAsia="Times New Roman" w:hAnsi="Times New Roman"/>
          <w:color w:val="FFFFFF"/>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Specialty Clinical Services</w:t>
      </w:r>
    </w:p>
    <w:p>
      <w:pPr>
        <w:spacing w:after="80" w:line="432"/>
        <w:jc w:val="both"/>
      </w:pPr>
      <w:r>
        <w:rPr>
          <w:rFonts w:ascii="Times New Roman" w:cs="Times New Roman" w:eastAsia="Times New Roman" w:hAnsi="Times New Roman"/>
          <w:color w:val="FFFFFF"/>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F0F0F0"/>
          <w:sz w:val="28"/>
          <w:szCs w:val="28"/>
        </w:rPr>
        <w:t xml:space="preserve">I. Specialty OPD's at AIIA:</w:t>
      </w:r>
    </w:p>
    <w:p>
      <w:pPr>
        <w:spacing w:after="60" w:before="100"/>
      </w:pPr>
      <w:r>
        <w:rPr>
          <w:rFonts w:ascii="Times New Roman" w:cs="Times New Roman" w:eastAsia="Times New Roman" w:hAnsi="Times New Roman"/>
          <w:b/>
          <w:bCs/>
          <w:color w:val="E0E0E0"/>
          <w:sz w:val="24"/>
          <w:szCs w:val="24"/>
        </w:rPr>
        <w:t xml:space="preserve">Specialized Health Care Clinics:</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A-</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w:t>
            </w:r>
          </w:p>
        </w:tc>
        <w:tc>
          <w:tcPr>
            <w:tcW w:type="dxa" w:w="4510"/>
          </w:tcPr>
          <w:p>
            <w:pPr>
              <w:spacing w:after="0"/>
            </w:pPr>
            <w:r>
              <w:rPr>
                <w:rFonts w:ascii="Times New Roman" w:cs="Times New Roman" w:eastAsia="Times New Roman" w:hAnsi="Times New Roman"/>
                <w:color w:val="FFFFFF"/>
                <w:sz w:val="20"/>
                <w:szCs w:val="20"/>
              </w:rPr>
              <w:t xml:space="preserve">Cardiorespiratory care &amp; General Kayachikitsa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2</w:t>
            </w:r>
          </w:p>
        </w:tc>
        <w:tc>
          <w:tcPr>
            <w:tcW w:type="dxa" w:w="4510"/>
            <w:shd w:fill="222222" w:val="clear"/>
          </w:tcPr>
          <w:p>
            <w:pPr>
              <w:spacing w:after="0"/>
            </w:pPr>
            <w:r>
              <w:rPr>
                <w:rFonts w:ascii="Times New Roman" w:cs="Times New Roman" w:eastAsia="Times New Roman" w:hAnsi="Times New Roman"/>
                <w:color w:val="FFFFFF"/>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3</w:t>
            </w:r>
          </w:p>
        </w:tc>
        <w:tc>
          <w:tcPr>
            <w:tcW w:type="dxa" w:w="4510"/>
          </w:tcPr>
          <w:p>
            <w:pPr>
              <w:spacing w:after="0"/>
            </w:pPr>
            <w:r>
              <w:rPr>
                <w:rFonts w:ascii="Times New Roman" w:cs="Times New Roman" w:eastAsia="Times New Roman" w:hAnsi="Times New Roman"/>
                <w:color w:val="FFFFFF"/>
                <w:sz w:val="20"/>
                <w:szCs w:val="20"/>
              </w:rPr>
              <w:t xml:space="preserve">Rheumatology &amp; Musculoskeletal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4</w:t>
            </w:r>
          </w:p>
        </w:tc>
        <w:tc>
          <w:tcPr>
            <w:tcW w:type="dxa" w:w="4510"/>
            <w:shd w:fill="222222" w:val="clear"/>
          </w:tcPr>
          <w:p>
            <w:pPr>
              <w:spacing w:after="0"/>
            </w:pPr>
            <w:r>
              <w:rPr>
                <w:rFonts w:ascii="Times New Roman" w:cs="Times New Roman" w:eastAsia="Times New Roman" w:hAnsi="Times New Roman"/>
                <w:color w:val="FFFFFF"/>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5</w:t>
            </w:r>
          </w:p>
        </w:tc>
        <w:tc>
          <w:tcPr>
            <w:tcW w:type="dxa" w:w="4510"/>
          </w:tcPr>
          <w:p>
            <w:pPr>
              <w:spacing w:after="0"/>
            </w:pPr>
            <w:r>
              <w:rPr>
                <w:rFonts w:ascii="Times New Roman" w:cs="Times New Roman" w:eastAsia="Times New Roman" w:hAnsi="Times New Roman"/>
                <w:color w:val="FFFFFF"/>
                <w:sz w:val="20"/>
                <w:szCs w:val="20"/>
              </w:rPr>
              <w:t xml:space="preserve">Diabetes &amp; Metabolic/ Disorders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6</w:t>
            </w:r>
          </w:p>
        </w:tc>
        <w:tc>
          <w:tcPr>
            <w:tcW w:type="dxa" w:w="4510"/>
            <w:shd w:fill="222222" w:val="clear"/>
          </w:tcPr>
          <w:p>
            <w:pPr>
              <w:spacing w:after="0"/>
            </w:pPr>
            <w:r>
              <w:rPr>
                <w:rFonts w:ascii="Times New Roman" w:cs="Times New Roman" w:eastAsia="Times New Roman" w:hAnsi="Times New Roman"/>
                <w:color w:val="FFFFFF"/>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7</w:t>
            </w:r>
          </w:p>
        </w:tc>
        <w:tc>
          <w:tcPr>
            <w:tcW w:type="dxa" w:w="4510"/>
          </w:tcPr>
          <w:p>
            <w:pPr>
              <w:spacing w:after="0"/>
            </w:pPr>
            <w:r>
              <w:rPr>
                <w:rFonts w:ascii="Times New Roman" w:cs="Times New Roman" w:eastAsia="Times New Roman" w:hAnsi="Times New Roman"/>
                <w:color w:val="FFFFFF"/>
                <w:sz w:val="20"/>
                <w:szCs w:val="20"/>
              </w:rPr>
              <w:t xml:space="preserve">Skin Care/General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8</w:t>
            </w:r>
          </w:p>
        </w:tc>
        <w:tc>
          <w:tcPr>
            <w:tcW w:type="dxa" w:w="4510"/>
            <w:shd w:fill="222222" w:val="clear"/>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9</w:t>
            </w:r>
          </w:p>
        </w:tc>
        <w:tc>
          <w:tcPr>
            <w:tcW w:type="dxa" w:w="4510"/>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10</w:t>
            </w:r>
          </w:p>
        </w:tc>
        <w:tc>
          <w:tcPr>
            <w:tcW w:type="dxa" w:w="4510"/>
            <w:shd w:fill="222222" w:val="clear"/>
          </w:tcPr>
          <w:p>
            <w:pPr>
              <w:spacing w:after="0"/>
            </w:pPr>
            <w:r>
              <w:rPr>
                <w:rFonts w:ascii="Times New Roman" w:cs="Times New Roman" w:eastAsia="Times New Roman" w:hAnsi="Times New Roman"/>
                <w:color w:val="FFFFFF"/>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Ay. Nephrology Unit (Every Thursday)</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B-</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Swasthavritta (Lifestyle, Dietetics &amp; Yoga)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12</w:t>
            </w:r>
          </w:p>
        </w:tc>
        <w:tc>
          <w:tcPr>
            <w:tcW w:type="dxa" w:w="4510"/>
            <w:shd w:fill="222222" w:val="clear"/>
          </w:tcPr>
          <w:p>
            <w:pPr>
              <w:spacing w:after="0"/>
            </w:pPr>
            <w:r>
              <w:rPr>
                <w:rFonts w:ascii="Times New Roman" w:cs="Times New Roman" w:eastAsia="Times New Roman" w:hAnsi="Times New Roman"/>
                <w:color w:val="FFFFFF"/>
                <w:sz w:val="20"/>
                <w:szCs w:val="20"/>
              </w:rPr>
              <w:t xml:space="preserve">Yoga (09AM to 10AM) &amp; 3:30PM to 4:30PM)</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C-</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14</w:t>
            </w:r>
          </w:p>
        </w:tc>
        <w:tc>
          <w:tcPr>
            <w:tcW w:type="dxa" w:w="4510"/>
          </w:tcPr>
          <w:p>
            <w:pPr>
              <w:spacing w:after="0"/>
            </w:pPr>
            <w:r>
              <w:rPr>
                <w:rFonts w:ascii="Times New Roman" w:cs="Times New Roman" w:eastAsia="Times New Roman" w:hAnsi="Times New Roman"/>
                <w:color w:val="FFFFFF"/>
                <w:sz w:val="20"/>
                <w:szCs w:val="20"/>
              </w:rPr>
              <w:t xml:space="preserve">EYE-Shalakya Netra Roga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15</w:t>
            </w:r>
          </w:p>
        </w:tc>
        <w:tc>
          <w:tcPr>
            <w:tcW w:type="dxa" w:w="4510"/>
            <w:shd w:fill="222222" w:val="clear"/>
          </w:tcPr>
          <w:p>
            <w:pPr>
              <w:spacing w:after="0"/>
            </w:pPr>
            <w:r>
              <w:rPr>
                <w:rFonts w:ascii="Times New Roman" w:cs="Times New Roman" w:eastAsia="Times New Roman" w:hAnsi="Times New Roman"/>
                <w:color w:val="FFFFFF"/>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16</w:t>
            </w:r>
          </w:p>
        </w:tc>
        <w:tc>
          <w:tcPr>
            <w:tcW w:type="dxa" w:w="4510"/>
          </w:tcPr>
          <w:p>
            <w:pPr>
              <w:spacing w:after="0"/>
            </w:pPr>
            <w:r>
              <w:rPr>
                <w:rFonts w:ascii="Times New Roman" w:cs="Times New Roman" w:eastAsia="Times New Roman" w:hAnsi="Times New Roman"/>
                <w:color w:val="FFFFFF"/>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Admission and discharge 2024-2025</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6.  OTHER IMPORTANT INITIATIVES</w:t>
      </w:r>
    </w:p>
    <w:p>
      <w:pPr>
        <w:spacing w:after="60" w:before="140"/>
      </w:pPr>
      <w:r>
        <w:rPr>
          <w:rFonts w:ascii="Times New Roman" w:cs="Times New Roman" w:eastAsia="Times New Roman" w:hAnsi="Times New Roman"/>
          <w:b/>
          <w:bCs/>
          <w:color w:val="F0F0F0"/>
          <w:sz w:val="28"/>
          <w:szCs w:val="28"/>
        </w:rPr>
        <w:t xml:space="preserve">AYURVEDA INNOVATION AND ENTREPRENEURSHIP (AIIA-iCAINE)</w:t>
      </w:r>
    </w:p>
    <w:p>
      <w:pPr>
        <w:spacing w:after="80" w:line="432"/>
      </w:pPr>
      <w:r>
        <w:rPr>
          <w:rFonts w:ascii="Times New Roman" w:cs="Times New Roman" w:eastAsia="Times New Roman" w:hAnsi="Times New Roman"/>
          <w:color w:val="FFFFFF"/>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FFFFFF"/>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FFFFFF"/>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FFFFFF"/>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FFFFFF"/>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FFFFFF"/>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FFFFFF"/>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FFFFFF"/>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FFFFFF"/>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FFFFFF"/>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FFFFFF"/>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FFFFFF"/>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FFFFFF"/>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FFFFFF"/>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working draft of the Incubation Policy Manual is ready.</w:t>
      </w:r>
    </w:p>
    <w:p>
      <w:pPr>
        <w:spacing w:after="80" w:line="432"/>
      </w:pPr>
      <w:r>
        <w:rPr>
          <w:rFonts w:ascii="Times New Roman" w:cs="Times New Roman" w:eastAsia="Times New Roman" w:hAnsi="Times New Roman"/>
          <w:color w:val="FFFFFF"/>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FFFFFF"/>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FFFFFF"/>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initiated the Navapravarthan Idea Hackathon.</w:t>
      </w:r>
    </w:p>
    <w:p>
      <w:pPr>
        <w:spacing w:after="80" w:line="432"/>
      </w:pPr>
      <w:r>
        <w:rPr>
          <w:rFonts w:ascii="Times New Roman" w:cs="Times New Roman" w:eastAsia="Times New Roman" w:hAnsi="Times New Roman"/>
          <w:color w:val="FFFFFF"/>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FFFFFF"/>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F0F0F0"/>
          <w:sz w:val="28"/>
          <w:szCs w:val="28"/>
        </w:rPr>
        <w:t xml:space="preserve">Events Organized</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Date</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Event</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11–12
September
2024</w:t>
            </w:r>
          </w:p>
        </w:tc>
        <w:tc>
          <w:tcPr>
            <w:tcW w:type="dxa" w:w="3006"/>
          </w:tcPr>
          <w:p>
            <w:pPr>
              <w:spacing w:after="0"/>
            </w:pPr>
            <w:r>
              <w:rPr>
                <w:rFonts w:ascii="Times New Roman" w:cs="Times New Roman" w:eastAsia="Times New Roman" w:hAnsi="Times New Roman"/>
                <w:color w:val="FFFFFF"/>
                <w:sz w:val="20"/>
                <w:szCs w:val="20"/>
              </w:rPr>
              <w:t xml:space="preserve">MSME Idea Hackathon 4.0 – Kickoff</w:t>
            </w:r>
          </w:p>
        </w:tc>
        <w:tc>
          <w:tcPr>
            <w:tcW w:type="dxa" w:w="3006"/>
          </w:tcPr>
          <w:p>
            <w:pPr>
              <w:spacing w:after="0"/>
            </w:pPr>
            <w:r>
              <w:rPr>
                <w:rFonts w:ascii="Times New Roman" w:cs="Times New Roman" w:eastAsia="Times New Roman" w:hAnsi="Times New Roman"/>
                <w:color w:val="FFFFFF"/>
                <w:sz w:val="20"/>
                <w:szCs w:val="20"/>
              </w:rPr>
              <w:t xml:space="preserve">National-level competition hosted
by AIIA-iCAINE; ideas evaluated
by expert panels.</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 December
2024</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The
Biological Diversity Act and its Relevance in
Utilisation of Biological Resources for
Research and Commercial Use</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28 December
2024</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FFFFFF"/>
                <w:sz w:val="20"/>
                <w:szCs w:val="20"/>
              </w:rPr>
              <w:t xml:space="preserve">Speaker: Dr. Nimin Sreedhar,
Entrepreneur and Founder, The
Dravya App.</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11 January
2025</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From
Idea to Execution: A Beginner’s Guide to
Start-ups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16 January
2025</w:t>
            </w:r>
          </w:p>
        </w:tc>
        <w:tc>
          <w:tcPr>
            <w:tcW w:type="dxa" w:w="3006"/>
          </w:tcPr>
          <w:p>
            <w:pPr>
              <w:spacing w:after="0"/>
            </w:pPr>
            <w:r>
              <w:rPr>
                <w:rFonts w:ascii="Times New Roman" w:cs="Times New Roman" w:eastAsia="Times New Roman" w:hAnsi="Times New Roman"/>
                <w:color w:val="FFFFFF"/>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FFFFFF"/>
                <w:sz w:val="20"/>
                <w:szCs w:val="20"/>
              </w:rPr>
              <w:t xml:space="preserve">Speakers: Mr. Ujjwal Bhardwaj,
Founder &amp; CEO, Electrifuel, and
Mr. Sujith Eranezhath, CEO,
iCAINE-AIIA.</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22 February
2025 </w:t>
            </w:r>
          </w:p>
        </w:tc>
        <w:tc>
          <w:tcPr>
            <w:tcW w:type="dxa" w:w="3006"/>
            <w:shd w:fill="222222" w:val="clear"/>
          </w:tcPr>
          <w:p>
            <w:pPr>
              <w:spacing w:after="0"/>
            </w:pPr>
            <w:r>
              <w:rPr>
                <w:rFonts w:ascii="Times New Roman" w:cs="Times New Roman" w:eastAsia="Times New Roman" w:hAnsi="Times New Roman"/>
                <w:color w:val="FFFFFF"/>
                <w:sz w:val="20"/>
                <w:szCs w:val="20"/>
              </w:rPr>
              <w:t xml:space="preserve">Legal &amp; Regulatory Aspects of Start-ups and
their Impact on Ayurveda Enterprises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22 March
2025</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FFFFFF"/>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FFFFFF"/>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FFFFFF"/>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FFFFFF"/>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FFFFFF"/>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FFFFFF"/>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FFFFFF"/>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FFFFFF"/>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FFFFFF"/>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FFFFFF"/>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Times New Roman" w:cs="Times New Roman" w:eastAsia="Times New Roman" w:hAnsi="Times New Roman"/>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Times New Roman" w:cs="Times New Roman" w:eastAsia="Times New Roman" w:hAnsi="Times New Roman"/>
        <w:color w:val="CCCCCC"/>
        <w:sz w:val="15"/>
        <w:szCs w:val="15"/>
      </w:rPr>
      <w:t xml:space="preserve">Annual  2029-2030</w:t>
    </w:r>
    <w:r>
      <w:rPr>
        <w:sz w:val="15"/>
        <w:szCs w:val="15"/>
      </w:rPr>
      <w:t xml:space="preserve">	</w:t>
    </w:r>
    <w:r>
      <w:rPr>
        <w:rFonts w:ascii="Times New Roman" w:cs="Times New Roman" w:eastAsia="Times New Roman" w:hAnsi="Times New Roman"/>
        <w:color w:val="CCCCCC"/>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2026-06-25T14:53:47.796Z</dcterms:created>
  <dcterms:modified xsi:type="dcterms:W3CDTF">2026-06-25T14:53:47.796Z</dcterms:modified>
</cp:coreProperties>
</file>

<file path=docProps/custom.xml><?xml version="1.0" encoding="utf-8"?>
<Properties xmlns="http://schemas.openxmlformats.org/officeDocument/2006/custom-properties" xmlns:vt="http://schemas.openxmlformats.org/officeDocument/2006/docPropsVTypes"/>
</file>