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FFFFFF"/>
          <w:sz w:val="24"/>
          <w:szCs w:val="24"/>
        </w:rPr>
        <w:t xml:space="preserve">AIIA</w:t>
      </w:r>
    </w:p>
    <w:p>
      <w:pPr>
        <w:pBdr>
          <w:bottom w:val="single" w:color="FFFFFF" w:sz="16" w:space="1"/>
        </w:pBdr>
        <w:spacing w:after="80"/>
        <w:jc w:val="center"/>
      </w:pPr>
      <w:r>
        <w:rPr>
          <w:rFonts w:ascii="Times New Roman" w:cs="Times New Roman" w:eastAsia="Times New Roman" w:hAnsi="Times New Roman"/>
          <w:b/>
          <w:bCs/>
          <w:color w:val="FFFFFF"/>
          <w:sz w:val="40"/>
          <w:szCs w:val="40"/>
        </w:rPr>
        <w:t xml:space="preserve">AIIA Annual Report 2029-2030</w:t>
      </w:r>
    </w:p>
    <w:p>
      <w:pPr>
        <w:spacing w:after="240"/>
        <w:jc w:val="center"/>
      </w:pPr>
      <w:r>
        <w:rPr>
          <w:rFonts w:ascii="Times New Roman" w:cs="Times New Roman" w:eastAsia="Times New Roman" w:hAnsi="Times New Roman"/>
          <w:i/>
          <w:iCs/>
          <w:color w:val="DDDDDD"/>
          <w:sz w:val="18"/>
          <w:szCs w:val="18"/>
        </w:rPr>
        <w:t xml:space="preserve">Annual   ·   2029-2030</w:t>
      </w:r>
    </w:p>
    <w:p>
      <w:pPr>
        <w:pageBreakBefore/>
        <w:pBdr>
          <w:bottom w:val="single" w:color="FFFFFF" w:sz="8" w:space="1"/>
        </w:pBdr>
        <w:spacing w:after="240" w:before="0"/>
        <w:jc w:val="center"/>
      </w:pPr>
      <w:r>
        <w:rPr>
          <w:rFonts w:ascii="Times New Roman" w:cs="Times New Roman" w:eastAsia="Times New Roman" w:hAnsi="Times New Roman"/>
          <w:b/>
          <w:bCs/>
          <w:color w:val="FFFFFF"/>
          <w:sz w:val="28"/>
          <w:szCs w:val="28"/>
        </w:rPr>
        <w:t xml:space="preserve">TABLE OF CONTENTS</w:t>
      </w:r>
    </w:p>
    <w:p>
      <w:pPr>
        <w:tabs>
          <w:tab w:val="right" w:pos="9026" w:leader="dot"/>
        </w:tabs>
        <w:spacing w:after="90"/>
        <w:ind w:left="0"/>
      </w:pPr>
      <w:r>
        <w:rPr>
          <w:rFonts w:ascii="Times New Roman" w:cs="Times New Roman" w:eastAsia="Times New Roman" w:hAnsi="Times New Roman"/>
          <w:b/>
          <w:bCs/>
          <w:color w:val="FFFFFF"/>
          <w:sz w:val="22"/>
          <w:szCs w:val="22"/>
        </w:rPr>
        <w:t xml:space="preserve">1   PREFACE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3</w:t>
      </w:r>
    </w:p>
    <w:p>
      <w:pPr>
        <w:tabs>
          <w:tab w:val="right" w:pos="9026" w:leader="dot"/>
        </w:tabs>
        <w:spacing w:after="90"/>
        <w:ind w:left="0"/>
      </w:pPr>
      <w:r>
        <w:rPr>
          <w:rFonts w:ascii="Times New Roman" w:cs="Times New Roman" w:eastAsia="Times New Roman" w:hAnsi="Times New Roman"/>
          <w:b/>
          <w:bCs/>
          <w:color w:val="FFFFFF"/>
          <w:sz w:val="22"/>
          <w:szCs w:val="22"/>
        </w:rPr>
        <w:t xml:space="preserve">2   BACKGROUND</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5</w:t>
      </w:r>
    </w:p>
    <w:p>
      <w:pPr>
        <w:tabs>
          <w:tab w:val="right" w:pos="9026" w:leader="dot"/>
        </w:tabs>
        <w:spacing w:after="90"/>
        <w:ind w:left="0"/>
      </w:pPr>
      <w:r>
        <w:rPr>
          <w:rFonts w:ascii="Times New Roman" w:cs="Times New Roman" w:eastAsia="Times New Roman" w:hAnsi="Times New Roman"/>
          <w:b/>
          <w:bCs/>
          <w:color w:val="FFFFFF"/>
          <w:sz w:val="22"/>
          <w:szCs w:val="22"/>
        </w:rPr>
        <w:t xml:space="preserve">3   MANAGEMENT</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7</w:t>
      </w:r>
    </w:p>
    <w:p>
      <w:pPr>
        <w:tabs>
          <w:tab w:val="right" w:pos="9026" w:leader="dot"/>
        </w:tabs>
        <w:spacing w:after="90"/>
        <w:ind w:left="0"/>
      </w:pPr>
      <w:r>
        <w:rPr>
          <w:rFonts w:ascii="Times New Roman" w:cs="Times New Roman" w:eastAsia="Times New Roman" w:hAnsi="Times New Roman"/>
          <w:b/>
          <w:bCs/>
          <w:color w:val="FFFFFF"/>
          <w:sz w:val="22"/>
          <w:szCs w:val="22"/>
        </w:rPr>
        <w:t xml:space="preserve">4   IMPORTANT MILESTONES 2024-25</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13</w:t>
      </w:r>
    </w:p>
    <w:p>
      <w:pPr>
        <w:tabs>
          <w:tab w:val="right" w:pos="9026" w:leader="dot"/>
        </w:tabs>
        <w:spacing w:after="90"/>
        <w:ind w:left="0"/>
      </w:pPr>
      <w:r>
        <w:rPr>
          <w:rFonts w:ascii="Times New Roman" w:cs="Times New Roman" w:eastAsia="Times New Roman" w:hAnsi="Times New Roman"/>
          <w:b/>
          <w:bCs/>
          <w:color w:val="FFFFFF"/>
          <w:sz w:val="22"/>
          <w:szCs w:val="22"/>
        </w:rPr>
        <w:t xml:space="preserve">5   HOSPITAL AND PATIENT CARE</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16</w:t>
      </w:r>
    </w:p>
    <w:p>
      <w:pPr>
        <w:tabs>
          <w:tab w:val="right" w:pos="9026" w:leader="dot"/>
        </w:tabs>
        <w:spacing w:after="90"/>
        <w:ind w:left="0"/>
      </w:pPr>
      <w:r>
        <w:rPr>
          <w:rFonts w:ascii="Times New Roman" w:cs="Times New Roman" w:eastAsia="Times New Roman" w:hAnsi="Times New Roman"/>
          <w:b/>
          <w:bCs/>
          <w:color w:val="FFFFFF"/>
          <w:sz w:val="22"/>
          <w:szCs w:val="22"/>
        </w:rPr>
        <w:t xml:space="preserve">6   OTHER IMPORTANT INITIATIVES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color w:val="FFFFFF"/>
          <w:sz w:val="22"/>
          <w:szCs w:val="22"/>
        </w:rPr>
        <w:t xml:space="preserve">19</w:t>
      </w:r>
    </w:p>
    <w:p>
      <w:pPr>
        <w:spacing w:after="60"/>
      </w:pPr>
      <w:r>
        <w:t xml:space="preserve"/>
      </w: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1.  PREFACE</w:t>
      </w:r>
    </w:p>
    <w:p>
      <w:pPr>
        <w:spacing w:after="80" w:line="432"/>
      </w:pPr>
      <w:r>
        <w:rPr>
          <w:rFonts w:ascii="Times New Roman" w:cs="Times New Roman" w:eastAsia="Times New Roman" w:hAnsi="Times New Roman"/>
          <w:color w:val="FFFFFF"/>
          <w:sz w:val="22"/>
          <w:szCs w:val="22"/>
        </w:rPr>
        <w:t xml:space="preserve">All India Institute of Ayurveda (AIIA), New Delhi</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All India Institute of Ayurveda (AIIA), New Delhi, established by the Ministry of Ayush, Government of India, stands as the first-of-its-kind Apex Institute for Ayurveda in the country, envisioned on the lines of AIIMS.</w:t>
      </w:r>
    </w:p>
    <w:p>
      <w:pPr>
        <w:spacing w:after="80" w:line="432"/>
        <w:jc w:val="both"/>
      </w:pPr>
      <w:r>
        <w:rPr>
          <w:rFonts w:ascii="Times New Roman" w:cs="Times New Roman" w:eastAsia="Times New Roman" w:hAnsi="Times New Roman"/>
          <w:color w:val="FFFFFF"/>
          <w:sz w:val="22"/>
          <w:szCs w:val="22"/>
        </w:rPr>
        <w:t xml:space="preserve">Dedicated to the Nation by the Hon’ble Prime Minister of India on the 2nd Ayurveda Day, 17th October 2017, AIIA has been committed to setting the highest benchmarks in patient care, academics, and research through Ayurveda for the welfare of humanity.</w:t>
      </w:r>
    </w:p>
    <w:p>
      <w:pPr>
        <w:spacing w:after="80" w:line="432"/>
        <w:jc w:val="both"/>
      </w:pPr>
      <w:r>
        <w:rPr>
          <w:rFonts w:ascii="Times New Roman" w:cs="Times New Roman" w:eastAsia="Times New Roman" w:hAnsi="Times New Roman"/>
          <w:color w:val="FFFFFF"/>
          <w:sz w:val="22"/>
          <w:szCs w:val="22"/>
        </w:rPr>
        <w:t xml:space="preserve">In a short span since its inception, AIIA has emerged as a Centre of Excellence for Ayurveda with NABH accreditation, ISO 9001:2015 certification, and A++ grade from NAAC. With a blend of traditional wisdom and modern technology, the Institute has provided holistic healthcare to more than 27 lakh patients and has gained global recognition for its integrative approach, research rigor, and academic excellence.</w:t>
      </w:r>
    </w:p>
    <w:p>
      <w:pPr>
        <w:spacing w:after="80" w:line="432"/>
        <w:jc w:val="both"/>
      </w:pPr>
      <w:r>
        <w:rPr>
          <w:rFonts w:ascii="Times New Roman" w:cs="Times New Roman" w:eastAsia="Times New Roman" w:hAnsi="Times New Roman"/>
          <w:color w:val="FFFFFF"/>
          <w:sz w:val="22"/>
          <w:szCs w:val="22"/>
        </w:rPr>
        <w:t xml:space="preserve">The Institute today runs 44 specialty OPD clinics, nine interdisciplinary research laboratories, a 200-bed referral hospital, and offers postgraduate (MD/MS) and doctoral (PhD) programmes across 12 disciplines of Ayurveda.The Institute has also expanded its footprint through the establishment of its Satellite Centre in Goa, extension centres at Kevadia, IIT Delhi, the Supreme Court of India, and other institutions of national importance, thereby bringing quality Ayurveda care closer to the people.</w:t>
      </w:r>
    </w:p>
    <w:p>
      <w:pPr>
        <w:spacing w:after="80" w:line="432"/>
        <w:jc w:val="both"/>
      </w:pPr>
      <w:r>
        <w:rPr>
          <w:rFonts w:ascii="Times New Roman" w:cs="Times New Roman" w:eastAsia="Times New Roman" w:hAnsi="Times New Roman"/>
          <w:color w:val="FFFFFF"/>
          <w:sz w:val="22"/>
          <w:szCs w:val="22"/>
        </w:rPr>
        <w:t xml:space="preserve">Academic collaborations with over 50 national and 17 international institutions, including Harvard Medical School, Western Sydney University, and London School of Hygiene &amp; Tropical Medicine, reinforce AIIA’s vision of creating global scientific acceptance of Ayurveda.</w:t>
      </w:r>
    </w:p>
    <w:p>
      <w:pPr>
        <w:spacing w:after="80" w:line="432"/>
        <w:jc w:val="both"/>
      </w:pPr>
      <w:r>
        <w:rPr>
          <w:rFonts w:ascii="Times New Roman" w:cs="Times New Roman" w:eastAsia="Times New Roman" w:hAnsi="Times New Roman"/>
          <w:color w:val="FFFFFF"/>
          <w:sz w:val="22"/>
          <w:szCs w:val="22"/>
        </w:rPr>
        <w:t xml:space="preserve">The establishment of an Incubation Centre and recognition as a Host Institute by the Ministry of MSME further highlights AIIA’s role in innovation, entrepreneurship, and translational research in the Ayush sector.The Institute has also hosted several significant national and international events, including the World Health Organisation’s first-ever Global Summit on Traditional Medicine, the launch of AROHA-2024 – AIIA’s International Conference on Ayurveda, and the commemoration of Ayurveda Day and International Day of Yoga with wide participation and impact.</w:t>
      </w:r>
    </w:p>
    <w:p>
      <w:pPr>
        <w:spacing w:after="80" w:line="432"/>
        <w:jc w:val="both"/>
      </w:pPr>
      <w:r>
        <w:rPr>
          <w:rFonts w:ascii="Times New Roman" w:cs="Times New Roman" w:eastAsia="Times New Roman" w:hAnsi="Times New Roman"/>
          <w:color w:val="FFFFFF"/>
          <w:sz w:val="22"/>
          <w:szCs w:val="22"/>
        </w:rPr>
        <w:t xml:space="preserve">It is a matter of pride that the Institute continues to receive the guidance and support of the Ministry of Ayush, enabling it to achieve its mandate of making Ayurveda healthcare, education, and research of the highest standards accessible at both national and international levels.As AIIA progresses into its next phase of growth, the Institute remains committed to its mission of blending the timeless wisdom of Ayurveda with modern scientific validation, ensuring its relevance and utility for future generations, and contributing to the vision of a healthier, empowered, and sustainable world.</w:t>
      </w:r>
    </w:p>
    <w:p>
      <w:pPr>
        <w:spacing w:after="80" w:line="432"/>
      </w:pPr>
      <w:r>
        <w:rPr>
          <w:rFonts w:ascii="Times New Roman" w:cs="Times New Roman" w:eastAsia="Times New Roman" w:hAnsi="Times New Roman"/>
          <w:color w:val="FFFFFF"/>
          <w:sz w:val="22"/>
          <w:szCs w:val="22"/>
        </w:rPr>
        <w:t xml:space="preserve">Advancing Holistic Healthcare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&gt;At the heart of AIIA’s mission is patient care. During 2024–25, the Institute achieved remarkable growth in its clinical services:</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Outpatient Services:</w:t>
      </w:r>
      <w:r>
        <w:rPr>
          <w:rFonts w:ascii="Times New Roman" w:cs="Times New Roman" w:eastAsia="Times New Roman" w:hAnsi="Times New Roman"/>
          <w:color w:val="FFFFFF"/>
          <w:sz w:val="22"/>
          <w:szCs w:val="22"/>
        </w:rPr>
        <w:t xml:space="preserve"> A total of 4,38,757 OPD registrations were recorded, averaging nearly 2,000 daily footfalls. Patients were treated across 46 specialty clinics, including Panchakarma, Kay achikitsa, Kaumarbhritya, Shalakya, Shalya Tantra, Stri Roga and Prasuti Tantra, Swasthavritta, and integrated AYUSH clinics.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Inpatient Services:</w:t>
      </w:r>
      <w:r>
        <w:rPr>
          <w:rFonts w:ascii="Times New Roman" w:cs="Times New Roman" w:eastAsia="Times New Roman" w:hAnsi="Times New Roman"/>
          <w:color w:val="FFFFFF"/>
          <w:sz w:val="22"/>
          <w:szCs w:val="22"/>
        </w:rPr>
        <w:t xml:space="preserve"> The 200-bed IPD facility served 5,074 admissions, supported by ICU, NICU, modular OTs, labour rooms, and advanced diagnostic facilities.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Specialized Procedures:</w:t>
      </w:r>
      <w:r>
        <w:rPr>
          <w:rFonts w:ascii="Times New Roman" w:cs="Times New Roman" w:eastAsia="Times New Roman" w:hAnsi="Times New Roman"/>
          <w:color w:val="FFFFFF"/>
          <w:sz w:val="22"/>
          <w:szCs w:val="22"/>
        </w:rPr>
        <w:t xml:space="preserve"> The year saw 63,069 Panchakarma procedures, 8,154 Kriya Kalpa therapies, and 2,512 dental procedures successfully performed.</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Diagnostics:</w:t>
      </w:r>
      <w:r>
        <w:rPr>
          <w:rFonts w:ascii="Times New Roman" w:cs="Times New Roman" w:eastAsia="Times New Roman" w:hAnsi="Times New Roman"/>
          <w:color w:val="FFFFFF"/>
          <w:sz w:val="22"/>
          <w:szCs w:val="22"/>
        </w:rPr>
        <w:t xml:space="preserve"> State-of-the-art diagnostic services provided over 2.17 lakh laboratory investigations, 12,704 ultrasound scans, 10,159 X-rays, and 5,711 ECGs, ensuring accurate clinical decision-making.</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Extension Centres:</w:t>
      </w:r>
      <w:r>
        <w:rPr>
          <w:rFonts w:ascii="Times New Roman" w:cs="Times New Roman" w:eastAsia="Times New Roman" w:hAnsi="Times New Roman"/>
          <w:color w:val="FFFFFF"/>
          <w:sz w:val="22"/>
          <w:szCs w:val="22"/>
        </w:rPr>
        <w:t xml:space="preserve"> AIIA expanded access through extension centres at the Supreme Court of India, Kevdia Arogya Van, LBSNAA Mussoorie, and AIIMS-NCI Jhajjar, benefitting 28,474 patients and performing 20,611 procedures.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Institute continued to serve diverse populations, including women, children, senior citizens, and Delhi Police personnel, while also providing dignitary care and outreach services.</w:t>
      </w:r>
    </w:p>
    <w:p>
      <w:pPr>
        <w:spacing w:after="80" w:line="432"/>
        <w:jc w:val="both"/>
      </w:pPr>
      <w:r>
        <w:rPr>
          <w:rFonts w:ascii="Times New Roman" w:cs="Times New Roman" w:eastAsia="Times New Roman" w:hAnsi="Times New Roman"/>
          <w:color w:val="FFFFFF"/>
          <w:sz w:val="22"/>
          <w:szCs w:val="22"/>
        </w:rPr>
        <w:t xml:space="preserve">Preventive and promotive health initiatives in mental health, geriatric care, maternal health, pain management, oral health, and latent tuberculsis further reinforced AIIA’s public health role.</w:t>
      </w:r>
    </w:p>
    <w:p>
      <w:pPr>
        <w:spacing w:after="80" w:line="432"/>
      </w:pPr>
      <w:r>
        <w:rPr>
          <w:rFonts w:ascii="Times New Roman" w:cs="Times New Roman" w:eastAsia="Times New Roman" w:hAnsi="Times New Roman"/>
          <w:color w:val="FFFFFF"/>
          <w:sz w:val="22"/>
          <w:szCs w:val="22"/>
        </w:rPr>
        <w:t xml:space="preserve">Academic Leadership and Research Excellence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&gt;Education and research remain at the core of AIIA’s identity. In 2024–25:</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Postgraduate Education:</w:t>
      </w:r>
      <w:r>
        <w:rPr>
          <w:rFonts w:ascii="Times New Roman" w:cs="Times New Roman" w:eastAsia="Times New Roman" w:hAnsi="Times New Roman"/>
          <w:color w:val="FFFFFF"/>
          <w:sz w:val="22"/>
          <w:szCs w:val="22"/>
        </w:rPr>
        <w:t xml:space="preserve"> 92 MD/MS (Ayu) students joined across 12 specialty departments, making AIIA one of the largest postgraduate Ayurveda training centres in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Doctoral Research:</w:t>
      </w:r>
      <w:r>
        <w:rPr>
          <w:rFonts w:ascii="Times New Roman" w:cs="Times New Roman" w:eastAsia="Times New Roman" w:hAnsi="Times New Roman"/>
          <w:color w:val="FFFFFF"/>
          <w:sz w:val="22"/>
          <w:szCs w:val="22"/>
        </w:rPr>
        <w:t xml:space="preserve"> The PhD entrance exam attracted 380 candidates, of whom 323 appeared, reflecting the growing global interest in Ayurvedic research.</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Research Projects:</w:t>
      </w:r>
      <w:r>
        <w:rPr>
          <w:rFonts w:ascii="Times New Roman" w:cs="Times New Roman" w:eastAsia="Times New Roman" w:hAnsi="Times New Roman"/>
          <w:color w:val="FFFFFF"/>
          <w:sz w:val="22"/>
          <w:szCs w:val="22"/>
        </w:rPr>
        <w:t xml:space="preserve"> The Institute advanced 24 extra-mural and 28 intra-mural projects, covering areas such as integrative oncology, metabolic disorders, mental health, and pharmacological validation of Ayurvedic formulations.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Publications:</w:t>
      </w:r>
      <w:r>
        <w:rPr>
          <w:rFonts w:ascii="Times New Roman" w:cs="Times New Roman" w:eastAsia="Times New Roman" w:hAnsi="Times New Roman"/>
          <w:color w:val="FFFFFF"/>
          <w:sz w:val="22"/>
          <w:szCs w:val="22"/>
        </w:rPr>
        <w:t xml:space="preserve"> Faculty and scholars contributed to reputed peer-reviewed journals including AyuCaRe and IJAR, strengthening scientific validation of Ayurveda.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Collaborations:</w:t>
      </w:r>
      <w:r>
        <w:rPr>
          <w:rFonts w:ascii="Times New Roman" w:cs="Times New Roman" w:eastAsia="Times New Roman" w:hAnsi="Times New Roman"/>
          <w:color w:val="FFFFFF"/>
          <w:sz w:val="22"/>
          <w:szCs w:val="22"/>
        </w:rPr>
        <w:t xml:space="preserve"> AIIA sustained partnerships with 50 national institutes and 17 international organisations, including Harvard Medical School, Western Sydney University, and the London School of Hygiene &amp; Tropical Medicine.</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Skill Development:</w:t>
      </w:r>
      <w:r>
        <w:rPr>
          <w:rFonts w:ascii="Times New Roman" w:cs="Times New Roman" w:eastAsia="Times New Roman" w:hAnsi="Times New Roman"/>
          <w:color w:val="FFFFFF"/>
          <w:sz w:val="22"/>
          <w:szCs w:val="22"/>
        </w:rPr>
        <w:t xml:space="preserve"> Certificate courses in Hospital Management and Nursing Skill Upgradation, as well as Panchakarma Technician training, empowered healthcare workers with new-age skills.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&gt;AIIA’s NAAC A++ accreditation with CGPA 3.55 in its very first cycle reaffirmed the Institute’s academic rigour and excellence.</w:t>
      </w:r>
    </w:p>
    <w:p>
      <w:pPr>
        <w:spacing w:after="80" w:line="432"/>
      </w:pPr>
      <w:r>
        <w:rPr>
          <w:rFonts w:ascii="Times New Roman" w:cs="Times New Roman" w:eastAsia="Times New Roman" w:hAnsi="Times New Roman"/>
          <w:color w:val="FFFFFF"/>
          <w:sz w:val="22"/>
          <w:szCs w:val="22"/>
        </w:rPr>
        <w:t xml:space="preserve">Global Recognition and Strategic Expansion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year also witnessed important milestones in institutional growth and international recognition:</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Infrastructure Development:</w:t>
      </w:r>
      <w:r>
        <w:rPr>
          <w:rFonts w:ascii="Times New Roman" w:cs="Times New Roman" w:eastAsia="Times New Roman" w:hAnsi="Times New Roman"/>
          <w:color w:val="FFFFFF"/>
          <w:sz w:val="22"/>
          <w:szCs w:val="22"/>
        </w:rPr>
        <w:t xml:space="preserve"> The Phase-II expansion at the New Delhi campus, spread over 15 acres at an outlay of ₹289 crores, neared completion, promising enhanced facilities for patients and researchers. An additional 12 acres of land at Sarita Vihar was secured for future expansion.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Goa Campus:</w:t>
      </w:r>
      <w:r>
        <w:rPr>
          <w:rFonts w:ascii="Times New Roman" w:cs="Times New Roman" w:eastAsia="Times New Roman" w:hAnsi="Times New Roman"/>
          <w:color w:val="FFFFFF"/>
          <w:sz w:val="22"/>
          <w:szCs w:val="22"/>
        </w:rPr>
        <w:t xml:space="preserve"> The 50-acre satellite campus at North Goa, inaugurated in 2022 by the Hon’ble Prime Minister, expanded academic and healthcare services with 14 undergraduate disciplines and growing research facilities. Its first Annual Day was celebrated in December 2023 with international participation.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Extension Centres:</w:t>
      </w:r>
      <w:r>
        <w:rPr>
          <w:rFonts w:ascii="Times New Roman" w:cs="Times New Roman" w:eastAsia="Times New Roman" w:hAnsi="Times New Roman"/>
          <w:color w:val="FFFFFF"/>
          <w:sz w:val="22"/>
          <w:szCs w:val="22"/>
        </w:rPr>
        <w:t xml:space="preserve"> New centres were established at Kevadia (Ekta Nagar), Supreme Court of India, and IIT Delhi, reflecting AIIA’s national footprint.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w:t>
      </w:r>
      <w:r>
        <w:rPr>
          <w:rFonts w:ascii="Times New Roman" w:cs="Times New Roman" w:eastAsia="Times New Roman" w:hAnsi="Times New Roman"/>
          <w:b/>
          <w:bCs/>
          <w:color w:val="FFFFFF"/>
          <w:sz w:val="22"/>
          <w:szCs w:val="22"/>
        </w:rPr>
        <w:t xml:space="preserve">International Conferences &amp; Events:</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&gt;Hosted AROHA-2024, the first international Ayurveda research conference, inaugurated by the Hon’ble Chief Justice of India.</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&gt;Celebrated International Day of Yoga 2024 with the theme Yoga for Women Empowerment.</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&gt;Represented Ayurveda at the WHO Traditional Medicine Global Summit (2023, Gandhinagar) and the World Heritage Committee Session (2024, Bharat Mandapam, New Delhi).</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&gt;Signed MoUs with BITS Goa, National Institute of Oceanography, and private innovators under iCAINE (Incubation</w:t>
      </w:r>
    </w:p>
    <w:p>
      <w:pPr>
        <w:spacing w:after="80" w:line="432"/>
      </w:pP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&gt;Prof. (Dr.) Sujata Kadam</w:t>
      </w:r>
    </w:p>
    <w:p>
      <w:pPr>
        <w:spacing w:after="80" w:line="432"/>
      </w:pPr>
      <w:r>
        <w:rPr>
          <w:rFonts w:ascii="Times New Roman" w:cs="Times New Roman" w:eastAsia="Times New Roman" w:hAnsi="Times New Roman"/>
          <w:color w:val="FFFFFF"/>
          <w:sz w:val="22"/>
          <w:szCs w:val="22"/>
        </w:rPr>
        <w:t xml:space="preserve">Director (I/c), All India Institute of Ayurveda</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2.  BACKGROUND</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On the occasion of Dhanvantari Jayanti and the 9th Ayurveda Day, Prime Minister Shri Narendra Modi inaugurated Phase-II of All India Institute of Ayurveda</w:t>
      </w:r>
    </w:p>
    <w:p>
      <w:pPr>
        <w:spacing w:after="80" w:line="432"/>
      </w:pPr>
      <w:r>
        <w:rPr>
          <w:rFonts w:ascii="Times New Roman" w:cs="Times New Roman" w:eastAsia="Times New Roman" w:hAnsi="Times New Roman"/>
          <w:color w:val="FFFFFF"/>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&gt;All India Institute of Ayurveda (AIIA) was inaugurated and dedicated to the nation by Hon’ble Prime Minister of India Shri Narendra Modi on 17th October, 2017.AIIA is a holistic tertiary care Ayurveda treatment center and hospital supported by the latest medical tools for diagnosis. The Institute has been conceived as an Apex Institute for Ayurveda with the aim of bringing synergy between traditional Ayurveda wisdom and modern tools and technology through scientific validation of fundamental principles and human resource development programs.</w:t>
      </w:r>
      <w:r>
        <w:rPr>
          <w:rFonts w:ascii="Times New Roman" w:cs="Times New Roman" w:eastAsia="Times New Roman" w:hAnsi="Times New Roman"/>
          <w:color w:val="FFFFFF"/>
          <w:sz w:val="22"/>
          <w:szCs w:val="22"/>
        </w:rPr>
        <w:t xml:space="preserve">The Institute is working under the guidance of the Ministry of Ayush, Government of India, to achieve the following objectives of its establishment by the Government of India.</w:t>
      </w:r>
    </w:p>
    <w:p>
      <w:pPr>
        <w:spacing w:after="80" w:line="432"/>
      </w:pPr>
      <w:r>
        <w:rPr>
          <w:rFonts w:ascii="Times New Roman" w:cs="Times New Roman" w:eastAsia="Times New Roman" w:hAnsi="Times New Roman"/>
          <w:color w:val="FFFFFF"/>
          <w:sz w:val="22"/>
          <w:szCs w:val="22"/>
        </w:rPr>
        <w:t xml:space="preserve">Objectives of the Institute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provide postgraduate, doctoral, and post-doctoral teaching, research facilities, and quality patient care services under the Ayurveda system of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act as a referral hospital and a “Centre of Excellence” to set the highest standards of education, research, and patient care, and also function as a model center for international collaboration.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act as a model institution to show the strength, efficacy, and popularity of Ayurveda. The institute will be used for promoting Ayurveda in India and abroad.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provide services in specialties like Panchkarma, Kayachikitsa, Vata-Vyadhi, Rasayna, Kayakalpa, Twacha Roga (Skin Disorders), Vajikaran, Shalya Tantra, Kshar evam Anushastra Karma (Jalauka and Rakta Mokshan), Marma Chiktisa, Vrikka Roga (Nephrology), Mutra Roga (Urology), Shalakya (Eye, ENT and Dental Disorders), Stri Roga and Prasuti Tantra, Bal Roga, Rog Nidan, Lifestyle and Metabolic Disorders, Yoga and Swastha Vritta, Ahara Bidhi Vigyan (Dietetics), Ayurvedic Pharmacy, Fundamental Principles of Ayurveda and their application in a set up that combines the ancient tradition of Ayurveda along with the Advantages of biomedicine, current management and information technology tools.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impart interdisciplinary postgraduate, doctoral, and post-doctoral teaching, training, and research in all Ayurvedic specialties and also health and hospital management programmes. It will have all necessary infrastructure to cater to secondary and tertiary level health care facilities for diagnosis and treatment in collaboration with national and international institutions.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give highest priority to explore and explain the scientific basis of various aspects of Ayurveda through collaborative, inter-disciplinary research. In this direction, the required infrastructure would be developed with the help of various R&amp;D institutions including Central Council for Research in Ayurveda and Siddha (CCRAS), Indian Council of Medical Research (ICMR), Council for Scientific and Industrial Research (CSIR), National Institute for Pharmaceutical Education and Research (NIPER), and other national level institutes. Human resources and infrastructure of participating institutions will be utilized in conducting project-based research programmes on need specific clinical and drug studies.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To develop model teaching tools and demonstration modules of teaching in postgraduate, doctoral, and post-doctoral Ayurveda medical education in all branches so as to demonstrate high standards of education for use in Ayurvedic institutions.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FFFFFF"/>
          <w:sz w:val="22"/>
          <w:szCs w:val="22"/>
        </w:rPr>
        <w:t xml:space="preserve">Institutional Facilities and Academic Programmes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Institute has 12 Specialty Departments and 44 clinics with 9 inter-disciplinary research laboratories.The Institute offers postgraduate and doctoral courses in 12 disciplines of Ayurveda.The institute has a 200-bed referral hospital for facilitating clinical research along with comprehensive care against COVID-19 functional in preventive, promotive, palliative, and post COVID scenario.The Institute is a perfect blend of ancient wisdom and modern technology, attracting global attention and expected to boost medical tourism in India with a focus on fundamental research on Ayurveda, drug development, standardization, quality control, safety evaluation, and scientific validation of Ayurvedic medicines.</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3.  MANAGEMENT</w:t>
      </w:r>
    </w:p>
    <w:p>
      <w:pPr>
        <w:spacing w:after="80" w:line="432"/>
      </w:pPr>
      <w:r>
        <w:rPr>
          <w:rFonts w:ascii="Times New Roman" w:cs="Times New Roman" w:eastAsia="Times New Roman" w:hAnsi="Times New Roman"/>
          <w:color w:val="FFFFFF"/>
          <w:sz w:val="22"/>
          <w:szCs w:val="22"/>
        </w:rPr>
        <w:t xml:space="preserve">The All-India Institute of Ayurveda is governed by the following statutory bodies: </w:t>
      </w:r>
      <w:r>
        <w:rPr>
          <w:rFonts w:ascii="Times New Roman" w:cs="Times New Roman" w:eastAsia="Times New Roman" w:hAnsi="Times New Roman"/>
          <w:b/>
          <w:bCs/>
          <w:color w:val="FFFFFF"/>
          <w:sz w:val="22"/>
          <w:szCs w:val="22"/>
        </w:rPr>
        <w:t xml:space="preserve">General Body (GB), </w:t>
      </w:r>
      <w:r>
        <w:rPr>
          <w:rFonts w:ascii="Times New Roman" w:cs="Times New Roman" w:eastAsia="Times New Roman" w:hAnsi="Times New Roman"/>
          <w:b/>
          <w:bCs/>
          <w:color w:val="FFFFFF"/>
          <w:sz w:val="22"/>
          <w:szCs w:val="22"/>
        </w:rPr>
        <w:t xml:space="preserve">Executive Council (EC), </w:t>
      </w:r>
      <w:r>
        <w:rPr>
          <w:rFonts w:ascii="Times New Roman" w:cs="Times New Roman" w:eastAsia="Times New Roman" w:hAnsi="Times New Roman"/>
          <w:b/>
          <w:bCs/>
          <w:color w:val="FFFFFF"/>
          <w:sz w:val="22"/>
          <w:szCs w:val="22"/>
        </w:rPr>
        <w:t xml:space="preserve">Standing Finance Committee (SFC).</w:t>
      </w:r>
    </w:p>
    <w:p>
      <w:pPr>
        <w:spacing w:after="80" w:line="432"/>
      </w:pPr>
      <w:r>
        <w:rPr>
          <w:sz w:val="22"/>
          <w:szCs w:val="22"/>
        </w:rPr>
        <w:t xml:space="preserve"/>
      </w:r>
    </w:p>
    <w:p>
      <w:pPr>
        <w:spacing w:after="60" w:before="100"/>
      </w:pPr>
      <w:r>
        <w:rPr>
          <w:rFonts w:ascii="Times New Roman" w:cs="Times New Roman" w:eastAsia="Times New Roman" w:hAnsi="Times New Roman"/>
          <w:b/>
          <w:bCs/>
          <w:color w:val="E0E0E0"/>
          <w:sz w:val="24"/>
          <w:szCs w:val="24"/>
        </w:rPr>
        <w:t xml:space="preserve">Governing Body:</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Shri Prataprao Jadhav, Hon'ble MoS (Independent Charge),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President</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Vacant</w:t>
            </w:r>
          </w:p>
        </w:tc>
        <w:tc>
          <w:tcPr>
            <w:tcW w:type="dxa" w:w="3006"/>
            <w:shd w:fill="222222" w:val="clear"/>
          </w:tcPr>
          <w:p>
            <w:pPr>
              <w:spacing w:after="0"/>
            </w:pPr>
            <w:r>
              <w:rPr>
                <w:rFonts w:ascii="Times New Roman" w:cs="Times New Roman" w:eastAsia="Times New Roman" w:hAnsi="Times New Roman"/>
                <w:color w:val="FFFFFF"/>
                <w:sz w:val="20"/>
                <w:szCs w:val="20"/>
              </w:rPr>
              <w:t xml:space="preserve">Vice President</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Vaidya Rajesh Kotecha, Hon'ble Secretary,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Padmabhushan Vaidya Devinder Triguna, Nominated Member by Ministry of Ayush</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Dr. Rajiv Behal, Director General, Indian Council of Medical Research (ICMR)</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Hoveyda Abbas, AS &amp; FA,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8</w:t>
            </w:r>
          </w:p>
        </w:tc>
        <w:tc>
          <w:tcPr>
            <w:tcW w:type="dxa" w:w="3006"/>
            <w:shd w:fill="222222" w:val="clear"/>
          </w:tcPr>
          <w:p>
            <w:pPr>
              <w:spacing w:after="0"/>
            </w:pPr>
            <w:r>
              <w:rPr>
                <w:rFonts w:ascii="Times New Roman" w:cs="Times New Roman" w:eastAsia="Times New Roman" w:hAnsi="Times New Roman"/>
                <w:color w:val="FFFFFF"/>
                <w:sz w:val="20"/>
                <w:szCs w:val="20"/>
              </w:rPr>
              <w:t xml:space="preserve">Vacant</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9</w:t>
            </w:r>
          </w:p>
        </w:tc>
        <w:tc>
          <w:tcPr>
            <w:tcW w:type="dxa" w:w="3006"/>
          </w:tcPr>
          <w:p>
            <w:pPr>
              <w:spacing w:after="0"/>
            </w:pPr>
            <w:r>
              <w:rPr>
                <w:rFonts w:ascii="Times New Roman" w:cs="Times New Roman" w:eastAsia="Times New Roman" w:hAnsi="Times New Roman"/>
                <w:color w:val="FFFFFF"/>
                <w:sz w:val="20"/>
                <w:szCs w:val="20"/>
              </w:rPr>
              <w:t xml:space="preserve">Vd. Shivaratna Sadashiv Shete, All India Institute of Medical Sciences, New Delhi (Ayurved Consultant, Solapur, M.S.)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10</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Vijay Vishwanath Doiphode, Director, Ayurveda Rashashala Foundation</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w:t>
            </w:r>
          </w:p>
        </w:tc>
        <w:tc>
          <w:tcPr>
            <w:tcW w:type="dxa" w:w="3006"/>
          </w:tcPr>
          <w:p>
            <w:pPr>
              <w:spacing w:after="0"/>
            </w:pPr>
            <w:r>
              <w:rPr>
                <w:rFonts w:ascii="Times New Roman" w:cs="Times New Roman" w:eastAsia="Times New Roman" w:hAnsi="Times New Roman"/>
                <w:color w:val="FFFFFF"/>
                <w:sz w:val="20"/>
                <w:szCs w:val="20"/>
              </w:rPr>
              <w:t xml:space="preserve">Prof. Yogesh Singh, Vice Chancellor, Delhi University</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12</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N.K. Manjunath, Vice Chancellor, S-VYASA Yoga University</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13</w:t>
            </w:r>
          </w:p>
        </w:tc>
        <w:tc>
          <w:tcPr>
            <w:tcW w:type="dxa" w:w="3006"/>
          </w:tcPr>
          <w:p>
            <w:pPr>
              <w:spacing w:after="0"/>
            </w:pPr>
            <w:r>
              <w:rPr>
                <w:rFonts w:ascii="Times New Roman" w:cs="Times New Roman" w:eastAsia="Times New Roman" w:hAnsi="Times New Roman"/>
                <w:color w:val="FFFFFF"/>
                <w:sz w:val="20"/>
                <w:szCs w:val="20"/>
              </w:rPr>
              <w:t xml:space="preserve">Dr. Sanjay Jachak, Professor and In-charge HoD, Dept. of Natural Products, National Institute of Pharmaceutical Education and Research (NIPER)</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14</w:t>
            </w:r>
          </w:p>
        </w:tc>
        <w:tc>
          <w:tcPr>
            <w:tcW w:type="dxa" w:w="3006"/>
            <w:shd w:fill="222222" w:val="clear"/>
          </w:tcPr>
          <w:p>
            <w:pPr>
              <w:spacing w:after="0"/>
            </w:pPr>
            <w:r>
              <w:rPr>
                <w:rFonts w:ascii="Times New Roman" w:cs="Times New Roman" w:eastAsia="Times New Roman" w:hAnsi="Times New Roman"/>
                <w:color w:val="FFFFFF"/>
                <w:sz w:val="20"/>
                <w:szCs w:val="20"/>
              </w:rPr>
              <w:t xml:space="preserve">Sh. K. Raja Bhanu, Director General, PHARMEXCIL</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15</w:t>
            </w:r>
          </w:p>
        </w:tc>
        <w:tc>
          <w:tcPr>
            <w:tcW w:type="dxa" w:w="3006"/>
          </w:tcPr>
          <w:p>
            <w:pPr>
              <w:spacing w:after="0"/>
            </w:pPr>
            <w:r>
              <w:rPr>
                <w:rFonts w:ascii="Times New Roman" w:cs="Times New Roman" w:eastAsia="Times New Roman" w:hAnsi="Times New Roman"/>
                <w:color w:val="FFFFFF"/>
                <w:sz w:val="20"/>
                <w:szCs w:val="20"/>
              </w:rPr>
              <w:t xml:space="preserve">Sh. K. Raja Bhanu, Director General, PHARMEXCIL</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16</w:t>
            </w:r>
          </w:p>
        </w:tc>
        <w:tc>
          <w:tcPr>
            <w:tcW w:type="dxa" w:w="3006"/>
            <w:shd w:fill="222222" w:val="clear"/>
          </w:tcPr>
          <w:p>
            <w:pPr>
              <w:spacing w:after="0"/>
            </w:pPr>
            <w:r>
              <w:rPr>
                <w:rFonts w:ascii="Times New Roman" w:cs="Times New Roman" w:eastAsia="Times New Roman" w:hAnsi="Times New Roman"/>
                <w:color w:val="FFFFFF"/>
                <w:sz w:val="20"/>
                <w:szCs w:val="20"/>
              </w:rPr>
              <w:t xml:space="preserve">Representative of Department of Biotechnology</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17</w:t>
            </w:r>
          </w:p>
        </w:tc>
        <w:tc>
          <w:tcPr>
            <w:tcW w:type="dxa" w:w="3006"/>
          </w:tcPr>
          <w:p>
            <w:pPr>
              <w:spacing w:after="0"/>
            </w:pPr>
            <w:r>
              <w:rPr>
                <w:rFonts w:ascii="Times New Roman" w:cs="Times New Roman" w:eastAsia="Times New Roman" w:hAnsi="Times New Roman"/>
                <w:color w:val="FFFFFF"/>
                <w:sz w:val="20"/>
                <w:szCs w:val="20"/>
              </w:rPr>
              <w:t xml:space="preserve">Mr. Chakravarthy T. Kannan, Secretary General, Quality Council of India (QCI)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18</w:t>
            </w:r>
          </w:p>
        </w:tc>
        <w:tc>
          <w:tcPr>
            <w:tcW w:type="dxa" w:w="3006"/>
            <w:shd w:fill="222222" w:val="clear"/>
          </w:tcPr>
          <w:p>
            <w:pPr>
              <w:spacing w:after="0"/>
            </w:pPr>
            <w:r>
              <w:rPr>
                <w:rFonts w:ascii="Times New Roman" w:cs="Times New Roman" w:eastAsia="Times New Roman" w:hAnsi="Times New Roman"/>
                <w:color w:val="FFFFFF"/>
                <w:sz w:val="20"/>
                <w:szCs w:val="20"/>
              </w:rPr>
              <w:t xml:space="preserve">Prof. (Dr.) Manjusha Rajagopala, Director (I/C), All India Institute of Ayurveda</w:t>
            </w:r>
          </w:p>
        </w:tc>
        <w:tc>
          <w:tcPr>
            <w:tcW w:type="dxa" w:w="3006"/>
            <w:shd w:fill="222222" w:val="clear"/>
          </w:tcPr>
          <w:p>
            <w:pPr>
              <w:spacing w:after="0"/>
            </w:pPr>
            <w:r>
              <w:rPr>
                <w:rFonts w:ascii="Times New Roman" w:cs="Times New Roman" w:eastAsia="Times New Roman" w:hAnsi="Times New Roman"/>
                <w:color w:val="FFFFFF"/>
                <w:sz w:val="20"/>
                <w:szCs w:val="20"/>
              </w:rPr>
              <w:t xml:space="preserve">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Executive Council:</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Vaidya Rajesh Kotecha, Ministry of Ayush, Government of India</w:t>
            </w:r>
          </w:p>
        </w:tc>
        <w:tc>
          <w:tcPr>
            <w:tcW w:type="dxa" w:w="3006"/>
          </w:tcPr>
          <w:p>
            <w:pPr>
              <w:spacing w:after="0"/>
            </w:pPr>
            <w:r>
              <w:rPr>
                <w:rFonts w:ascii="Times New Roman" w:cs="Times New Roman" w:eastAsia="Times New Roman" w:hAnsi="Times New Roman"/>
                <w:color w:val="FFFFFF"/>
                <w:sz w:val="20"/>
                <w:szCs w:val="20"/>
              </w:rPr>
              <w:t xml:space="preserve">Chairperson</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Jaideep Kumar Mishra, AS &amp; FA,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Shri Rajiv Behal, Secretary, Department of Health Research &amp; Director General, ICMR, New Delhi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Padmabhushan Vaidya Davendra Triguna, President, Ayurved Mahasammelan,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Dr. Vijay Vishwanath Doiphode, Director, Ayurveda Rasashala, Pune</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B.K Singh, Joint Secretary, Ministry of Ayush, Govt. of India</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Dr. Manasi Nesari, Advisor (Ayurveda), Ministry of Ayush</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8</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M Srinivas, Director, All India Institute of Medical Sciences,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9</w:t>
            </w:r>
          </w:p>
        </w:tc>
        <w:tc>
          <w:tcPr>
            <w:tcW w:type="dxa" w:w="3006"/>
          </w:tcPr>
          <w:p>
            <w:pPr>
              <w:spacing w:after="0"/>
            </w:pPr>
            <w:r>
              <w:rPr>
                <w:rFonts w:ascii="Times New Roman" w:cs="Times New Roman" w:eastAsia="Times New Roman" w:hAnsi="Times New Roman"/>
                <w:color w:val="FFFFFF"/>
                <w:sz w:val="20"/>
                <w:szCs w:val="20"/>
              </w:rPr>
              <w:t xml:space="preserve">Prof. Rabi Narayan Acharya, Director General, Central Council for Research in Ayurvedic Sciences (CCRAS)</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10</w:t>
            </w:r>
          </w:p>
        </w:tc>
        <w:tc>
          <w:tcPr>
            <w:tcW w:type="dxa" w:w="3006"/>
            <w:shd w:fill="222222" w:val="clear"/>
          </w:tcPr>
          <w:p>
            <w:pPr>
              <w:spacing w:after="0"/>
            </w:pPr>
            <w:r>
              <w:rPr>
                <w:rFonts w:ascii="Times New Roman" w:cs="Times New Roman" w:eastAsia="Times New Roman" w:hAnsi="Times New Roman"/>
                <w:color w:val="FFFFFF"/>
                <w:sz w:val="20"/>
                <w:szCs w:val="20"/>
              </w:rPr>
              <w:t xml:space="preserve">Prof. Dulal Panda, Professor, National Institute for Pharmaceutical Education and Research (NIPER)</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w:t>
            </w:r>
          </w:p>
        </w:tc>
        <w:tc>
          <w:tcPr>
            <w:tcW w:type="dxa" w:w="3006"/>
          </w:tcPr>
          <w:p>
            <w:pPr>
              <w:spacing w:after="0"/>
            </w:pPr>
            <w:r>
              <w:rPr>
                <w:rFonts w:ascii="Times New Roman" w:cs="Times New Roman" w:eastAsia="Times New Roman" w:hAnsi="Times New Roman"/>
                <w:color w:val="FFFFFF"/>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FFFFFF"/>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Standing Finance Committee:</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S.No</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Members</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Position</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w:t>
            </w:r>
          </w:p>
        </w:tc>
        <w:tc>
          <w:tcPr>
            <w:tcW w:type="dxa" w:w="3006"/>
          </w:tcPr>
          <w:p>
            <w:pPr>
              <w:spacing w:after="0"/>
            </w:pPr>
            <w:r>
              <w:rPr>
                <w:rFonts w:ascii="Times New Roman" w:cs="Times New Roman" w:eastAsia="Times New Roman" w:hAnsi="Times New Roman"/>
                <w:color w:val="FFFFFF"/>
                <w:sz w:val="20"/>
                <w:szCs w:val="20"/>
              </w:rPr>
              <w:t xml:space="preserve">Shri B.K Singh, Joint Secretary, Ministry of Ayush, GoI</w:t>
            </w:r>
          </w:p>
        </w:tc>
        <w:tc>
          <w:tcPr>
            <w:tcW w:type="dxa" w:w="3006"/>
          </w:tcPr>
          <w:p>
            <w:pPr>
              <w:spacing w:after="0"/>
            </w:pPr>
            <w:r>
              <w:rPr>
                <w:rFonts w:ascii="Times New Roman" w:cs="Times New Roman" w:eastAsia="Times New Roman" w:hAnsi="Times New Roman"/>
                <w:color w:val="FFFFFF"/>
                <w:sz w:val="20"/>
                <w:szCs w:val="20"/>
              </w:rPr>
              <w:t xml:space="preserve">Chairperson</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w:t>
            </w:r>
          </w:p>
        </w:tc>
        <w:tc>
          <w:tcPr>
            <w:tcW w:type="dxa" w:w="3006"/>
            <w:shd w:fill="222222" w:val="clear"/>
          </w:tcPr>
          <w:p>
            <w:pPr>
              <w:spacing w:after="0"/>
            </w:pPr>
            <w:r>
              <w:rPr>
                <w:rFonts w:ascii="Times New Roman" w:cs="Times New Roman" w:eastAsia="Times New Roman" w:hAnsi="Times New Roman"/>
                <w:color w:val="FFFFFF"/>
                <w:sz w:val="20"/>
                <w:szCs w:val="20"/>
              </w:rPr>
              <w:t xml:space="preserve">Shri Jaideep Kumar Mishra, AS &amp; FA or his representative,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3</w:t>
            </w:r>
          </w:p>
        </w:tc>
        <w:tc>
          <w:tcPr>
            <w:tcW w:type="dxa" w:w="3006"/>
          </w:tcPr>
          <w:p>
            <w:pPr>
              <w:spacing w:after="0"/>
            </w:pPr>
            <w:r>
              <w:rPr>
                <w:rFonts w:ascii="Times New Roman" w:cs="Times New Roman" w:eastAsia="Times New Roman" w:hAnsi="Times New Roman"/>
                <w:color w:val="FFFFFF"/>
                <w:sz w:val="20"/>
                <w:szCs w:val="20"/>
              </w:rPr>
              <w:t xml:space="preserve">Dr. Manasi Nesari, Advisor (Ayurveda), Ministry of Ayush, GoI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4</w:t>
            </w:r>
          </w:p>
        </w:tc>
        <w:tc>
          <w:tcPr>
            <w:tcW w:type="dxa" w:w="3006"/>
            <w:shd w:fill="222222" w:val="clear"/>
          </w:tcPr>
          <w:p>
            <w:pPr>
              <w:spacing w:after="0"/>
            </w:pPr>
            <w:r>
              <w:rPr>
                <w:rFonts w:ascii="Times New Roman" w:cs="Times New Roman" w:eastAsia="Times New Roman" w:hAnsi="Times New Roman"/>
                <w:color w:val="FFFFFF"/>
                <w:sz w:val="20"/>
                <w:szCs w:val="20"/>
              </w:rPr>
              <w:t xml:space="preserve">Smt. Jaspal Kaur Pradyut, The Chief Controller of Accounts, Ministry of Health &amp; Family Welfare</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5</w:t>
            </w:r>
          </w:p>
        </w:tc>
        <w:tc>
          <w:tcPr>
            <w:tcW w:type="dxa" w:w="3006"/>
          </w:tcPr>
          <w:p>
            <w:pPr>
              <w:spacing w:after="0"/>
            </w:pPr>
            <w:r>
              <w:rPr>
                <w:rFonts w:ascii="Times New Roman" w:cs="Times New Roman" w:eastAsia="Times New Roman" w:hAnsi="Times New Roman"/>
                <w:color w:val="FFFFFF"/>
                <w:sz w:val="20"/>
                <w:szCs w:val="20"/>
              </w:rPr>
              <w:t xml:space="preserve">Director General, Central Council for Research in Ayurvedic Sciences (CCRAS), Delhi</w:t>
            </w:r>
          </w:p>
        </w:tc>
        <w:tc>
          <w:tcPr>
            <w:tcW w:type="dxa" w:w="3006"/>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6</w:t>
            </w:r>
          </w:p>
        </w:tc>
        <w:tc>
          <w:tcPr>
            <w:tcW w:type="dxa" w:w="3006"/>
            <w:shd w:fill="222222" w:val="clear"/>
          </w:tcPr>
          <w:p>
            <w:pPr>
              <w:spacing w:after="0"/>
            </w:pPr>
            <w:r>
              <w:rPr>
                <w:rFonts w:ascii="Times New Roman" w:cs="Times New Roman" w:eastAsia="Times New Roman" w:hAnsi="Times New Roman"/>
                <w:color w:val="FFFFFF"/>
                <w:sz w:val="20"/>
                <w:szCs w:val="20"/>
              </w:rPr>
              <w:t xml:space="preserve">Dr. Padma Srivastava, AIIMS, New Delhi</w:t>
            </w:r>
          </w:p>
        </w:tc>
        <w:tc>
          <w:tcPr>
            <w:tcW w:type="dxa" w:w="3006"/>
            <w:shd w:fill="222222" w:val="clear"/>
          </w:tcPr>
          <w:p>
            <w:pPr>
              <w:spacing w:after="0"/>
            </w:pPr>
            <w:r>
              <w:rPr>
                <w:rFonts w:ascii="Times New Roman" w:cs="Times New Roman" w:eastAsia="Times New Roman" w:hAnsi="Times New Roman"/>
                <w:color w:val="FFFFFF"/>
                <w:sz w:val="20"/>
                <w:szCs w:val="20"/>
              </w:rPr>
              <w:t xml:space="preserve">Member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7</w:t>
            </w:r>
          </w:p>
        </w:tc>
        <w:tc>
          <w:tcPr>
            <w:tcW w:type="dxa" w:w="3006"/>
          </w:tcPr>
          <w:p>
            <w:pPr>
              <w:spacing w:after="0"/>
            </w:pPr>
            <w:r>
              <w:rPr>
                <w:rFonts w:ascii="Times New Roman" w:cs="Times New Roman" w:eastAsia="Times New Roman" w:hAnsi="Times New Roman"/>
                <w:color w:val="FFFFFF"/>
                <w:sz w:val="20"/>
                <w:szCs w:val="20"/>
              </w:rPr>
              <w:t xml:space="preserve">Prof. (Dr.) Tanuja Manasi Nesari, Director, All India Institute of Ayurveda</w:t>
            </w:r>
          </w:p>
        </w:tc>
        <w:tc>
          <w:tcPr>
            <w:tcW w:type="dxa" w:w="3006"/>
          </w:tcPr>
          <w:p>
            <w:pPr>
              <w:spacing w:after="0"/>
            </w:pPr>
            <w:r>
              <w:rPr>
                <w:rFonts w:ascii="Times New Roman" w:cs="Times New Roman" w:eastAsia="Times New Roman" w:hAnsi="Times New Roman"/>
                <w:color w:val="FFFFFF"/>
                <w:sz w:val="20"/>
                <w:szCs w:val="20"/>
              </w:rPr>
              <w:t xml:space="preserve">Member Secretary</w:t>
            </w:r>
          </w:p>
        </w:tc>
      </w:tr>
    </w:tbl>
    <w:p>
      <w:pPr>
        <w:spacing w:after="60"/>
      </w:pPr>
    </w:p>
    <w:p>
      <w:pPr>
        <w:spacing w:after="60" w:before="100"/>
      </w:pPr>
      <w:r>
        <w:rPr>
          <w:rFonts w:ascii="Times New Roman" w:cs="Times New Roman" w:eastAsia="Times New Roman" w:hAnsi="Times New Roman"/>
          <w:b/>
          <w:bCs/>
          <w:color w:val="E0E0E0"/>
          <w:sz w:val="24"/>
          <w:szCs w:val="24"/>
        </w:rPr>
        <w:t xml:space="preserve">List of Faculty Positions as on 31st March 2025 at AIIA, New Delhi</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Name</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Designation</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Dr. Tanuja Manoj Nesari</w:t>
            </w:r>
          </w:p>
        </w:tc>
        <w:tc>
          <w:tcPr>
            <w:tcW w:type="dxa" w:w="4510"/>
          </w:tcPr>
          <w:p>
            <w:pPr>
              <w:spacing w:after="0"/>
            </w:pPr>
            <w:r>
              <w:rPr>
                <w:rFonts w:ascii="Times New Roman" w:cs="Times New Roman" w:eastAsia="Times New Roman" w:hAnsi="Times New Roman"/>
                <w:color w:val="FFFFFF"/>
                <w:sz w:val="20"/>
                <w:szCs w:val="20"/>
              </w:rPr>
              <w:t xml:space="preserve">Professor / Director (Till 31.10.2024)</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Sujata Dhanajirao Kadam</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 / Director (From 01.11.2024)</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Pradeep Kumar Prajapati</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Manjusha Rajagopala Bhat</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Maheshkumar Shivnarayan Vyas</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Jonah Sandrepogu</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Anandaraman P V</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Yogesh Rajendra Badwe</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Sarita Vilas Ohol</w:t>
            </w:r>
          </w:p>
        </w:tc>
        <w:tc>
          <w:tcPr>
            <w:tcW w:type="dxa" w:w="4510"/>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Meda Mruthyumjaya Rao</w:t>
            </w:r>
          </w:p>
        </w:tc>
        <w:tc>
          <w:tcPr>
            <w:tcW w:type="dxa" w:w="4510"/>
            <w:shd w:fill="222222" w:val="clear"/>
          </w:tcPr>
          <w:p>
            <w:pPr>
              <w:spacing w:after="0"/>
            </w:pPr>
            <w:r>
              <w:rPr>
                <w:rFonts w:ascii="Times New Roman" w:cs="Times New Roman" w:eastAsia="Times New Roman" w:hAnsi="Times New Roman"/>
                <w:color w:val="FFFFFF"/>
                <w:sz w:val="20"/>
                <w:szCs w:val="20"/>
              </w:rPr>
              <w:t xml:space="preserve">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Vittal Govindappa Huddar</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Rama Kant Yadava</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Kamini Dhiman</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Santoshkumar Bankatlalji Bhatted</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Vyasadeva Mahanta</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Rajgopala Shrikrishna Bhat</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Galib</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Meera Keshavlal Bhojani</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Shivakumar Shankar Harti</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Narayan Giriyappa Bavalatti</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Meena Shamrao Deogade</w:t>
            </w:r>
          </w:p>
        </w:tc>
        <w:tc>
          <w:tcPr>
            <w:tcW w:type="dxa" w:w="4510"/>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Vivek Agarwal</w:t>
            </w:r>
          </w:p>
        </w:tc>
        <w:tc>
          <w:tcPr>
            <w:tcW w:type="dxa" w:w="4510"/>
            <w:shd w:fill="222222" w:val="clear"/>
          </w:tcPr>
          <w:p>
            <w:pPr>
              <w:spacing w:after="0"/>
            </w:pPr>
            <w:r>
              <w:rPr>
                <w:rFonts w:ascii="Times New Roman" w:cs="Times New Roman" w:eastAsia="Times New Roman" w:hAnsi="Times New Roman"/>
                <w:color w:val="FFFFFF"/>
                <w:sz w:val="20"/>
                <w:szCs w:val="20"/>
              </w:rPr>
              <w:t xml:space="preserve">Additional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Arun Kumar Mahapatra</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Rajaram Jagat Mahto</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Prasanth Dharmarajan</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Meenakshi Pandey</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Pramod Ratiram Yadav</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Divya Kajaria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Pankaj Kundal</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Shivani Ghildiyal</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Shalini Rai</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Swati Vinayak Gaikwad</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Ramesh Kumar Kl</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Rinky Thakur</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Ramavtar Sharma</w:t>
            </w:r>
          </w:p>
        </w:tc>
        <w:tc>
          <w:tcPr>
            <w:tcW w:type="dxa" w:w="4510"/>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Awadhesh Kumar Pandey</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Associate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Shekhar Gopalrao Uike</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Kamal Kumar</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Garima Srivastava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Nidhi Sharma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Ankur Tripathi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Rashmi R Bhise</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 Neelayathatchi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Prashant Kumar Gupta</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Laxmi Maharana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Sushma Kumari</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Praveen Kumar K S</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Rupashri Nath</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Meeta Jhala</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Amrish Prakash Dedge</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Swapnil Yashwant Chaudhari</w:t>
            </w:r>
          </w:p>
        </w:tc>
        <w:tc>
          <w:tcPr>
            <w:tcW w:type="dxa" w:w="4510"/>
          </w:tcPr>
          <w:p>
            <w:pPr>
              <w:spacing w:after="0"/>
            </w:pPr>
            <w:r>
              <w:rPr>
                <w:rFonts w:ascii="Times New Roman" w:cs="Times New Roman" w:eastAsia="Times New Roman" w:hAnsi="Times New Roman"/>
                <w:color w:val="FFFFFF"/>
                <w:sz w:val="20"/>
                <w:szCs w:val="20"/>
              </w:rPr>
              <w:t xml:space="preserve">Assistant Professor</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Bidhan Mahajon</w:t>
            </w:r>
          </w:p>
        </w:tc>
        <w:tc>
          <w:tcPr>
            <w:tcW w:type="dxa" w:w="4510"/>
            <w:shd w:fill="222222" w:val="clear"/>
          </w:tcPr>
          <w:p>
            <w:pPr>
              <w:spacing w:after="0"/>
            </w:pPr>
            <w:r>
              <w:rPr>
                <w:rFonts w:ascii="Times New Roman" w:cs="Times New Roman" w:eastAsia="Times New Roman" w:hAnsi="Times New Roman"/>
                <w:color w:val="FFFFFF"/>
                <w:sz w:val="20"/>
                <w:szCs w:val="20"/>
              </w:rPr>
              <w:t xml:space="preserve">Assistant Professor</w:t>
            </w:r>
          </w:p>
        </w:tc>
      </w:tr>
    </w:tbl>
    <w:p>
      <w:pPr>
        <w:spacing w:after="60"/>
      </w:pP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4.  IMPORTANT MILESTONES 2024-25</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Prime Minister Narendra Modi’s visit to the All India Institute of Ayurveda (AIIA) during the 9th Ayurveda Day on Dhanvantari Jayanti (October 29,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The President of India, Smt Droupadi Murmu graced the 7th foundation day of All India Institute of Ayurveda (AIIA) in New Delhi today (October 9, 2024).</w:t>
      </w: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The Chief Justice of India (CJI), Dr. Justice Dhananjaya Yeshwant Chandrachud, visited the All India Institute of Ayurveda (AIIA) in October 2024 to inaugurate the first internatioal conference, AROHA-2024</w:t>
      </w:r>
    </w:p>
    <w:p>
      <w:pPr>
        <w:spacing w:after="80" w:line="432"/>
        <w:jc w:val="both"/>
      </w:pPr>
      <w:r>
        <w:rPr>
          <w:rFonts w:ascii="Times New Roman" w:cs="Times New Roman" w:eastAsia="Times New Roman" w:hAnsi="Times New Roman"/>
          <w:color w:val="FFFFFF"/>
          <w:sz w:val="22"/>
          <w:szCs w:val="22"/>
        </w:rPr>
        <w:t xml:space="preserve">The All-India Institute of Ayurveda (AIIA), New Delhi, organised a grand event to commemorate the 10th edition of International Day of Yoga, 2024. The theme of the event on this occasion was “Yoga for Women Empowerment”. Sister BK Shivani, a well-known motivational speaker, was the Chief Guest of this eventAIIA, New Delhi, and Nadipulse Prognostics Pvt. Ltd. signed a Memorandum of Understanding (MoU) under iCAINE, the Incubation Centre for Ayurveda Innovation and Entrepreneurship, for the clinical validation of the Nadi Parikshan equipment, nPulse, developed by Nadi Pulse Prognostics Pvt. Ltd. The MoU was signed by AIIA Director, Prof. (Dr.) Tanuja Nesari.</w:t>
      </w:r>
    </w:p>
    <w:p>
      <w:pPr>
        <w:spacing w:after="80" w:line="432"/>
        <w:jc w:val="both"/>
      </w:pPr>
      <w:r>
        <w:rPr>
          <w:rFonts w:ascii="Times New Roman" w:cs="Times New Roman" w:eastAsia="Times New Roman" w:hAnsi="Times New Roman"/>
          <w:color w:val="FFFFFF"/>
          <w:sz w:val="22"/>
          <w:szCs w:val="22"/>
        </w:rPr>
        <w:t xml:space="preserve">Under the Ministry of Ayush, AIIA hosted the Global Technical Consultation Group meeting on “Artificial Intelligence (AI) for Global Health: Advancing Traditional Medicine” in collaboration with the WHO Global Traditional Medicine Centre (GTMC) and the Department of Digital Health and Innovation (DHI-WHO-HQ) on 11–12 September 2024.</w:t>
      </w:r>
    </w:p>
    <w:p>
      <w:pPr>
        <w:spacing w:after="80" w:line="432"/>
        <w:jc w:val="both"/>
      </w:pPr>
      <w:r>
        <w:rPr>
          <w:rFonts w:ascii="Times New Roman" w:cs="Times New Roman" w:eastAsia="Times New Roman" w:hAnsi="Times New Roman"/>
          <w:color w:val="FFFFFF"/>
          <w:sz w:val="22"/>
          <w:szCs w:val="22"/>
        </w:rPr>
        <w:t xml:space="preserve">AIIA successfully showcased Ayurveda at the Ayush Pavilion during the 46th Session of the World Heritage Committee held at Bharat Mandapam, New Delhi. The event was inaugurated by Hon’ble Prime Minister Shri Narendra Modi on 22 July 2024.</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5.  HOSPITAL AND PATIENT CARE</w:t>
      </w:r>
    </w:p>
    <w:p>
      <w:pPr>
        <w:spacing w:after="80" w:line="432"/>
      </w:pPr>
      <w:r>
        <w:rPr>
          <w:rFonts w:ascii="Times New Roman" w:cs="Times New Roman" w:eastAsia="Times New Roman" w:hAnsi="Times New Roman"/>
          <w:color w:val="FFFFFF"/>
          <w:sz w:val="22"/>
          <w:szCs w:val="22"/>
        </w:rPr>
        <w:t xml:space="preserve">All India Institute of Ayurveda (AIIA)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&gt;All India Institute of Ayurveda (AIIA) is an Apex Ayurveda Institute functioning under the aegis of the Ministry of Ayush, with a vision to be a Centre of Excellence for Ayurveda Education, Research, and Healthcare.The Institute is a perfect blend of Ancient Wisdom and Modern Technology, attracting global attention and expected to boost medical tourism in India by showcasing the strengths of Ayurveda.AIIA is providing NABH-accredited tertiary quality healthcare services to patients through holistic treatment. The Ayurveda Healthcare Model at AIIA Hospital provides services segregated under the following categories:</w:t>
      </w:r>
    </w:p>
    <w:p>
      <w:pPr>
        <w:spacing w:after="80" w:line="432"/>
      </w:pPr>
      <w:r>
        <w:rPr>
          <w:rFonts w:ascii="Times New Roman" w:cs="Times New Roman" w:eastAsia="Times New Roman" w:hAnsi="Times New Roman"/>
          <w:color w:val="FFFFFF"/>
          <w:sz w:val="22"/>
          <w:szCs w:val="22"/>
        </w:rPr>
        <w:t xml:space="preserve">• Out Patient Department (OPD)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In Patient Department (IPD)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Centre for Integrated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Covid Health Centre</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E0E0E0"/>
          <w:sz w:val="24"/>
          <w:szCs w:val="24"/>
        </w:rPr>
        <w:t xml:space="preserve">(a) Out Patient Department (OPD)</w:t>
      </w:r>
    </w:p>
    <w:p>
      <w:pPr>
        <w:spacing w:after="80" w:line="432"/>
        <w:jc w:val="both"/>
      </w:pPr>
      <w:r>
        <w:rPr>
          <w:rFonts w:ascii="Times New Roman" w:cs="Times New Roman" w:eastAsia="Times New Roman" w:hAnsi="Times New Roman"/>
          <w:color w:val="FFFFFF"/>
          <w:sz w:val="22"/>
          <w:szCs w:val="22"/>
        </w:rPr>
        <w:t xml:space="preserve">The Institute has a fully centralized AC hospital and well-equipped OPDs running under highly qualified and experienced Consultants in seven different departments, namely:</w:t>
      </w:r>
    </w:p>
    <w:p>
      <w:pPr>
        <w:spacing w:after="80" w:line="432"/>
      </w:pP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Kaumarbhritya (Paediatrics)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Kayachikitsa (General Medicine)</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Panchakarma</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Shalakya Tantra (Ophthalmology, Ear, Nose &amp; Throat)</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Shalya Tantra (Surgery)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Striroga and Prasuti Tantra (Obstetrics &amp; Gynaecology)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Swasthavritta (Diet, Lifestyle and Yoga Clinic)</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w:t>
      </w:r>
      <w:r>
        <w:rPr>
          <w:rFonts w:ascii="Times New Roman" w:cs="Times New Roman" w:eastAsia="Times New Roman" w:hAnsi="Times New Roman"/>
          <w:color w:val="FFFFFF"/>
          <w:sz w:val="22"/>
          <w:szCs w:val="22"/>
        </w:rPr>
        <w:t xml:space="preserve">Integrated AYUSH Clinic (Unani, Siddha and Homeopathy)</w:t>
      </w:r>
      <w:r>
        <w:rPr>
          <w:rFonts w:ascii="Times New Roman" w:cs="Times New Roman" w:eastAsia="Times New Roman" w:hAnsi="Times New Roman"/>
        </w:rPr>
        <w:t xml:space="preserve">
</w:t>
      </w:r>
    </w:p>
    <w:p>
      <w:pPr>
        <w:spacing w:after="60" w:before="100"/>
      </w:pPr>
      <w:r>
        <w:rPr>
          <w:rFonts w:ascii="Times New Roman" w:cs="Times New Roman" w:eastAsia="Times New Roman" w:hAnsi="Times New Roman"/>
          <w:b/>
          <w:bCs/>
          <w:color w:val="E0E0E0"/>
          <w:sz w:val="24"/>
          <w:szCs w:val="24"/>
        </w:rPr>
        <w:t xml:space="preserve">Specialty Clinical Services</w:t>
      </w:r>
    </w:p>
    <w:p>
      <w:pPr>
        <w:spacing w:after="80" w:line="432"/>
        <w:jc w:val="both"/>
      </w:pPr>
      <w:r>
        <w:rPr>
          <w:rFonts w:ascii="Times New Roman" w:cs="Times New Roman" w:eastAsia="Times New Roman" w:hAnsi="Times New Roman"/>
          <w:color w:val="FFFFFF"/>
          <w:sz w:val="22"/>
          <w:szCs w:val="22"/>
        </w:rPr>
        <w:t xml:space="preserve">The Institute houses 12 specialty departments and 46 clinics, along with 8 interdisciplinary research laboratories. It offers postgraduate and doctoral programs across various branches of Ayurveda.The 200-bed referral hospital facilitates clinical research and provides comprehensive healthcare services, including preventive, promotive, palliative, and post- COVID-19 care.</w:t>
      </w:r>
    </w:p>
    <w:p>
      <w:pPr>
        <w:spacing w:after="60" w:before="140"/>
      </w:pPr>
      <w:r>
        <w:rPr>
          <w:rFonts w:ascii="Times New Roman" w:cs="Times New Roman" w:eastAsia="Times New Roman" w:hAnsi="Times New Roman"/>
          <w:b/>
          <w:bCs/>
          <w:color w:val="F0F0F0"/>
          <w:sz w:val="28"/>
          <w:szCs w:val="28"/>
        </w:rPr>
        <w:t xml:space="preserve">I. Specialty OPD's at AIIA:</w:t>
      </w:r>
    </w:p>
    <w:p>
      <w:pPr>
        <w:spacing w:after="60" w:before="100"/>
      </w:pPr>
      <w:r>
        <w:rPr>
          <w:rFonts w:ascii="Times New Roman" w:cs="Times New Roman" w:eastAsia="Times New Roman" w:hAnsi="Times New Roman"/>
          <w:b/>
          <w:bCs/>
          <w:color w:val="E0E0E0"/>
          <w:sz w:val="24"/>
          <w:szCs w:val="24"/>
        </w:rPr>
        <w:t xml:space="preserve">Specialized Health Care Clinics:</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A-</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Kayachikitsa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w:t>
            </w:r>
          </w:p>
        </w:tc>
        <w:tc>
          <w:tcPr>
            <w:tcW w:type="dxa" w:w="4510"/>
          </w:tcPr>
          <w:p>
            <w:pPr>
              <w:spacing w:after="0"/>
            </w:pPr>
            <w:r>
              <w:rPr>
                <w:rFonts w:ascii="Times New Roman" w:cs="Times New Roman" w:eastAsia="Times New Roman" w:hAnsi="Times New Roman"/>
                <w:color w:val="FFFFFF"/>
                <w:sz w:val="20"/>
                <w:szCs w:val="20"/>
              </w:rPr>
              <w:t xml:space="preserve">Cardiorespiratory care &amp; General Kayachikitsa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2</w:t>
            </w:r>
          </w:p>
        </w:tc>
        <w:tc>
          <w:tcPr>
            <w:tcW w:type="dxa" w:w="4510"/>
            <w:shd w:fill="222222" w:val="clear"/>
          </w:tcPr>
          <w:p>
            <w:pPr>
              <w:spacing w:after="0"/>
            </w:pPr>
            <w:r>
              <w:rPr>
                <w:rFonts w:ascii="Times New Roman" w:cs="Times New Roman" w:eastAsia="Times New Roman" w:hAnsi="Times New Roman"/>
                <w:color w:val="FFFFFF"/>
                <w:sz w:val="20"/>
                <w:szCs w:val="20"/>
              </w:rPr>
              <w:t xml:space="preserve">Neurological &amp; Degenerative Disease Care Unit</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3</w:t>
            </w:r>
          </w:p>
        </w:tc>
        <w:tc>
          <w:tcPr>
            <w:tcW w:type="dxa" w:w="4510"/>
          </w:tcPr>
          <w:p>
            <w:pPr>
              <w:spacing w:after="0"/>
            </w:pPr>
            <w:r>
              <w:rPr>
                <w:rFonts w:ascii="Times New Roman" w:cs="Times New Roman" w:eastAsia="Times New Roman" w:hAnsi="Times New Roman"/>
                <w:color w:val="FFFFFF"/>
                <w:sz w:val="20"/>
                <w:szCs w:val="20"/>
              </w:rPr>
              <w:t xml:space="preserve">Rheumatology &amp; Musculoskeletal Care Unit</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4</w:t>
            </w:r>
          </w:p>
        </w:tc>
        <w:tc>
          <w:tcPr>
            <w:tcW w:type="dxa" w:w="4510"/>
            <w:shd w:fill="222222" w:val="clear"/>
          </w:tcPr>
          <w:p>
            <w:pPr>
              <w:spacing w:after="0"/>
            </w:pPr>
            <w:r>
              <w:rPr>
                <w:rFonts w:ascii="Times New Roman" w:cs="Times New Roman" w:eastAsia="Times New Roman" w:hAnsi="Times New Roman"/>
                <w:color w:val="FFFFFF"/>
                <w:sz w:val="20"/>
                <w:szCs w:val="20"/>
              </w:rPr>
              <w:t xml:space="preserve">Gastrointestinal &amp; Liver Disorders Care Unit</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5</w:t>
            </w:r>
          </w:p>
        </w:tc>
        <w:tc>
          <w:tcPr>
            <w:tcW w:type="dxa" w:w="4510"/>
          </w:tcPr>
          <w:p>
            <w:pPr>
              <w:spacing w:after="0"/>
            </w:pPr>
            <w:r>
              <w:rPr>
                <w:rFonts w:ascii="Times New Roman" w:cs="Times New Roman" w:eastAsia="Times New Roman" w:hAnsi="Times New Roman"/>
                <w:color w:val="FFFFFF"/>
                <w:sz w:val="20"/>
                <w:szCs w:val="20"/>
              </w:rPr>
              <w:t xml:space="preserve">Diabetes &amp; Metabolic/ Disorders Care Unit</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6</w:t>
            </w:r>
          </w:p>
        </w:tc>
        <w:tc>
          <w:tcPr>
            <w:tcW w:type="dxa" w:w="4510"/>
            <w:shd w:fill="222222" w:val="clear"/>
          </w:tcPr>
          <w:p>
            <w:pPr>
              <w:spacing w:after="0"/>
            </w:pPr>
            <w:r>
              <w:rPr>
                <w:rFonts w:ascii="Times New Roman" w:cs="Times New Roman" w:eastAsia="Times New Roman" w:hAnsi="Times New Roman"/>
                <w:color w:val="FFFFFF"/>
                <w:sz w:val="20"/>
                <w:szCs w:val="20"/>
              </w:rPr>
              <w:t xml:space="preserve">General OPD/Rasayan/Vajeekaran/ Manas Roga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7</w:t>
            </w:r>
          </w:p>
        </w:tc>
        <w:tc>
          <w:tcPr>
            <w:tcW w:type="dxa" w:w="4510"/>
          </w:tcPr>
          <w:p>
            <w:pPr>
              <w:spacing w:after="0"/>
            </w:pPr>
            <w:r>
              <w:rPr>
                <w:rFonts w:ascii="Times New Roman" w:cs="Times New Roman" w:eastAsia="Times New Roman" w:hAnsi="Times New Roman"/>
                <w:color w:val="FFFFFF"/>
                <w:sz w:val="20"/>
                <w:szCs w:val="20"/>
              </w:rPr>
              <w:t xml:space="preserve">Skin Care/General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8</w:t>
            </w:r>
          </w:p>
        </w:tc>
        <w:tc>
          <w:tcPr>
            <w:tcW w:type="dxa" w:w="4510"/>
            <w:shd w:fill="222222" w:val="clear"/>
          </w:tcPr>
          <w:p>
            <w:pPr>
              <w:spacing w:after="0"/>
            </w:pPr>
            <w:r>
              <w:rPr>
                <w:rFonts w:ascii="Times New Roman" w:cs="Times New Roman" w:eastAsia="Times New Roman" w:hAnsi="Times New Roman"/>
                <w:color w:val="FFFFFF"/>
                <w:sz w:val="20"/>
                <w:szCs w:val="20"/>
              </w:rPr>
              <w:t xml:space="preserve">Post Covid OPD/General OPD</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9</w:t>
            </w:r>
          </w:p>
        </w:tc>
        <w:tc>
          <w:tcPr>
            <w:tcW w:type="dxa" w:w="4510"/>
          </w:tcPr>
          <w:p>
            <w:pPr>
              <w:spacing w:after="0"/>
            </w:pPr>
            <w:r>
              <w:rPr>
                <w:rFonts w:ascii="Times New Roman" w:cs="Times New Roman" w:eastAsia="Times New Roman" w:hAnsi="Times New Roman"/>
                <w:color w:val="FFFFFF"/>
                <w:sz w:val="20"/>
                <w:szCs w:val="20"/>
              </w:rPr>
              <w:t xml:space="preserve">Post Covid OPD/General OPD</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10</w:t>
            </w:r>
          </w:p>
        </w:tc>
        <w:tc>
          <w:tcPr>
            <w:tcW w:type="dxa" w:w="4510"/>
            <w:shd w:fill="222222" w:val="clear"/>
          </w:tcPr>
          <w:p>
            <w:pPr>
              <w:spacing w:after="0"/>
            </w:pPr>
            <w:r>
              <w:rPr>
                <w:rFonts w:ascii="Times New Roman" w:cs="Times New Roman" w:eastAsia="Times New Roman" w:hAnsi="Times New Roman"/>
                <w:color w:val="FFFFFF"/>
                <w:sz w:val="20"/>
                <w:szCs w:val="20"/>
              </w:rPr>
              <w:t xml:space="preserve">Manasroga OPD</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11</w:t>
            </w:r>
          </w:p>
        </w:tc>
        <w:tc>
          <w:tcPr>
            <w:tcW w:type="dxa" w:w="4510"/>
          </w:tcPr>
          <w:p>
            <w:pPr>
              <w:spacing w:after="0"/>
            </w:pPr>
            <w:r>
              <w:rPr>
                <w:rFonts w:ascii="Times New Roman" w:cs="Times New Roman" w:eastAsia="Times New Roman" w:hAnsi="Times New Roman"/>
                <w:color w:val="FFFFFF"/>
                <w:sz w:val="20"/>
                <w:szCs w:val="20"/>
              </w:rPr>
              <w:t xml:space="preserve">Ay. Nephrology Unit (Every Thursday)</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B-</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Swasthavritta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11</w:t>
            </w:r>
          </w:p>
        </w:tc>
        <w:tc>
          <w:tcPr>
            <w:tcW w:type="dxa" w:w="4510"/>
          </w:tcPr>
          <w:p>
            <w:pPr>
              <w:spacing w:after="0"/>
            </w:pPr>
            <w:r>
              <w:rPr>
                <w:rFonts w:ascii="Times New Roman" w:cs="Times New Roman" w:eastAsia="Times New Roman" w:hAnsi="Times New Roman"/>
                <w:color w:val="FFFFFF"/>
                <w:sz w:val="20"/>
                <w:szCs w:val="20"/>
              </w:rPr>
              <w:t xml:space="preserve">Swasthavritta (Lifestyle, Dietetics &amp; Yoga)</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12</w:t>
            </w:r>
          </w:p>
        </w:tc>
        <w:tc>
          <w:tcPr>
            <w:tcW w:type="dxa" w:w="4510"/>
            <w:shd w:fill="222222" w:val="clear"/>
          </w:tcPr>
          <w:p>
            <w:pPr>
              <w:spacing w:after="0"/>
            </w:pPr>
            <w:r>
              <w:rPr>
                <w:rFonts w:ascii="Times New Roman" w:cs="Times New Roman" w:eastAsia="Times New Roman" w:hAnsi="Times New Roman"/>
                <w:color w:val="FFFFFF"/>
                <w:sz w:val="20"/>
                <w:szCs w:val="20"/>
              </w:rPr>
              <w:t xml:space="preserve">Yoga (09AM to 10AM) &amp; 3:30PM to 4:30PM)</w:t>
            </w:r>
          </w:p>
        </w:tc>
      </w:tr>
    </w:tbl>
    <w:p>
      <w:pPr>
        <w:spacing w:after="60"/>
      </w:pP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tblGrid>
      <w:tr>
        <w:trPr>
          <w:cantSplit/>
          <w:tblHeader/>
        </w:trPr>
        <w:tc>
          <w:tcPr>
            <w:tcW w:type="dxa" w:w="4510"/>
            <w:shd w:fill="444444" w:val="clear"/>
          </w:tcPr>
          <w:p>
            <w:pPr>
              <w:spacing w:after="0"/>
            </w:pPr>
            <w:r>
              <w:rPr>
                <w:rFonts w:ascii="Times New Roman" w:cs="Times New Roman" w:eastAsia="Times New Roman" w:hAnsi="Times New Roman"/>
                <w:b/>
                <w:bCs/>
                <w:color w:val="FFFFFF"/>
                <w:sz w:val="20"/>
                <w:szCs w:val="20"/>
              </w:rPr>
              <w:t xml:space="preserve">C-</w:t>
            </w:r>
          </w:p>
        </w:tc>
        <w:tc>
          <w:tcPr>
            <w:tcW w:type="dxa" w:w="4510"/>
            <w:shd w:fill="444444" w:val="clear"/>
          </w:tcPr>
          <w:p>
            <w:pPr>
              <w:spacing w:after="0"/>
            </w:pPr>
            <w:r>
              <w:rPr>
                <w:rFonts w:ascii="Times New Roman" w:cs="Times New Roman" w:eastAsia="Times New Roman" w:hAnsi="Times New Roman"/>
                <w:b/>
                <w:bCs/>
                <w:color w:val="FFFFFF"/>
                <w:sz w:val="20"/>
                <w:szCs w:val="20"/>
              </w:rPr>
              <w:t xml:space="preserve">Shalakya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14</w:t>
            </w:r>
          </w:p>
        </w:tc>
        <w:tc>
          <w:tcPr>
            <w:tcW w:type="dxa" w:w="4510"/>
          </w:tcPr>
          <w:p>
            <w:pPr>
              <w:spacing w:after="0"/>
            </w:pPr>
            <w:r>
              <w:rPr>
                <w:rFonts w:ascii="Times New Roman" w:cs="Times New Roman" w:eastAsia="Times New Roman" w:hAnsi="Times New Roman"/>
                <w:color w:val="FFFFFF"/>
                <w:sz w:val="20"/>
                <w:szCs w:val="20"/>
              </w:rPr>
              <w:t xml:space="preserve">EYE-Shalakya Netra Roga</w:t>
            </w:r>
          </w:p>
        </w:tc>
      </w:tr>
      <w:tr>
        <w:trPr>
          <w:cantSplit w:val="false"/>
        </w:trPr>
        <w:tc>
          <w:tcPr>
            <w:tcW w:type="dxa" w:w="4510"/>
            <w:shd w:fill="222222" w:val="clear"/>
          </w:tcPr>
          <w:p>
            <w:pPr>
              <w:spacing w:after="0"/>
            </w:pPr>
            <w:r>
              <w:rPr>
                <w:rFonts w:ascii="Times New Roman" w:cs="Times New Roman" w:eastAsia="Times New Roman" w:hAnsi="Times New Roman"/>
                <w:color w:val="FFFFFF"/>
                <w:sz w:val="20"/>
                <w:szCs w:val="20"/>
              </w:rPr>
              <w:t xml:space="preserve">15</w:t>
            </w:r>
          </w:p>
        </w:tc>
        <w:tc>
          <w:tcPr>
            <w:tcW w:type="dxa" w:w="4510"/>
            <w:shd w:fill="222222" w:val="clear"/>
          </w:tcPr>
          <w:p>
            <w:pPr>
              <w:spacing w:after="0"/>
            </w:pPr>
            <w:r>
              <w:rPr>
                <w:rFonts w:ascii="Times New Roman" w:cs="Times New Roman" w:eastAsia="Times New Roman" w:hAnsi="Times New Roman"/>
                <w:color w:val="FFFFFF"/>
                <w:sz w:val="20"/>
                <w:szCs w:val="20"/>
              </w:rPr>
              <w:t xml:space="preserve">ENT care Unit- Shalakya</w:t>
            </w:r>
          </w:p>
        </w:tc>
      </w:tr>
      <w:tr>
        <w:trPr>
          <w:cantSplit w:val="false"/>
        </w:trPr>
        <w:tc>
          <w:tcPr>
            <w:tcW w:type="dxa" w:w="4510"/>
          </w:tcPr>
          <w:p>
            <w:pPr>
              <w:spacing w:after="0"/>
            </w:pPr>
            <w:r>
              <w:rPr>
                <w:rFonts w:ascii="Times New Roman" w:cs="Times New Roman" w:eastAsia="Times New Roman" w:hAnsi="Times New Roman"/>
                <w:color w:val="FFFFFF"/>
                <w:sz w:val="20"/>
                <w:szCs w:val="20"/>
              </w:rPr>
              <w:t xml:space="preserve">16</w:t>
            </w:r>
          </w:p>
        </w:tc>
        <w:tc>
          <w:tcPr>
            <w:tcW w:type="dxa" w:w="4510"/>
          </w:tcPr>
          <w:p>
            <w:pPr>
              <w:spacing w:after="0"/>
            </w:pPr>
            <w:r>
              <w:rPr>
                <w:rFonts w:ascii="Times New Roman" w:cs="Times New Roman" w:eastAsia="Times New Roman" w:hAnsi="Times New Roman"/>
                <w:color w:val="FFFFFF"/>
                <w:sz w:val="20"/>
                <w:szCs w:val="20"/>
              </w:rPr>
              <w:t xml:space="preserve">Kriyakalpa Unit Shalakya</w:t>
            </w:r>
          </w:p>
        </w:tc>
      </w:tr>
    </w:tbl>
    <w:p>
      <w:pPr>
        <w:spacing w:after="60"/>
      </w:pPr>
    </w:p>
    <w:p>
      <w:pPr>
        <w:spacing w:after="4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857500"/>
                    </a:xfrm>
                    <a:prstGeom prst="rect">
                      <a:avLst/>
                    </a:prstGeom>
                  </pic:spPr>
                </pic:pic>
              </a:graphicData>
            </a:graphic>
          </wp:inline>
        </w:drawing>
      </w:r>
    </w:p>
    <w:p>
      <w:pPr>
        <w:spacing w:after="80"/>
        <w:jc w:val="center"/>
      </w:pPr>
      <w:r>
        <w:rPr>
          <w:rFonts w:ascii="Times New Roman" w:cs="Times New Roman" w:eastAsia="Times New Roman" w:hAnsi="Times New Roman"/>
          <w:i/>
          <w:iCs/>
          <w:color w:val="DDDDDD"/>
          <w:sz w:val="18"/>
          <w:szCs w:val="18"/>
        </w:rPr>
        <w:t xml:space="preserve">Admission and discharge 2024-2025</w:t>
      </w:r>
    </w:p>
    <w:p>
      <w:pPr>
        <w:spacing w:after="60"/>
      </w:pPr>
    </w:p>
    <w:p>
      <w:pPr>
        <w:pageBreakBefore/>
        <w:spacing w:after="0" w:before="0"/>
      </w:pPr>
      <w:r>
        <w:t xml:space="preserve"/>
      </w:r>
    </w:p>
    <w:p>
      <w:pPr>
        <w:pBdr>
          <w:bottom w:val="single" w:color="FFFFFF" w:sz="12" w:space="1"/>
        </w:pBdr>
        <w:spacing w:after="120" w:before="240"/>
      </w:pPr>
      <w:r>
        <w:rPr>
          <w:rFonts w:ascii="Times New Roman" w:cs="Times New Roman" w:eastAsia="Times New Roman" w:hAnsi="Times New Roman"/>
          <w:b/>
          <w:bCs/>
          <w:color w:val="FFFFFF"/>
          <w:sz w:val="30"/>
          <w:szCs w:val="30"/>
        </w:rPr>
        <w:t xml:space="preserve">6.  OTHER IMPORTANT INITIATIVES</w:t>
      </w:r>
    </w:p>
    <w:p>
      <w:pPr>
        <w:spacing w:after="60" w:before="140"/>
      </w:pPr>
      <w:r>
        <w:rPr>
          <w:rFonts w:ascii="Times New Roman" w:cs="Times New Roman" w:eastAsia="Times New Roman" w:hAnsi="Times New Roman"/>
          <w:b/>
          <w:bCs/>
          <w:color w:val="F0F0F0"/>
          <w:sz w:val="28"/>
          <w:szCs w:val="28"/>
        </w:rPr>
        <w:t xml:space="preserve">AYURVEDA INNOVATION AND ENTREPRENEURSHIP (AIIA-iCAINE)</w:t>
      </w:r>
    </w:p>
    <w:p>
      <w:pPr>
        <w:spacing w:after="80" w:line="432"/>
      </w:pPr>
      <w:r>
        <w:rPr>
          <w:rFonts w:ascii="Times New Roman" w:cs="Times New Roman" w:eastAsia="Times New Roman" w:hAnsi="Times New Roman"/>
          <w:color w:val="FFFFFF"/>
          <w:sz w:val="22"/>
          <w:szCs w:val="22"/>
        </w:rPr>
        <w:t xml:space="preserve">1. Introduction &amp; Mission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launched on 29 October 2021 by the Ministry of Ayush at AIIA, New Delhi, is India’s premier public-sector Ayurveda startup incubator. It fosters entrepreneurship and innovation by supporting concept-to-market initiatives in Ayurveda.</w:t>
      </w:r>
    </w:p>
    <w:p>
      <w:pPr>
        <w:spacing w:after="80" w:line="432"/>
      </w:pPr>
      <w:r>
        <w:rPr>
          <w:rFonts w:ascii="Times New Roman" w:cs="Times New Roman" w:eastAsia="Times New Roman" w:hAnsi="Times New Roman"/>
          <w:color w:val="FFFFFF"/>
          <w:sz w:val="22"/>
          <w:szCs w:val="22"/>
        </w:rPr>
        <w:t xml:space="preserve">Designated as a Host Institute under the Ministry of MSME, iCAINE offers incubation infrastructure, mentoring, and networking for Ayurveda-based startups.</w:t>
      </w:r>
    </w:p>
    <w:p>
      <w:pPr>
        <w:spacing w:after="80" w:line="432"/>
      </w:pPr>
      <w:r>
        <w:rPr>
          <w:rFonts w:ascii="Times New Roman" w:cs="Times New Roman" w:eastAsia="Times New Roman" w:hAnsi="Times New Roman"/>
          <w:color w:val="FFFFFF"/>
          <w:sz w:val="22"/>
          <w:szCs w:val="22"/>
        </w:rPr>
        <w:t xml:space="preserve">2. Vision &amp; Objectives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Vision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To evolve into a Centre of Excellence promoting invention, innovation, and entrepreneurship in Ayurveda.</w:t>
      </w:r>
    </w:p>
    <w:p>
      <w:pPr>
        <w:spacing w:after="80" w:line="432"/>
      </w:pPr>
      <w:r>
        <w:rPr>
          <w:rFonts w:ascii="Times New Roman" w:cs="Times New Roman" w:eastAsia="Times New Roman" w:hAnsi="Times New Roman"/>
          <w:color w:val="FFFFFF"/>
          <w:sz w:val="22"/>
          <w:szCs w:val="22"/>
        </w:rPr>
        <w:t xml:space="preserve">Mission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Train and mentor innovators in translational research and enterprise setup.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Facilitate academia–industry synergy through infrastructure and technology.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 Support incubatees with mentoring, networking, and market-readiness tools.</w:t>
      </w:r>
      <w:r>
        <w:rPr>
          <w:rFonts w:ascii="Times New Roman" w:cs="Times New Roman" w:eastAsia="Times New Roman" w:hAnsi="Times New Roman"/>
        </w:rPr>
        <w:t xml:space="preserve">
</w:t>
      </w:r>
    </w:p>
    <w:p>
      <w:pPr>
        <w:spacing w:after="80" w:line="432"/>
      </w:pPr>
      <w:r>
        <w:rPr>
          <w:rFonts w:ascii="Times New Roman" w:cs="Times New Roman" w:eastAsia="Times New Roman" w:hAnsi="Times New Roman"/>
          <w:color w:val="FFFFFF"/>
          <w:sz w:val="22"/>
          <w:szCs w:val="22"/>
        </w:rPr>
        <w:t xml:space="preserve">3. Key Functions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Incubation &amp; Mentorship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provides space, laboratories, business guidance, and regulatory guidance to Ayurveda startups. It is recognized by MSME for supporting innovation.</w:t>
      </w:r>
    </w:p>
    <w:p>
      <w:pPr>
        <w:spacing w:after="80" w:line="432"/>
      </w:pPr>
      <w:r>
        <w:rPr>
          <w:rFonts w:ascii="Times New Roman" w:cs="Times New Roman" w:eastAsia="Times New Roman" w:hAnsi="Times New Roman"/>
          <w:color w:val="FFFFFF"/>
          <w:sz w:val="22"/>
          <w:szCs w:val="22"/>
        </w:rPr>
        <w:t xml:space="preserve">Workshops &amp; Sensitization</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The centre hosts events on startup ecosystems, intellectual property, and business planning.</w:t>
      </w:r>
    </w:p>
    <w:p>
      <w:pPr>
        <w:spacing w:after="80" w:line="432"/>
      </w:pPr>
      <w:r>
        <w:rPr>
          <w:rFonts w:ascii="Times New Roman" w:cs="Times New Roman" w:eastAsia="Times New Roman" w:hAnsi="Times New Roman"/>
          <w:color w:val="FFFFFF"/>
          <w:sz w:val="22"/>
          <w:szCs w:val="22"/>
        </w:rPr>
        <w:t xml:space="preserve">Community &amp; Ecosystem</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partners with Ayush, NCISM, MSME, and the Ministry of Education to build a robust innovation landscape.</w:t>
      </w:r>
    </w:p>
    <w:p>
      <w:pPr>
        <w:spacing w:after="80" w:line="432"/>
      </w:pPr>
      <w:r>
        <w:rPr>
          <w:rFonts w:ascii="Times New Roman" w:cs="Times New Roman" w:eastAsia="Times New Roman" w:hAnsi="Times New Roman"/>
          <w:color w:val="FFFFFF"/>
          <w:sz w:val="22"/>
          <w:szCs w:val="22"/>
        </w:rPr>
        <w:t xml:space="preserve">4. Training &amp; Capacity-Building Activities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MSME Idea Hackathon 4.0</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During the MSME Idea Hackathon 4.0, held from 11 September to 10 October 2024, iCAINE served as MSME's Host Institute. The programme invited innovators aged 18–35 and supported incubation along with potential funding of ₹15 lakh per idea.</w:t>
      </w:r>
    </w:p>
    <w:p>
      <w:pPr>
        <w:spacing w:after="80" w:line="432"/>
      </w:pPr>
      <w:r>
        <w:rPr>
          <w:rFonts w:ascii="Times New Roman" w:cs="Times New Roman" w:eastAsia="Times New Roman" w:hAnsi="Times New Roman"/>
          <w:color w:val="FFFFFF"/>
          <w:sz w:val="22"/>
          <w:szCs w:val="22"/>
        </w:rPr>
        <w:t xml:space="preserve">Regular Seminars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Regular seminars were conducted on intellectual property, methods, and industry–academia collaboration for entrepreneurship development.</w:t>
      </w:r>
    </w:p>
    <w:p>
      <w:pPr>
        <w:spacing w:after="80" w:line="432"/>
      </w:pPr>
      <w:r>
        <w:rPr>
          <w:rFonts w:ascii="Times New Roman" w:cs="Times New Roman" w:eastAsia="Times New Roman" w:hAnsi="Times New Roman"/>
          <w:color w:val="FFFFFF"/>
          <w:sz w:val="22"/>
          <w:szCs w:val="22"/>
        </w:rPr>
        <w:t xml:space="preserve">5. Incubation Activities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Knowledge Partner</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entered into a Knowledge Partner agreement with C-CAMP Bangalore, a leader in bioscience incubators. Through this partnership, a CEO, Program Manager, and Finance Portfolio Personnel were appointed.</w:t>
      </w:r>
    </w:p>
    <w:p>
      <w:pPr>
        <w:spacing w:after="80" w:line="432"/>
      </w:pPr>
      <w:r>
        <w:rPr>
          <w:rFonts w:ascii="Times New Roman" w:cs="Times New Roman" w:eastAsia="Times New Roman" w:hAnsi="Times New Roman"/>
          <w:color w:val="FFFFFF"/>
          <w:sz w:val="22"/>
          <w:szCs w:val="22"/>
        </w:rPr>
        <w:t xml:space="preserve">Startups Incubated: FY 2024–25</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During FY 2024–25, iCAINE incubated 5 teams of founders, with 1 startup MVP study in progress.</w:t>
      </w:r>
    </w:p>
    <w:p>
      <w:pPr>
        <w:spacing w:after="80" w:line="432"/>
      </w:pPr>
      <w:r>
        <w:rPr>
          <w:rFonts w:ascii="Times New Roman" w:cs="Times New Roman" w:eastAsia="Times New Roman" w:hAnsi="Times New Roman"/>
          <w:color w:val="FFFFFF"/>
          <w:sz w:val="22"/>
          <w:szCs w:val="22"/>
        </w:rPr>
        <w:t xml:space="preserve">Facilities Provided</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Facilities provided to incubatees included mentoring in business and clinical validation through clinical trials.</w:t>
      </w:r>
    </w:p>
    <w:p>
      <w:pPr>
        <w:spacing w:after="80" w:line="432"/>
      </w:pPr>
      <w:r>
        <w:rPr>
          <w:rFonts w:ascii="Times New Roman" w:cs="Times New Roman" w:eastAsia="Times New Roman" w:hAnsi="Times New Roman"/>
          <w:color w:val="FFFFFF"/>
          <w:sz w:val="22"/>
          <w:szCs w:val="22"/>
        </w:rPr>
        <w:t xml:space="preserve">Fund Raising</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A proposal for iTBI Nidhi DST was successfully submitted on 14 February 2025.</w:t>
      </w:r>
    </w:p>
    <w:p>
      <w:pPr>
        <w:spacing w:after="80" w:line="432"/>
      </w:pPr>
      <w:r>
        <w:rPr>
          <w:rFonts w:ascii="Times New Roman" w:cs="Times New Roman" w:eastAsia="Times New Roman" w:hAnsi="Times New Roman"/>
          <w:color w:val="FFFFFF"/>
          <w:sz w:val="22"/>
          <w:szCs w:val="22"/>
        </w:rPr>
        <w:t xml:space="preserve">Milestones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Key milestones included successful prototype development, incubation of SIH Hackathon winners, and participation in national exhibitions.</w:t>
      </w:r>
    </w:p>
    <w:p>
      <w:pPr>
        <w:spacing w:after="80" w:line="432"/>
      </w:pPr>
      <w:r>
        <w:rPr>
          <w:rFonts w:ascii="Times New Roman" w:cs="Times New Roman" w:eastAsia="Times New Roman" w:hAnsi="Times New Roman"/>
          <w:color w:val="FFFFFF"/>
          <w:sz w:val="22"/>
          <w:szCs w:val="22"/>
        </w:rPr>
        <w:t xml:space="preserve">Incubation Policy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The working draft of the Incubation Policy Manual is ready.</w:t>
      </w:r>
    </w:p>
    <w:p>
      <w:pPr>
        <w:spacing w:after="80" w:line="432"/>
      </w:pPr>
      <w:r>
        <w:rPr>
          <w:rFonts w:ascii="Times New Roman" w:cs="Times New Roman" w:eastAsia="Times New Roman" w:hAnsi="Times New Roman"/>
          <w:color w:val="FFFFFF"/>
          <w:sz w:val="22"/>
          <w:szCs w:val="22"/>
        </w:rPr>
        <w:t xml:space="preserve">6. Lectures, Conferences &amp; Events by Staff</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Staff members led sessions at “AYUR-UDYAMAH” and the MSME Idea Hackathon.</w:t>
      </w:r>
    </w:p>
    <w:p>
      <w:pPr>
        <w:spacing w:after="80" w:line="432"/>
      </w:pPr>
      <w:r>
        <w:rPr>
          <w:rFonts w:ascii="Times New Roman" w:cs="Times New Roman" w:eastAsia="Times New Roman" w:hAnsi="Times New Roman"/>
          <w:color w:val="FFFFFF"/>
          <w:sz w:val="22"/>
          <w:szCs w:val="22"/>
        </w:rPr>
        <w:t xml:space="preserve">They were also active contributors and panellists at the World Ayurveda Congress 2024.</w:t>
      </w:r>
    </w:p>
    <w:p>
      <w:pPr>
        <w:spacing w:after="80" w:line="432"/>
      </w:pPr>
      <w:r>
        <w:rPr>
          <w:rFonts w:ascii="Times New Roman" w:cs="Times New Roman" w:eastAsia="Times New Roman" w:hAnsi="Times New Roman"/>
          <w:color w:val="FFFFFF"/>
          <w:sz w:val="22"/>
          <w:szCs w:val="22"/>
        </w:rPr>
        <w:t xml:space="preserve">7. Startups’ Achievements &amp; Awards</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iCAINE initiated the Navapravarthan Idea Hackathon.</w:t>
      </w:r>
    </w:p>
    <w:p>
      <w:pPr>
        <w:spacing w:after="80" w:line="432"/>
      </w:pPr>
      <w:r>
        <w:rPr>
          <w:rFonts w:ascii="Times New Roman" w:cs="Times New Roman" w:eastAsia="Times New Roman" w:hAnsi="Times New Roman"/>
          <w:color w:val="FFFFFF"/>
          <w:sz w:val="22"/>
          <w:szCs w:val="22"/>
        </w:rPr>
        <w:t xml:space="preserve">SIH Hackathon participants became eligible for funding, with evaluation and incubation underway.</w:t>
      </w:r>
    </w:p>
    <w:p>
      <w:pPr>
        <w:spacing w:after="80" w:line="432"/>
      </w:pPr>
      <w:r>
        <w:rPr>
          <w:rFonts w:ascii="Times New Roman" w:cs="Times New Roman" w:eastAsia="Times New Roman" w:hAnsi="Times New Roman"/>
          <w:color w:val="FFFFFF"/>
          <w:sz w:val="22"/>
          <w:szCs w:val="22"/>
        </w:rPr>
        <w:t xml:space="preserve">Multiple startups were shortlisted nationally, securing grant and incubation support.</w:t>
      </w:r>
    </w:p>
    <w:p>
      <w:pPr>
        <w:spacing w:after="60" w:before="140"/>
      </w:pPr>
      <w:r>
        <w:rPr>
          <w:rFonts w:ascii="Times New Roman" w:cs="Times New Roman" w:eastAsia="Times New Roman" w:hAnsi="Times New Roman"/>
          <w:b/>
          <w:bCs/>
          <w:color w:val="F0F0F0"/>
          <w:sz w:val="28"/>
          <w:szCs w:val="28"/>
        </w:rPr>
        <w:t xml:space="preserve">Events Organized</w:t>
      </w:r>
    </w:p>
    <w:tbl>
      <w:tblPr>
        <w:tblW w:type="pct" w:w="100%"/>
        <w:tblBorders>
          <w:top w:val="single" w:color="888888" w:sz="4"/>
          <w:left w:val="single" w:color="888888" w:sz="4"/>
          <w:bottom w:val="single" w:color="888888" w:sz="4"/>
          <w:right w:val="single" w:color="888888" w:sz="4"/>
          <w:insideH w:val="single" w:color="auto" w:sz="4"/>
          <w:insideV w:val="single" w:color="auto" w:sz="4"/>
        </w:tblBorders>
      </w:tblPr>
      <w:tblGrid>
        <w:gridCol w:w="100"/>
        <w:gridCol w:w="100"/>
        <w:gridCol w:w="100"/>
      </w:tblGrid>
      <w:tr>
        <w:trPr>
          <w:cantSplit/>
          <w:tblHeader/>
        </w:trPr>
        <w:tc>
          <w:tcPr>
            <w:tcW w:type="dxa" w:w="3006"/>
            <w:shd w:fill="444444" w:val="clear"/>
          </w:tcPr>
          <w:p>
            <w:pPr>
              <w:spacing w:after="0"/>
            </w:pPr>
            <w:r>
              <w:rPr>
                <w:rFonts w:ascii="Times New Roman" w:cs="Times New Roman" w:eastAsia="Times New Roman" w:hAnsi="Times New Roman"/>
                <w:b/>
                <w:bCs/>
                <w:color w:val="FFFFFF"/>
                <w:sz w:val="20"/>
                <w:szCs w:val="20"/>
              </w:rPr>
              <w:t xml:space="preserve">Date</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Event</w:t>
            </w:r>
          </w:p>
        </w:tc>
        <w:tc>
          <w:tcPr>
            <w:tcW w:type="dxa" w:w="3006"/>
            <w:shd w:fill="444444" w:val="clear"/>
          </w:tcPr>
          <w:p>
            <w:pPr>
              <w:spacing w:after="0"/>
            </w:pPr>
            <w:r>
              <w:rPr>
                <w:rFonts w:ascii="Times New Roman" w:cs="Times New Roman" w:eastAsia="Times New Roman" w:hAnsi="Times New Roman"/>
                <w:b/>
                <w:bCs/>
                <w:color w:val="FFFFFF"/>
                <w:sz w:val="20"/>
                <w:szCs w:val="20"/>
              </w:rPr>
              <w:t xml:space="preserve">Highlights</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11–12
September
2024</w:t>
            </w:r>
          </w:p>
        </w:tc>
        <w:tc>
          <w:tcPr>
            <w:tcW w:type="dxa" w:w="3006"/>
          </w:tcPr>
          <w:p>
            <w:pPr>
              <w:spacing w:after="0"/>
            </w:pPr>
            <w:r>
              <w:rPr>
                <w:rFonts w:ascii="Times New Roman" w:cs="Times New Roman" w:eastAsia="Times New Roman" w:hAnsi="Times New Roman"/>
                <w:color w:val="FFFFFF"/>
                <w:sz w:val="20"/>
                <w:szCs w:val="20"/>
              </w:rPr>
              <w:t xml:space="preserve">MSME Idea Hackathon 4.0 – Kickoff</w:t>
            </w:r>
          </w:p>
        </w:tc>
        <w:tc>
          <w:tcPr>
            <w:tcW w:type="dxa" w:w="3006"/>
          </w:tcPr>
          <w:p>
            <w:pPr>
              <w:spacing w:after="0"/>
            </w:pPr>
            <w:r>
              <w:rPr>
                <w:rFonts w:ascii="Times New Roman" w:cs="Times New Roman" w:eastAsia="Times New Roman" w:hAnsi="Times New Roman"/>
                <w:color w:val="FFFFFF"/>
                <w:sz w:val="20"/>
                <w:szCs w:val="20"/>
              </w:rPr>
              <w:t xml:space="preserve">National-level competition hosted
by AIIA-iCAINE; ideas evaluated
by expert panels.</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14 December
2024</w:t>
            </w:r>
          </w:p>
        </w:tc>
        <w:tc>
          <w:tcPr>
            <w:tcW w:type="dxa" w:w="3006"/>
            <w:shd w:fill="222222" w:val="clear"/>
          </w:tcPr>
          <w:p>
            <w:pPr>
              <w:spacing w:after="0"/>
            </w:pPr>
            <w:r>
              <w:rPr>
                <w:rFonts w:ascii="Times New Roman" w:cs="Times New Roman" w:eastAsia="Times New Roman" w:hAnsi="Times New Roman"/>
                <w:color w:val="FFFFFF"/>
                <w:sz w:val="20"/>
                <w:szCs w:val="20"/>
              </w:rPr>
              <w:t xml:space="preserve">iStartup SaturdayWebinar Series – The
Biological Diversity Act and its Relevance in
Utilisation of Biological Resources for
Research and Commercial Use</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Mr. Shivakumar, Founder
and Managing Attorney, IPMentor
for Startups, Advisor for BDA&amp;
Technology Transfer.</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28 December
2024</w:t>
            </w:r>
          </w:p>
        </w:tc>
        <w:tc>
          <w:tcPr>
            <w:tcW w:type="dxa" w:w="3006"/>
          </w:tcPr>
          <w:p>
            <w:pPr>
              <w:spacing w:after="0"/>
            </w:pPr>
            <w:r>
              <w:rPr>
                <w:rFonts w:ascii="Times New Roman" w:cs="Times New Roman" w:eastAsia="Times New Roman" w:hAnsi="Times New Roman"/>
                <w:color w:val="FFFFFF"/>
                <w:sz w:val="20"/>
                <w:szCs w:val="20"/>
              </w:rPr>
              <w:t xml:space="preserve">iStartup SaturdayWebinar Series –
Exploring Ayurveda-Based
Entrepreneurship: Insights, Opportunities
and Challenges</w:t>
            </w:r>
          </w:p>
        </w:tc>
        <w:tc>
          <w:tcPr>
            <w:tcW w:type="dxa" w:w="3006"/>
          </w:tcPr>
          <w:p>
            <w:pPr>
              <w:spacing w:after="0"/>
            </w:pPr>
            <w:r>
              <w:rPr>
                <w:rFonts w:ascii="Times New Roman" w:cs="Times New Roman" w:eastAsia="Times New Roman" w:hAnsi="Times New Roman"/>
                <w:color w:val="FFFFFF"/>
                <w:sz w:val="20"/>
                <w:szCs w:val="20"/>
              </w:rPr>
              <w:t xml:space="preserve">Speaker: Dr. Nimin Sreedhar,
Entrepreneur and Founder, The
Dravya App.</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11 January
2025</w:t>
            </w:r>
          </w:p>
        </w:tc>
        <w:tc>
          <w:tcPr>
            <w:tcW w:type="dxa" w:w="3006"/>
            <w:shd w:fill="222222" w:val="clear"/>
          </w:tcPr>
          <w:p>
            <w:pPr>
              <w:spacing w:after="0"/>
            </w:pPr>
            <w:r>
              <w:rPr>
                <w:rFonts w:ascii="Times New Roman" w:cs="Times New Roman" w:eastAsia="Times New Roman" w:hAnsi="Times New Roman"/>
                <w:color w:val="FFFFFF"/>
                <w:sz w:val="20"/>
                <w:szCs w:val="20"/>
              </w:rPr>
              <w:t xml:space="preserve">iStartup SaturdayWebinar Series – From
Idea to Execution: A Beginner’s Guide to
Start-ups</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Manager, Startup &amp;
MSME Development, T-Works,
Hyderabad.</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16 January
2025</w:t>
            </w:r>
          </w:p>
        </w:tc>
        <w:tc>
          <w:tcPr>
            <w:tcW w:type="dxa" w:w="3006"/>
          </w:tcPr>
          <w:p>
            <w:pPr>
              <w:spacing w:after="0"/>
            </w:pPr>
            <w:r>
              <w:rPr>
                <w:rFonts w:ascii="Times New Roman" w:cs="Times New Roman" w:eastAsia="Times New Roman" w:hAnsi="Times New Roman"/>
                <w:color w:val="FFFFFF"/>
                <w:sz w:val="20"/>
                <w:szCs w:val="20"/>
              </w:rPr>
              <w:t xml:space="preserve">National Startup Day 2025 – Entrepreneurial
Talk Celebration under iCAINE;
SensitizationWorkshops &amp; Mentorship for
Navapravarthan Idea Hackathon</w:t>
            </w:r>
          </w:p>
        </w:tc>
        <w:tc>
          <w:tcPr>
            <w:tcW w:type="dxa" w:w="3006"/>
          </w:tcPr>
          <w:p>
            <w:pPr>
              <w:spacing w:after="0"/>
            </w:pPr>
            <w:r>
              <w:rPr>
                <w:rFonts w:ascii="Times New Roman" w:cs="Times New Roman" w:eastAsia="Times New Roman" w:hAnsi="Times New Roman"/>
                <w:color w:val="FFFFFF"/>
                <w:sz w:val="20"/>
                <w:szCs w:val="20"/>
              </w:rPr>
              <w:t xml:space="preserve">Speakers: Mr. Ujjwal Bhardwaj,
Founder &amp; CEO, Electrifuel, and
Mr. Sujith Eranezhath, CEO,
iCAINE-AIIA.</w:t>
            </w:r>
          </w:p>
        </w:tc>
      </w:tr>
      <w:tr>
        <w:trPr>
          <w:cantSplit w:val="false"/>
        </w:trPr>
        <w:tc>
          <w:tcPr>
            <w:tcW w:type="dxa" w:w="3006"/>
            <w:shd w:fill="222222" w:val="clear"/>
          </w:tcPr>
          <w:p>
            <w:pPr>
              <w:spacing w:after="0"/>
            </w:pPr>
            <w:r>
              <w:rPr>
                <w:rFonts w:ascii="Times New Roman" w:cs="Times New Roman" w:eastAsia="Times New Roman" w:hAnsi="Times New Roman"/>
                <w:color w:val="FFFFFF"/>
                <w:sz w:val="20"/>
                <w:szCs w:val="20"/>
              </w:rPr>
              <w:t xml:space="preserve">22 February
2025 </w:t>
            </w:r>
          </w:p>
        </w:tc>
        <w:tc>
          <w:tcPr>
            <w:tcW w:type="dxa" w:w="3006"/>
            <w:shd w:fill="222222" w:val="clear"/>
          </w:tcPr>
          <w:p>
            <w:pPr>
              <w:spacing w:after="0"/>
            </w:pPr>
            <w:r>
              <w:rPr>
                <w:rFonts w:ascii="Times New Roman" w:cs="Times New Roman" w:eastAsia="Times New Roman" w:hAnsi="Times New Roman"/>
                <w:color w:val="FFFFFF"/>
                <w:sz w:val="20"/>
                <w:szCs w:val="20"/>
              </w:rPr>
              <w:t xml:space="preserve">Legal &amp; Regulatory Aspects of Start-ups and
their Impact on Ayurveda Enterprises</w:t>
            </w:r>
          </w:p>
        </w:tc>
        <w:tc>
          <w:tcPr>
            <w:tcW w:type="dxa" w:w="3006"/>
            <w:shd w:fill="222222" w:val="clear"/>
          </w:tcPr>
          <w:p>
            <w:pPr>
              <w:spacing w:after="0"/>
            </w:pPr>
            <w:r>
              <w:rPr>
                <w:rFonts w:ascii="Times New Roman" w:cs="Times New Roman" w:eastAsia="Times New Roman" w:hAnsi="Times New Roman"/>
                <w:color w:val="FFFFFF"/>
                <w:sz w:val="20"/>
                <w:szCs w:val="20"/>
              </w:rPr>
              <w:t xml:space="preserve">Speaker: Mr. Abhishek Giya,
Practising Company Secretary,
Zolvit (Vakilsearch).</w:t>
            </w:r>
          </w:p>
        </w:tc>
      </w:tr>
      <w:tr>
        <w:trPr>
          <w:cantSplit w:val="false"/>
        </w:trPr>
        <w:tc>
          <w:tcPr>
            <w:tcW w:type="dxa" w:w="3006"/>
          </w:tcPr>
          <w:p>
            <w:pPr>
              <w:spacing w:after="0"/>
            </w:pPr>
            <w:r>
              <w:rPr>
                <w:rFonts w:ascii="Times New Roman" w:cs="Times New Roman" w:eastAsia="Times New Roman" w:hAnsi="Times New Roman"/>
                <w:color w:val="FFFFFF"/>
                <w:sz w:val="20"/>
                <w:szCs w:val="20"/>
              </w:rPr>
              <w:t xml:space="preserve">22 March
2025</w:t>
            </w:r>
          </w:p>
        </w:tc>
        <w:tc>
          <w:tcPr>
            <w:tcW w:type="dxa" w:w="3006"/>
          </w:tcPr>
          <w:p>
            <w:pPr>
              <w:spacing w:after="0"/>
            </w:pPr>
            <w:r>
              <w:rPr>
                <w:rFonts w:ascii="Times New Roman" w:cs="Times New Roman" w:eastAsia="Times New Roman" w:hAnsi="Times New Roman"/>
                <w:color w:val="FFFFFF"/>
                <w:sz w:val="20"/>
                <w:szCs w:val="20"/>
              </w:rPr>
              <w:t xml:space="preserve">iStartup SaturdayWebinar Series –
Introduction to Funding: Bootstrapping vs
External Investment</w:t>
            </w:r>
          </w:p>
        </w:tc>
        <w:tc>
          <w:tcPr>
            <w:tcW w:type="dxa" w:w="3006"/>
          </w:tcPr>
          <w:p>
            <w:pPr>
              <w:spacing w:after="0"/>
            </w:pPr>
            <w:r>
              <w:rPr>
                <w:rFonts w:ascii="Times New Roman" w:cs="Times New Roman" w:eastAsia="Times New Roman" w:hAnsi="Times New Roman"/>
                <w:color w:val="FFFFFF"/>
                <w:sz w:val="20"/>
                <w:szCs w:val="20"/>
              </w:rPr>
              <w:t xml:space="preserve">Speaker: Dr. Rijesh Krishna, CEO,
Dr. Moopen’s Medical College,
Wayanad.</w:t>
            </w:r>
          </w:p>
        </w:tc>
      </w:tr>
    </w:tbl>
    <w:p>
      <w:pPr>
        <w:spacing w:after="60"/>
      </w:pPr>
    </w:p>
    <w:p>
      <w:pPr>
        <w:spacing w:after="80" w:line="432"/>
      </w:pPr>
      <w:r>
        <w:rPr>
          <w:rFonts w:ascii="Times New Roman" w:cs="Times New Roman" w:eastAsia="Times New Roman" w:hAnsi="Times New Roman"/>
          <w:color w:val="FFFFFF"/>
          <w:sz w:val="22"/>
          <w:szCs w:val="22"/>
        </w:rPr>
        <w:t xml:space="preserve">9. Summary &amp; SWOT Outlook Summary</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&gt;During FY 2024–25, iCAINE strengthened its position as an important bridge between Ayurveda knowledge and entrepreneurship. With MSME recognition and multiple startup showcase opportunities, the incubator charted a path toward scaling innovations and building an empowered AYUSH startup ecosystem. The centre continued to support innovators by providing an ecosystem for concept development, mentorship, networking, business guidance, clinical validation, and opportunities for incubation support.</w:t>
      </w:r>
    </w:p>
    <w:p>
      <w:pPr>
        <w:spacing w:after="80" w:line="432"/>
        <w:jc w:val="both"/>
      </w:pPr>
      <w:r>
        <w:rPr>
          <w:rFonts w:ascii="Times New Roman" w:cs="Times New Roman" w:eastAsia="Times New Roman" w:hAnsi="Times New Roman"/>
          <w:color w:val="FFFFFF"/>
          <w:sz w:val="22"/>
          <w:szCs w:val="22"/>
        </w:rPr>
        <w:t xml:space="preserve">The strengths of iCAINE lie in its unique position as a public-sector Ayurveda incubator, its recognition as an MSME Host Institute, and its strong institutional network. These factors provide iCAINE with a significant advantage in supporting Ayurveda-based innovators and startups. Its association with AIIA, the Ministry of Ayush, MSME, academic institutions, research organisations, and industry partners enables it to create a strong platform for innovation, entrepreneurship, translational research, and commercialization in the AYUSH sector.</w:t>
      </w:r>
    </w:p>
    <w:p>
      <w:pPr>
        <w:spacing w:after="80" w:line="432"/>
        <w:jc w:val="both"/>
      </w:pPr>
      <w:r>
        <w:rPr>
          <w:rFonts w:ascii="Times New Roman" w:cs="Times New Roman" w:eastAsia="Times New Roman" w:hAnsi="Times New Roman"/>
          <w:color w:val="FFFFFF"/>
          <w:sz w:val="22"/>
          <w:szCs w:val="22"/>
        </w:rPr>
        <w:t xml:space="preserve">At the same time, iCAINE requires more detailed reporting on incubated startups, their progress, commercialization milestones, and long-term outcomes. Strengthening documentation, monitoring mechanisms, startup performance tracking, and impact assessment will help the incubator demonstrate the effectiveness of its support systems and identify areas for further improvement.</w:t>
      </w:r>
    </w:p>
    <w:p>
      <w:pPr>
        <w:spacing w:after="80" w:line="432"/>
        <w:jc w:val="both"/>
      </w:pPr>
      <w:r>
        <w:rPr>
          <w:rFonts w:ascii="Times New Roman" w:cs="Times New Roman" w:eastAsia="Times New Roman" w:hAnsi="Times New Roman"/>
          <w:color w:val="FFFFFF"/>
          <w:sz w:val="22"/>
          <w:szCs w:val="22"/>
        </w:rPr>
        <w:t xml:space="preserve">The incubator has significant opportunities to launch focused innovation challenges, expand digital and artificial intelligence projects, and initiate global collaborations. By encouraging innovators to develop solutions in areas such as digital health, artificial intelligence, Ayurveda diagnostics, personalized healthcare, drug development, wellness technologies, and sustainable healthcare products, iCAINE can expand its contribution to the AYUSH innovation ecosystem. International partnerships and collaborations can further support knowledge exchange, technology transfer, market access, and global visibility for Ayurveda-based startups.</w:t>
      </w:r>
    </w:p>
    <w:p>
      <w:pPr>
        <w:spacing w:after="80" w:line="432"/>
        <w:jc w:val="both"/>
      </w:pPr>
      <w:r>
        <w:rPr>
          <w:rFonts w:ascii="Times New Roman" w:cs="Times New Roman" w:eastAsia="Times New Roman" w:hAnsi="Times New Roman"/>
          <w:color w:val="FFFFFF"/>
          <w:sz w:val="22"/>
          <w:szCs w:val="22"/>
        </w:rPr>
        <w:t xml:space="preserve">The key challenges and threats include retaining startups within the incubation ecosystem, securing seed funding, and sustaining momentum after award cycles. Continued efforts are needed to ensure that promising startups receive adequate financial support, mentorship, market access, regulatory guidance, and business development opportunities. Maintaining long-term engagement with incubated startups and creating a sustainable funding ecosystem will be important for ensuring the success of Ayurveda-based innovations.</w:t>
      </w:r>
    </w:p>
    <w:p>
      <w:pPr>
        <w:spacing w:after="80" w:line="432"/>
      </w:pPr>
      <w:r>
        <w:rPr>
          <w:rFonts w:ascii="Times New Roman" w:cs="Times New Roman" w:eastAsia="Times New Roman" w:hAnsi="Times New Roman"/>
          <w:color w:val="FFFFFF"/>
          <w:sz w:val="22"/>
          <w:szCs w:val="22"/>
        </w:rPr>
        <w:t xml:space="preserve">10. Future Roadmap</w:t>
      </w:r>
      <w:r>
        <w:rPr>
          <w:rFonts w:ascii="Times New Roman" w:cs="Times New Roman" w:eastAsia="Times New Roman" w:hAnsi="Times New Roman"/>
        </w:rPr>
        <w:t xml:space="preserve">
</w:t>
      </w:r>
      <w:r>
        <w:rPr>
          <w:rFonts w:ascii="Times New Roman" w:cs="Times New Roman" w:eastAsia="Times New Roman" w:hAnsi="Times New Roman"/>
          <w:color w:val="FFFFFF"/>
          <w:sz w:val="22"/>
          <w:szCs w:val="22"/>
        </w:rPr>
        <w:t xml:space="preserve">&gt;The future roadmap of iCAINE includes the continued implementation of the Navapravarthan Idea Hackathon to identify and support innovative ideas in the AYUSH sector. The incubator also plans to initiate a Seed Funding Scheme to provide early-stage financial support to promising startups and innovators. This initiative is expected to help entrepreneurs move from the idea stage to prototype development, clinical validation, product development, and commercialization.</w:t>
      </w:r>
    </w:p>
    <w:p>
      <w:pPr>
        <w:spacing w:after="80" w:line="432"/>
        <w:jc w:val="both"/>
      </w:pPr>
      <w:r>
        <w:rPr>
          <w:rFonts w:ascii="Times New Roman" w:cs="Times New Roman" w:eastAsia="Times New Roman" w:hAnsi="Times New Roman"/>
          <w:color w:val="FFFFFF"/>
          <w:sz w:val="22"/>
          <w:szCs w:val="22"/>
        </w:rPr>
        <w:t xml:space="preserve">iCAINE will focus on scaling laboratory and digital infrastructure to strengthen research, development, testing, validation, and prototyping activities. Enhanced laboratory facilities, technology platforms, digital tools, and research support systems will help startups develop high-quality Ayurveda-based products, diagnostics, healthcare services, and technology solutions.</w:t>
      </w:r>
    </w:p>
    <w:p>
      <w:pPr>
        <w:spacing w:after="80" w:line="432"/>
        <w:jc w:val="both"/>
      </w:pPr>
      <w:r>
        <w:rPr>
          <w:rFonts w:ascii="Times New Roman" w:cs="Times New Roman" w:eastAsia="Times New Roman" w:hAnsi="Times New Roman"/>
          <w:color w:val="FFFFFF"/>
          <w:sz w:val="22"/>
          <w:szCs w:val="22"/>
        </w:rPr>
        <w:t xml:space="preserve">The incubator will also reinforce funding channels through MSME, venture capital, corporate social responsibility initiatives, and Ayush grants. Strengthening these funding mechanisms will help startups access the capital required for research, product development, clinical trials, regulatory approvals, market entry, and business expansion.</w:t>
      </w:r>
    </w:p>
    <w:p>
      <w:pPr>
        <w:spacing w:after="80" w:line="432"/>
        <w:jc w:val="both"/>
      </w:pPr>
      <w:r>
        <w:rPr>
          <w:rFonts w:ascii="Times New Roman" w:cs="Times New Roman" w:eastAsia="Times New Roman" w:hAnsi="Times New Roman"/>
          <w:color w:val="FFFFFF"/>
          <w:sz w:val="22"/>
          <w:szCs w:val="22"/>
        </w:rPr>
        <w:t xml:space="preserve">In addition, iCAINE aims to institutionalize annual innovation challenges targeting diverse AYUSH sectors. These challenges will encourage innovators, students, researchers, healthcare professionals, entrepreneurs, and industry partners to develop solutions for key healthcare needs. Through these initiatives, iCAINE aims to build a stronger, more sustainable, and globally competitive AYUSH startup ecosystem.</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1"/>
      </w:pBdr>
      <w:tabs>
        <w:tab w:val="center" w:pos="4513"/>
        <w:tab w:val="right" w:pos="9026"/>
      </w:tabs>
      <w:spacing w:before="0"/>
    </w:pPr>
    <w:r>
      <w:rPr>
        <w:rFonts w:ascii="Times New Roman" w:cs="Times New Roman" w:eastAsia="Times New Roman" w:hAnsi="Times New Roman"/>
        <w:color w:val="CCCCCC"/>
        <w:sz w:val="15"/>
        <w:szCs w:val="15"/>
      </w:rPr>
      <w:t xml:space="preserve">AIIA</w:t>
    </w:r>
    <w:r>
      <w:rPr>
        <w:sz w:val="15"/>
        <w:szCs w:val="15"/>
      </w:rPr>
      <w:t xml:space="preserve">	</w:t>
    </w:r>
    <w:r>
      <w:rPr>
        <w:b/>
        <w:bCs/>
        <w:color w:val="CCCCCC"/>
        <w:sz w:val="18"/>
        <w:szCs w:val="18"/>
      </w:rPr>
      <w:fldChar w:fldCharType="begin"/>
      <w:instrText xml:space="preserve">PAGE</w:instrText>
      <w:fldChar w:fldCharType="separate"/>
      <w:fldChar w:fldCharType="end"/>
    </w:r>
    <w:r>
      <w:rPr>
        <w:sz w:val="15"/>
        <w:szCs w:val="15"/>
      </w:rPr>
      <w:t xml:space="preserve">	</w:t>
    </w: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87050">
          <wp:simplePos x="0" y="0"/>
          <wp:positionH relativeFrom="page">
            <wp:align>left</wp:align>
          </wp:positionH>
          <wp:positionV relativeFrom="page">
            <wp:align>top</wp:align>
          </wp:positionV>
          <wp:extent cx="7562850" cy="106870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87050"/>
                  </a:xfrm>
                  <a:prstGeom prst="rect">
                    <a:avLst/>
                  </a:prstGeom>
                </pic:spPr>
              </pic:pic>
            </a:graphicData>
          </a:graphic>
        </wp:anchor>
      </w:drawing>
    </w:r>
  </w:p>
  <w:p>
    <w:pPr>
      <w:pBdr>
        <w:bottom w:val="single" w:color="888888" w:sz="2" w:space="1"/>
      </w:pBdr>
      <w:tabs>
        <w:tab w:val="right" w:pos="9026"/>
      </w:tabs>
      <w:spacing w:after="0"/>
    </w:pPr>
    <w:r>
      <w:rPr>
        <w:rFonts w:ascii="Times New Roman" w:cs="Times New Roman" w:eastAsia="Times New Roman" w:hAnsi="Times New Roman"/>
        <w:color w:val="CCCCCC"/>
        <w:sz w:val="15"/>
        <w:szCs w:val="15"/>
      </w:rPr>
      <w:t xml:space="preserve">Annual  2029-2030</w:t>
    </w:r>
    <w:r>
      <w:rPr>
        <w:sz w:val="15"/>
        <w:szCs w:val="15"/>
      </w:rPr>
      <w:t xml:space="preserve">	</w:t>
    </w:r>
    <w:r>
      <w:rPr>
        <w:rFonts w:ascii="Times New Roman" w:cs="Times New Roman" w:eastAsia="Times New Roman" w:hAnsi="Times New Roman"/>
        <w:color w:val="CCCCCC"/>
        <w:sz w:val="15"/>
        <w:szCs w:val="15"/>
      </w:rPr>
      <w:t xml:space="preserve">AIIA Annual Report 2029-2030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FFFFFF"/>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1f26d18faf270482e5bc77eb71efc86774527a.undefined"/><Relationship Id="rId10" Type="http://schemas.openxmlformats.org/officeDocument/2006/relationships/image" Target="media/4dc6c68e0eb917e4cc1ff8f81e613e4a5580842e.undefined"/><Relationship Id="rId11" Type="http://schemas.openxmlformats.org/officeDocument/2006/relationships/image" Target="media/1b050c1d5f649195411deae388337c12f0965664.undefined"/><Relationship Id="rId12" Type="http://schemas.openxmlformats.org/officeDocument/2006/relationships/image" Target="media/d21ddd5954835879dfe44b050be21525e70cc45d.undefined"/><Relationship Id="rId13" Type="http://schemas.openxmlformats.org/officeDocument/2006/relationships/image" Target="media/4b4bc2e6d351dad139768996e1497888a41a4ebf.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36807e9b738249962f52c3f15fe584585d9fbca.undefined"/></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fe4025ab5c92c57df2fdcd4126ec987bfcd339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AIIA Annual Report 2029-2030</dc:title>
  <dc:creator>AIIA</dc:creator>
  <cp:lastModifiedBy>Un-named</cp:lastModifiedBy>
  <cp:revision>1</cp:revision>
  <dcterms:created xsi:type="dcterms:W3CDTF">2026-06-25T14:33:24.102Z</dcterms:created>
  <dcterms:modified xsi:type="dcterms:W3CDTF">2026-06-25T14:33:24.102Z</dcterms:modified>
</cp:coreProperties>
</file>

<file path=docProps/custom.xml><?xml version="1.0" encoding="utf-8"?>
<Properties xmlns="http://schemas.openxmlformats.org/officeDocument/2006/custom-properties" xmlns:vt="http://schemas.openxmlformats.org/officeDocument/2006/docPropsVTypes"/>
</file>