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24"/>
          <w:szCs w:val="24"/>
        </w:rPr>
        <w:t xml:space="preserve">AIIA</w:t>
      </w:r>
    </w:p>
    <w:p>
      <w:pPr>
        <w:pBdr>
          <w:bottom w:val="single" w:color="1F3864" w:sz="16" w:space="1"/>
        </w:pBdr>
        <w:spacing w:after="80"/>
        <w:jc w:val="center"/>
      </w:pPr>
      <w:r>
        <w:rPr>
          <w:rFonts w:ascii="Times New Roman" w:cs="Times New Roman" w:eastAsia="Times New Roman" w:hAnsi="Times New Roman"/>
          <w:b/>
          <w:bCs/>
          <w:color w:val="1F3864"/>
          <w:sz w:val="40"/>
          <w:szCs w:val="40"/>
        </w:rPr>
        <w:t xml:space="preserve">AIIA annual report 2028-2029</w:t>
      </w:r>
    </w:p>
    <w:p>
      <w:pPr>
        <w:spacing w:after="240"/>
        <w:jc w:val="center"/>
      </w:pPr>
      <w:r>
        <w:rPr>
          <w:rFonts w:ascii="Times New Roman" w:cs="Times New Roman" w:eastAsia="Times New Roman" w:hAnsi="Times New Roman"/>
          <w:i/>
          <w:iCs/>
          <w:color w:val="6B7280"/>
          <w:sz w:val="18"/>
          <w:szCs w:val="18"/>
        </w:rPr>
        <w:t xml:space="preserve">Annual   ·   2028-2029</w:t>
      </w:r>
    </w:p>
    <w:p>
      <w:pPr>
        <w:pageBreakBefore/>
        <w:pBdr>
          <w:bottom w:val="single" w:color="1F3864" w:sz="8" w:space="1"/>
        </w:pBdr>
        <w:spacing w:after="240" w:before="0"/>
        <w:jc w:val="center"/>
      </w:pPr>
      <w:r>
        <w:rPr>
          <w:rFonts w:ascii="Times New Roman" w:cs="Times New Roman" w:eastAsia="Times New Roman" w:hAnsi="Times New Roman"/>
          <w:b/>
          <w:bCs/>
          <w:color w:val="1F3864"/>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F3864"/>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3</w:t>
      </w:r>
    </w:p>
    <w:p>
      <w:pPr>
        <w:tabs>
          <w:tab w:val="right" w:pos="9026" w:leader="dot"/>
        </w:tabs>
        <w:spacing w:after="90"/>
        <w:ind w:left="0"/>
      </w:pPr>
      <w:r>
        <w:rPr>
          <w:rFonts w:ascii="Times New Roman" w:cs="Times New Roman" w:eastAsia="Times New Roman" w:hAnsi="Times New Roman"/>
          <w:b/>
          <w:bCs/>
          <w:color w:val="1F3864"/>
          <w:sz w:val="22"/>
          <w:szCs w:val="22"/>
        </w:rPr>
        <w:t xml:space="preserve">2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5</w:t>
      </w:r>
    </w:p>
    <w:p>
      <w:pPr>
        <w:tabs>
          <w:tab w:val="right" w:pos="9026" w:leader="dot"/>
        </w:tabs>
        <w:spacing w:after="90"/>
        <w:ind w:left="0"/>
      </w:pPr>
      <w:r>
        <w:rPr>
          <w:rFonts w:ascii="Times New Roman" w:cs="Times New Roman" w:eastAsia="Times New Roman" w:hAnsi="Times New Roman"/>
          <w:b/>
          <w:bCs/>
          <w:color w:val="1F3864"/>
          <w:sz w:val="22"/>
          <w:szCs w:val="22"/>
        </w:rPr>
        <w:t xml:space="preserve">3   Important Milestones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8</w:t>
      </w:r>
    </w:p>
    <w:p>
      <w:pPr>
        <w:tabs>
          <w:tab w:val="right" w:pos="9026" w:leader="dot"/>
        </w:tabs>
        <w:spacing w:after="90"/>
        <w:ind w:left="0"/>
      </w:pPr>
      <w:r>
        <w:rPr>
          <w:rFonts w:ascii="Times New Roman" w:cs="Times New Roman" w:eastAsia="Times New Roman" w:hAnsi="Times New Roman"/>
          <w:b/>
          <w:bCs/>
          <w:color w:val="1F3864"/>
          <w:sz w:val="22"/>
          <w:szCs w:val="22"/>
        </w:rPr>
        <w:t xml:space="preserve">4   In Patient Department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11</w:t>
      </w:r>
    </w:p>
    <w:p>
      <w:pPr>
        <w:tabs>
          <w:tab w:val="right" w:pos="9026" w:leader="dot"/>
        </w:tabs>
        <w:spacing w:after="90"/>
        <w:ind w:left="0"/>
      </w:pPr>
      <w:r>
        <w:rPr>
          <w:rFonts w:ascii="Times New Roman" w:cs="Times New Roman" w:eastAsia="Times New Roman" w:hAnsi="Times New Roman"/>
          <w:b/>
          <w:bCs/>
          <w:color w:val="1F3864"/>
          <w:sz w:val="22"/>
          <w:szCs w:val="22"/>
        </w:rPr>
        <w:t xml:space="preserve">5   Department of Kayachikitsa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14</w:t>
      </w:r>
    </w:p>
    <w:p>
      <w:pPr>
        <w:spacing w:after="60"/>
      </w:pPr>
      <w:r>
        <w:t xml:space="preserve"/>
      </w: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1.  Preface</w:t>
      </w:r>
    </w:p>
    <w:p>
      <w:pPr>
        <w:spacing w:after="80" w:line="432"/>
      </w:pPr>
      <w: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rFonts w:ascii="Times New Roman" w:cs="Times New Roman" w:eastAsia="Times New Roman" w:hAnsi="Times New Roman"/>
          <w:color w:val="111827"/>
          <w:sz w:val="22"/>
          <w:szCs w:val="22"/>
        </w:rPr>
        <w:t xml:space="preserve">The All India Institute of</w:t>
      </w:r>
    </w:p>
    <w:p>
      <w:pPr>
        <w:spacing w:after="80" w:line="432"/>
      </w:pPr>
      <w:r>
        <w:rPr>
          <w:rFonts w:ascii="Times New Roman" w:cs="Times New Roman" w:eastAsia="Times New Roman" w:hAnsi="Times New Roman"/>
          <w:color w:val="111827"/>
          <w:sz w:val="22"/>
          <w:szCs w:val="22"/>
        </w:rPr>
        <w:t xml:space="preserve">Ayurveda (AIIA), New Delhi, established by the Ministry of Ayush, Government of</w:t>
      </w:r>
    </w:p>
    <w:p>
      <w:pPr>
        <w:spacing w:after="80" w:line="432"/>
      </w:pPr>
      <w:r>
        <w:rPr>
          <w:rFonts w:ascii="Times New Roman" w:cs="Times New Roman" w:eastAsia="Times New Roman" w:hAnsi="Times New Roman"/>
          <w:color w:val="111827"/>
          <w:sz w:val="22"/>
          <w:szCs w:val="22"/>
        </w:rPr>
        <w:t xml:space="preserve">India, stands as the first-of-its-kind Apex Institute for Ayurveda in the</w:t>
      </w:r>
    </w:p>
    <w:p>
      <w:pPr>
        <w:spacing w:after="80" w:line="432"/>
      </w:pPr>
      <w:r>
        <w:rPr>
          <w:rFonts w:ascii="Times New Roman" w:cs="Times New Roman" w:eastAsia="Times New Roman" w:hAnsi="Times New Roman"/>
          <w:color w:val="111827"/>
          <w:sz w:val="22"/>
          <w:szCs w:val="22"/>
        </w:rPr>
        <w:t xml:space="preserve">country, envisioned on the lines of AIIMS. Dedicated to the Nation by the</w:t>
      </w:r>
    </w:p>
    <w:p>
      <w:pPr>
        <w:spacing w:after="80" w:line="432"/>
      </w:pPr>
      <w:r>
        <w:rPr>
          <w:rFonts w:ascii="Times New Roman" w:cs="Times New Roman" w:eastAsia="Times New Roman" w:hAnsi="Times New Roman"/>
          <w:color w:val="111827"/>
          <w:sz w:val="22"/>
          <w:szCs w:val="22"/>
        </w:rPr>
        <w:t xml:space="preserve">Hon’ble Prime Minister of India on the 2nd Ayurveda Day, 17th October 2017,</w:t>
      </w:r>
    </w:p>
    <w:p>
      <w:pPr>
        <w:spacing w:after="80" w:line="432"/>
      </w:pPr>
      <w:r>
        <w:rPr>
          <w:rFonts w:ascii="Times New Roman" w:cs="Times New Roman" w:eastAsia="Times New Roman" w:hAnsi="Times New Roman"/>
          <w:color w:val="111827"/>
          <w:sz w:val="22"/>
          <w:szCs w:val="22"/>
        </w:rPr>
        <w:t xml:space="preserve">AIIA has been committed to setting the highest benchmarks in patient care,</w:t>
      </w:r>
    </w:p>
    <w:p>
      <w:pPr>
        <w:spacing w:after="80" w:line="432"/>
      </w:pPr>
      <w:r>
        <w:rPr>
          <w:rFonts w:ascii="Times New Roman" w:cs="Times New Roman" w:eastAsia="Times New Roman" w:hAnsi="Times New Roman"/>
          <w:color w:val="111827"/>
          <w:sz w:val="22"/>
          <w:szCs w:val="22"/>
        </w:rPr>
        <w:t xml:space="preserve">academics, and research through Ayurveda for the welfare of humanity.</w:t>
      </w:r>
    </w:p>
    <w:p>
      <w:pPr>
        <w:spacing w:after="80" w:line="432"/>
      </w:pPr>
      <w:r>
        <w:rPr>
          <w:rFonts w:ascii="Times New Roman" w:cs="Times New Roman" w:eastAsia="Times New Roman" w:hAnsi="Times New Roman"/>
          <w:color w:val="111827"/>
          <w:sz w:val="22"/>
          <w:szCs w:val="22"/>
        </w:rPr>
        <w:t xml:space="preserve">In a short span since its</w:t>
      </w:r>
    </w:p>
    <w:p>
      <w:pPr>
        <w:spacing w:after="80" w:line="432"/>
      </w:pPr>
      <w:r>
        <w:rPr>
          <w:rFonts w:ascii="Times New Roman" w:cs="Times New Roman" w:eastAsia="Times New Roman" w:hAnsi="Times New Roman"/>
          <w:color w:val="111827"/>
          <w:sz w:val="22"/>
          <w:szCs w:val="22"/>
        </w:rPr>
        <w:t xml:space="preserve">inception, AIIA has emerged as a Centre of Excellence for Ayurveda with NABH</w:t>
      </w:r>
    </w:p>
    <w:p>
      <w:pPr>
        <w:spacing w:after="80" w:line="432"/>
      </w:pPr>
      <w:r>
        <w:rPr>
          <w:rFonts w:ascii="Times New Roman" w:cs="Times New Roman" w:eastAsia="Times New Roman" w:hAnsi="Times New Roman"/>
          <w:color w:val="111827"/>
          <w:sz w:val="22"/>
          <w:szCs w:val="22"/>
        </w:rPr>
        <w:t xml:space="preserve">accreditation, ISO 9001:2015 certification, and A++ grade from NAAC. With a</w:t>
      </w:r>
    </w:p>
    <w:p>
      <w:pPr>
        <w:spacing w:after="80" w:line="432"/>
      </w:pPr>
      <w:r>
        <w:rPr>
          <w:rFonts w:ascii="Times New Roman" w:cs="Times New Roman" w:eastAsia="Times New Roman" w:hAnsi="Times New Roman"/>
          <w:color w:val="111827"/>
          <w:sz w:val="22"/>
          <w:szCs w:val="22"/>
        </w:rPr>
        <w:t xml:space="preserve">blend of traditional wisdom and modern technology, the Institute has provided</w:t>
      </w:r>
    </w:p>
    <w:p>
      <w:pPr>
        <w:spacing w:after="80" w:line="432"/>
      </w:pPr>
      <w:r>
        <w:rPr>
          <w:rFonts w:ascii="Times New Roman" w:cs="Times New Roman" w:eastAsia="Times New Roman" w:hAnsi="Times New Roman"/>
          <w:color w:val="111827"/>
          <w:sz w:val="22"/>
          <w:szCs w:val="22"/>
        </w:rPr>
        <w:t xml:space="preserve">holistic healthcare to more than 27 lakh patients and has gained global</w:t>
      </w:r>
    </w:p>
    <w:p>
      <w:pPr>
        <w:spacing w:after="80" w:line="432"/>
      </w:pPr>
      <w:r>
        <w:rPr>
          <w:rFonts w:ascii="Times New Roman" w:cs="Times New Roman" w:eastAsia="Times New Roman" w:hAnsi="Times New Roman"/>
          <w:color w:val="111827"/>
          <w:sz w:val="22"/>
          <w:szCs w:val="22"/>
        </w:rPr>
        <w:t xml:space="preserve">recognition for its integrative approach, research rigor, and academic</w:t>
      </w:r>
    </w:p>
    <w:p>
      <w:pPr>
        <w:spacing w:after="80" w:line="432"/>
      </w:pPr>
      <w:r>
        <w:rPr>
          <w:rFonts w:ascii="Times New Roman" w:cs="Times New Roman" w:eastAsia="Times New Roman" w:hAnsi="Times New Roman"/>
          <w:color w:val="111827"/>
          <w:sz w:val="22"/>
          <w:szCs w:val="22"/>
        </w:rPr>
        <w:t xml:space="preserve">excellence.</w:t>
      </w:r>
    </w:p>
    <w:p>
      <w:pPr>
        <w:spacing w:after="80" w:line="432"/>
      </w:pPr>
      <w:r>
        <w:rPr>
          <w:sz w:val="22"/>
          <w:szCs w:val="22"/>
        </w:rPr>
        <w:t xml:space="preserve"/>
      </w:r>
    </w:p>
    <w:p>
      <w:pPr>
        <w:spacing w:after="80" w:line="432"/>
      </w:pPr>
      <w:r>
        <w:rPr>
          <w:rFonts w:ascii="Times New Roman" w:cs="Times New Roman" w:eastAsia="Times New Roman" w:hAnsi="Times New Roman"/>
          <w:color w:val="111827"/>
          <w:sz w:val="22"/>
          <w:szCs w:val="22"/>
        </w:rPr>
        <w:t xml:space="preserve">The Institute today runs 44</w:t>
      </w:r>
    </w:p>
    <w:p>
      <w:pPr>
        <w:spacing w:after="80" w:line="432"/>
      </w:pPr>
      <w:r>
        <w:rPr>
          <w:rFonts w:ascii="Times New Roman" w:cs="Times New Roman" w:eastAsia="Times New Roman" w:hAnsi="Times New Roman"/>
          <w:color w:val="111827"/>
          <w:sz w:val="22"/>
          <w:szCs w:val="22"/>
        </w:rPr>
        <w:t xml:space="preserve">specialty OPD clinics, nine interdisciplinary research laboratories, a 200- bed</w:t>
      </w:r>
    </w:p>
    <w:p>
      <w:pPr>
        <w:spacing w:after="80" w:line="432"/>
      </w:pPr>
      <w:r>
        <w:rPr>
          <w:rFonts w:ascii="Times New Roman" w:cs="Times New Roman" w:eastAsia="Times New Roman" w:hAnsi="Times New Roman"/>
          <w:color w:val="111827"/>
          <w:sz w:val="22"/>
          <w:szCs w:val="22"/>
        </w:rPr>
        <w:t xml:space="preserve">referral hospital, and offers postgraduate (MD/MS) and doctoral (PhD)</w:t>
      </w:r>
    </w:p>
    <w:p>
      <w:pPr>
        <w:spacing w:after="80" w:line="432"/>
      </w:pPr>
      <w:r>
        <w:rPr>
          <w:rFonts w:ascii="Times New Roman" w:cs="Times New Roman" w:eastAsia="Times New Roman" w:hAnsi="Times New Roman"/>
          <w:color w:val="111827"/>
          <w:sz w:val="22"/>
          <w:szCs w:val="22"/>
        </w:rPr>
        <w:t xml:space="preserve">programmes across 12 disciplines of Ayurveda. The Institute has also expanded</w:t>
      </w:r>
    </w:p>
    <w:p>
      <w:pPr>
        <w:spacing w:after="80" w:line="432"/>
      </w:pPr>
      <w:r>
        <w:rPr>
          <w:rFonts w:ascii="Times New Roman" w:cs="Times New Roman" w:eastAsia="Times New Roman" w:hAnsi="Times New Roman"/>
          <w:color w:val="111827"/>
          <w:sz w:val="22"/>
          <w:szCs w:val="22"/>
        </w:rPr>
        <w:t xml:space="preserve">its footprint through the establishment of its Satellite Centre in Goa,</w:t>
      </w:r>
    </w:p>
    <w:p>
      <w:pPr>
        <w:spacing w:after="80" w:line="432"/>
      </w:pPr>
      <w:r>
        <w:rPr>
          <w:rFonts w:ascii="Times New Roman" w:cs="Times New Roman" w:eastAsia="Times New Roman" w:hAnsi="Times New Roman"/>
          <w:color w:val="111827"/>
          <w:sz w:val="22"/>
          <w:szCs w:val="22"/>
        </w:rPr>
        <w:t xml:space="preserve">extension centres at Kevadia, IIT Delhi, the Supreme Court of India, and other</w:t>
      </w:r>
    </w:p>
    <w:p>
      <w:pPr>
        <w:spacing w:after="80" w:line="432"/>
      </w:pPr>
      <w:r>
        <w:rPr>
          <w:rFonts w:ascii="Times New Roman" w:cs="Times New Roman" w:eastAsia="Times New Roman" w:hAnsi="Times New Roman"/>
          <w:color w:val="111827"/>
          <w:sz w:val="22"/>
          <w:szCs w:val="22"/>
        </w:rPr>
        <w:t xml:space="preserve">institutions of national importance, thereby bringing quality Ayurveda care</w:t>
      </w:r>
    </w:p>
    <w:p>
      <w:pPr>
        <w:spacing w:after="80" w:line="432"/>
      </w:pPr>
      <w:r>
        <w:rPr>
          <w:rFonts w:ascii="Times New Roman" w:cs="Times New Roman" w:eastAsia="Times New Roman" w:hAnsi="Times New Roman"/>
          <w:color w:val="111827"/>
          <w:sz w:val="22"/>
          <w:szCs w:val="22"/>
        </w:rPr>
        <w:t xml:space="preserve">closer to the people.</w:t>
      </w:r>
    </w:p>
    <w:p>
      <w:pPr>
        <w:spacing w:after="80" w:line="432"/>
      </w:pPr>
      <w:r>
        <w:rPr>
          <w:rFonts w:ascii="Times New Roman" w:cs="Times New Roman" w:eastAsia="Times New Roman" w:hAnsi="Times New Roman"/>
          <w:color w:val="111827"/>
          <w:sz w:val="22"/>
          <w:szCs w:val="22"/>
        </w:rPr>
        <w:t xml:space="preserve">Academic collaborations with</w:t>
      </w:r>
    </w:p>
    <w:p>
      <w:pPr>
        <w:spacing w:after="80" w:line="432"/>
      </w:pPr>
      <w:r>
        <w:rPr>
          <w:rFonts w:ascii="Times New Roman" w:cs="Times New Roman" w:eastAsia="Times New Roman" w:hAnsi="Times New Roman"/>
          <w:color w:val="111827"/>
          <w:sz w:val="22"/>
          <w:szCs w:val="22"/>
        </w:rPr>
        <w:t xml:space="preserve">over 50 national and 17 international institutions, including Harvard Medical</w:t>
      </w:r>
    </w:p>
    <w:p>
      <w:pPr>
        <w:spacing w:after="80" w:line="432"/>
      </w:pPr>
      <w:r>
        <w:rPr>
          <w:rFonts w:ascii="Times New Roman" w:cs="Times New Roman" w:eastAsia="Times New Roman" w:hAnsi="Times New Roman"/>
          <w:color w:val="111827"/>
          <w:sz w:val="22"/>
          <w:szCs w:val="22"/>
        </w:rPr>
        <w:t xml:space="preserve">School, Western Sydney University, and London School of Hygiene &amp; Tropical</w:t>
      </w:r>
    </w:p>
    <w:p>
      <w:pPr>
        <w:spacing w:after="80" w:line="432"/>
      </w:pPr>
      <w:r>
        <w:rPr>
          <w:rFonts w:ascii="Times New Roman" w:cs="Times New Roman" w:eastAsia="Times New Roman" w:hAnsi="Times New Roman"/>
          <w:color w:val="111827"/>
          <w:sz w:val="22"/>
          <w:szCs w:val="22"/>
        </w:rPr>
        <w:t xml:space="preserve">Medicine, reinforce AIIA’s vision of creating global scientific acceptance of</w:t>
      </w:r>
    </w:p>
    <w:p>
      <w:pPr>
        <w:spacing w:after="80" w:line="432"/>
      </w:pPr>
      <w:r>
        <w:rPr>
          <w:rFonts w:ascii="Times New Roman" w:cs="Times New Roman" w:eastAsia="Times New Roman" w:hAnsi="Times New Roman"/>
          <w:color w:val="111827"/>
          <w:sz w:val="22"/>
          <w:szCs w:val="22"/>
        </w:rPr>
        <w:t xml:space="preserve">Ayurveda. The establishment of an Incubation Centre and recognition as a Host</w:t>
      </w:r>
    </w:p>
    <w:p>
      <w:pPr>
        <w:spacing w:after="80" w:line="432"/>
      </w:pPr>
      <w:r>
        <w:rPr>
          <w:rFonts w:ascii="Times New Roman" w:cs="Times New Roman" w:eastAsia="Times New Roman" w:hAnsi="Times New Roman"/>
          <w:color w:val="111827"/>
          <w:sz w:val="22"/>
          <w:szCs w:val="22"/>
        </w:rPr>
        <w:t xml:space="preserve">Institute by the Ministry of MSME further highlights AIIA’s role in innovation,</w:t>
      </w:r>
    </w:p>
    <w:p>
      <w:pPr>
        <w:spacing w:after="80" w:line="432"/>
      </w:pPr>
      <w:r>
        <w:rPr>
          <w:rFonts w:ascii="Times New Roman" w:cs="Times New Roman" w:eastAsia="Times New Roman" w:hAnsi="Times New Roman"/>
          <w:color w:val="111827"/>
          <w:sz w:val="22"/>
          <w:szCs w:val="22"/>
        </w:rPr>
        <w:t xml:space="preserve">entrepreneurship, and translational research in the Ayush sector.</w:t>
      </w:r>
    </w:p>
    <w:p>
      <w:pPr>
        <w:spacing w:after="80" w:line="432"/>
      </w:pPr>
      <w:r>
        <w:rPr>
          <w:rFonts w:ascii="Times New Roman" w:cs="Times New Roman" w:eastAsia="Times New Roman" w:hAnsi="Times New Roman"/>
          <w:color w:val="111827"/>
          <w:sz w:val="22"/>
          <w:szCs w:val="22"/>
        </w:rPr>
        <w:t xml:space="preserve">The Institute has also hosted</w:t>
      </w:r>
    </w:p>
    <w:p>
      <w:pPr>
        <w:spacing w:after="80" w:line="432"/>
      </w:pPr>
      <w:r>
        <w:rPr>
          <w:rFonts w:ascii="Times New Roman" w:cs="Times New Roman" w:eastAsia="Times New Roman" w:hAnsi="Times New Roman"/>
          <w:color w:val="111827"/>
          <w:sz w:val="22"/>
          <w:szCs w:val="22"/>
        </w:rPr>
        <w:t xml:space="preserve">several significant national and international events, including the World</w:t>
      </w:r>
    </w:p>
    <w:p>
      <w:pPr>
        <w:spacing w:after="80" w:line="432"/>
      </w:pPr>
      <w:r>
        <w:rPr>
          <w:rFonts w:ascii="Times New Roman" w:cs="Times New Roman" w:eastAsia="Times New Roman" w:hAnsi="Times New Roman"/>
          <w:color w:val="111827"/>
          <w:sz w:val="22"/>
          <w:szCs w:val="22"/>
        </w:rPr>
        <w:t xml:space="preserve">Health Organisation’s first-ever Global Summit on Traditional Medicine, the</w:t>
      </w:r>
    </w:p>
    <w:p>
      <w:pPr>
        <w:spacing w:after="80" w:line="432"/>
      </w:pPr>
      <w:r>
        <w:rPr>
          <w:rFonts w:ascii="Times New Roman" w:cs="Times New Roman" w:eastAsia="Times New Roman" w:hAnsi="Times New Roman"/>
          <w:color w:val="111827"/>
          <w:sz w:val="22"/>
          <w:szCs w:val="22"/>
        </w:rPr>
        <w:t xml:space="preserve">launch of AROHA-2024 – AIIA’s International Conference on Ayurveda, and the</w:t>
      </w:r>
    </w:p>
    <w:p>
      <w:pPr>
        <w:spacing w:after="80" w:line="432"/>
      </w:pPr>
      <w:r>
        <w:rPr>
          <w:rFonts w:ascii="Times New Roman" w:cs="Times New Roman" w:eastAsia="Times New Roman" w:hAnsi="Times New Roman"/>
          <w:color w:val="111827"/>
          <w:sz w:val="22"/>
          <w:szCs w:val="22"/>
        </w:rPr>
        <w:t xml:space="preserve">commemoration of Ayurveda Day and International Day of Yoga with wide</w:t>
      </w:r>
    </w:p>
    <w:p>
      <w:pPr>
        <w:spacing w:after="80" w:line="432"/>
      </w:pPr>
      <w:r>
        <w:rPr>
          <w:rFonts w:ascii="Times New Roman" w:cs="Times New Roman" w:eastAsia="Times New Roman" w:hAnsi="Times New Roman"/>
          <w:color w:val="111827"/>
          <w:sz w:val="22"/>
          <w:szCs w:val="22"/>
        </w:rPr>
        <w:t xml:space="preserve">participation and impact.</w:t>
      </w:r>
    </w:p>
    <w:p>
      <w:pPr>
        <w:spacing w:after="80" w:line="432"/>
      </w:pPr>
      <w:r>
        <w:rPr>
          <w:rFonts w:ascii="Times New Roman" w:cs="Times New Roman" w:eastAsia="Times New Roman" w:hAnsi="Times New Roman"/>
          <w:color w:val="111827"/>
          <w:sz w:val="22"/>
          <w:szCs w:val="22"/>
        </w:rPr>
        <w:t xml:space="preserve">It is a matter of pride that the</w:t>
      </w:r>
    </w:p>
    <w:p>
      <w:pPr>
        <w:spacing w:after="80" w:line="432"/>
      </w:pPr>
      <w:r>
        <w:rPr>
          <w:rFonts w:ascii="Times New Roman" w:cs="Times New Roman" w:eastAsia="Times New Roman" w:hAnsi="Times New Roman"/>
          <w:color w:val="111827"/>
          <w:sz w:val="22"/>
          <w:szCs w:val="22"/>
        </w:rPr>
        <w:t xml:space="preserve">Institute continues to receive the guidance and support of the Ministry of</w:t>
      </w:r>
    </w:p>
    <w:p>
      <w:pPr>
        <w:spacing w:after="80" w:line="432"/>
      </w:pPr>
      <w:r>
        <w:rPr>
          <w:rFonts w:ascii="Times New Roman" w:cs="Times New Roman" w:eastAsia="Times New Roman" w:hAnsi="Times New Roman"/>
          <w:color w:val="111827"/>
          <w:sz w:val="22"/>
          <w:szCs w:val="22"/>
        </w:rPr>
        <w:t xml:space="preserve">Ayush, enabling it to achieve its mandate of making Ayurveda healthcare,</w:t>
      </w:r>
    </w:p>
    <w:p>
      <w:pPr>
        <w:spacing w:after="80" w:line="432"/>
      </w:pPr>
      <w:r>
        <w:rPr>
          <w:rFonts w:ascii="Times New Roman" w:cs="Times New Roman" w:eastAsia="Times New Roman" w:hAnsi="Times New Roman"/>
          <w:color w:val="111827"/>
          <w:sz w:val="22"/>
          <w:szCs w:val="22"/>
        </w:rPr>
        <w:t xml:space="preserve">education, and research of the highest standards accessible at both national</w:t>
      </w:r>
    </w:p>
    <w:p>
      <w:pPr>
        <w:spacing w:after="80" w:line="432"/>
      </w:pPr>
      <w:r>
        <w:rPr>
          <w:rFonts w:ascii="Times New Roman" w:cs="Times New Roman" w:eastAsia="Times New Roman" w:hAnsi="Times New Roman"/>
          <w:color w:val="111827"/>
          <w:sz w:val="22"/>
          <w:szCs w:val="22"/>
        </w:rPr>
        <w:t xml:space="preserve">and international levels.</w:t>
      </w:r>
    </w:p>
    <w:p>
      <w:pPr>
        <w:spacing w:after="80" w:line="432"/>
      </w:pPr>
      <w:r>
        <w:rPr>
          <w:sz w:val="22"/>
          <w:szCs w:val="22"/>
        </w:rPr>
        <w:t xml:space="preserve"/>
      </w:r>
    </w:p>
    <w:p>
      <w:pPr>
        <w:spacing w:after="80" w:line="432"/>
      </w:pPr>
      <w:r>
        <w:rPr>
          <w:rFonts w:ascii="Times New Roman" w:cs="Times New Roman" w:eastAsia="Times New Roman" w:hAnsi="Times New Roman"/>
          <w:color w:val="111827"/>
          <w:sz w:val="22"/>
          <w:szCs w:val="22"/>
        </w:rPr>
        <w:t xml:space="preserve">As AIIA progresses into its next</w:t>
      </w:r>
    </w:p>
    <w:p>
      <w:pPr>
        <w:spacing w:after="80" w:line="432"/>
      </w:pPr>
      <w:r>
        <w:rPr>
          <w:rFonts w:ascii="Times New Roman" w:cs="Times New Roman" w:eastAsia="Times New Roman" w:hAnsi="Times New Roman"/>
          <w:color w:val="111827"/>
          <w:sz w:val="22"/>
          <w:szCs w:val="22"/>
        </w:rPr>
        <w:t xml:space="preserve">phase of growth, the Institute remains committed to its mission of blending the</w:t>
      </w:r>
    </w:p>
    <w:p>
      <w:pPr>
        <w:spacing w:after="80" w:line="432"/>
      </w:pPr>
      <w:r>
        <w:rPr>
          <w:rFonts w:ascii="Times New Roman" w:cs="Times New Roman" w:eastAsia="Times New Roman" w:hAnsi="Times New Roman"/>
          <w:color w:val="111827"/>
          <w:sz w:val="22"/>
          <w:szCs w:val="22"/>
        </w:rPr>
        <w:t xml:space="preserve">timeless wisdom of Ayurveda with modern scientific validation, ensuring its</w:t>
      </w:r>
    </w:p>
    <w:p>
      <w:pPr>
        <w:spacing w:after="80" w:line="432"/>
      </w:pPr>
      <w:r>
        <w:rPr>
          <w:rFonts w:ascii="Times New Roman" w:cs="Times New Roman" w:eastAsia="Times New Roman" w:hAnsi="Times New Roman"/>
          <w:color w:val="111827"/>
          <w:sz w:val="22"/>
          <w:szCs w:val="22"/>
        </w:rPr>
        <w:t xml:space="preserve">relevance and utility for future generations, and contributing to the vision of</w:t>
      </w:r>
    </w:p>
    <w:p>
      <w:pPr>
        <w:spacing w:after="80" w:line="432"/>
      </w:pPr>
      <w:r>
        <w:rPr>
          <w:rFonts w:ascii="Times New Roman" w:cs="Times New Roman" w:eastAsia="Times New Roman" w:hAnsi="Times New Roman"/>
          <w:color w:val="111827"/>
          <w:sz w:val="22"/>
          <w:szCs w:val="22"/>
        </w:rPr>
        <w:t xml:space="preserve">a healthier, empowered, and sustainable world.</w:t>
      </w:r>
    </w:p>
    <w:p>
      <w:pPr>
        <w:spacing w:after="80" w:line="432"/>
      </w:pPr>
      <w:r>
        <w:rPr>
          <w:sz w:val="22"/>
          <w:szCs w:val="22"/>
        </w:rP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sz w:val="22"/>
          <w:szCs w:val="22"/>
        </w:rPr>
        <w:t xml:space="preserve"/>
      </w:r>
    </w:p>
    <w:p>
      <w:pPr>
        <w:spacing w:after="80" w:line="432"/>
      </w:pPr>
      <w:r>
        <w:rPr>
          <w:rFonts w:ascii="Times New Roman" w:cs="Times New Roman" w:eastAsia="Times New Roman" w:hAnsi="Times New Roman"/>
          <w:color w:val="111827"/>
          <w:sz w:val="24"/>
          <w:szCs w:val="24"/>
        </w:rPr>
        <w:t xml:space="preserve">Advancing Holistic Healthcare</w:t>
      </w:r>
    </w:p>
    <w:p>
      <w:pPr>
        <w:spacing w:after="80" w:line="432"/>
      </w:pPr>
      <w:r>
        <w:rPr>
          <w:rFonts w:ascii="Times New Roman" w:cs="Times New Roman" w:eastAsia="Times New Roman" w:hAnsi="Times New Roman"/>
          <w:color w:val="111827"/>
          <w:sz w:val="22"/>
          <w:szCs w:val="22"/>
        </w:rPr>
        <w:t xml:space="preserve">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Outpatient Services:</w:t>
      </w:r>
      <w:r>
        <w:rPr>
          <w:rFonts w:ascii="Times New Roman" w:cs="Times New Roman" w:eastAsia="Times New Roman" w:hAnsi="Times New Roman"/>
          <w:color w:val="111827"/>
          <w:sz w:val="22"/>
          <w:szCs w:val="22"/>
        </w:rPr>
        <w:t xml:space="preserve"> A total of 4,38,757 OPD registrations were recorded, averaging nearly 2,000 daily footfalls. Patients were treated across 46 specialty clinics, including Panchakarma, Kayachikitsa, Kaumarbhritya, Shalakya, Shalya Tantra, Stri Roga and Prasuti Tantra, Swasthavritta, and integrated AYUSH clinics.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Inpatient Services:</w:t>
      </w:r>
      <w:r>
        <w:rPr>
          <w:rFonts w:ascii="Times New Roman" w:cs="Times New Roman" w:eastAsia="Times New Roman" w:hAnsi="Times New Roman"/>
          <w:color w:val="111827"/>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Specialized Procedures:</w:t>
      </w:r>
      <w:r>
        <w:rPr>
          <w:rFonts w:ascii="Times New Roman" w:cs="Times New Roman" w:eastAsia="Times New Roman" w:hAnsi="Times New Roman"/>
          <w:color w:val="111827"/>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Diagnostics:</w:t>
      </w:r>
      <w:r>
        <w:rPr>
          <w:rFonts w:ascii="Times New Roman" w:cs="Times New Roman" w:eastAsia="Times New Roman" w:hAnsi="Times New Roman"/>
          <w:color w:val="111827"/>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Extension Centres:</w:t>
      </w:r>
      <w:r>
        <w:rPr>
          <w:rFonts w:ascii="Times New Roman" w:cs="Times New Roman" w:eastAsia="Times New Roman" w:hAnsi="Times New Roman"/>
          <w:color w:val="111827"/>
          <w:sz w:val="22"/>
          <w:szCs w:val="22"/>
        </w:rPr>
        <w:t xml:space="preserve"> AIIA expanded access through extension centres at the Supreme Court of India, Kevadia Arogya Van, LBSNAA Mussoorie, and AIIMS-NCI Jhajjar, benefitting 28,474 patients and performing 20,611 procedures.</w:t>
      </w:r>
    </w:p>
    <w:p>
      <w:pPr>
        <w:spacing w:after="80" w:line="432"/>
      </w:pPr>
      <w:r>
        <w:rPr>
          <w:rFonts w:ascii="Times New Roman" w:cs="Times New Roman" w:eastAsia="Times New Roman" w:hAnsi="Times New Roman"/>
          <w:color w:val="111827"/>
          <w:sz w:val="22"/>
          <w:szCs w:val="22"/>
        </w:rPr>
        <w:t xml:space="preserve">The Institute continued to serve diverse populations, including women, children, senior citizens, and Delhi Police personnel, while also providing dignitary care and outreach services. Preventive and promotive health initiatives in mental health, geriatric care, maternal health, pain management, oral health, and latent tuberculosis further reinforced AIIA’s public health role.</w:t>
      </w:r>
    </w:p>
    <w:p>
      <w:pPr>
        <w:spacing w:after="80" w:line="432"/>
      </w:pPr>
      <w:r>
        <w:rPr>
          <w:rFonts w:ascii="Times New Roman" w:cs="Times New Roman" w:eastAsia="Times New Roman" w:hAnsi="Times New Roman"/>
          <w:b/>
          <w:bCs/>
          <w:color w:val="111827"/>
          <w:sz w:val="28"/>
          <w:szCs w:val="28"/>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Education and research remain at the core of AIIA’s identity. In 2024–25:</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Postgraduate Education:</w:t>
      </w:r>
      <w:r>
        <w:rPr>
          <w:rFonts w:ascii="Times New Roman" w:cs="Times New Roman" w:eastAsia="Times New Roman" w:hAnsi="Times New Roman"/>
          <w:color w:val="111827"/>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Doctoral Research:</w:t>
      </w:r>
      <w:r>
        <w:rPr>
          <w:rFonts w:ascii="Times New Roman" w:cs="Times New Roman" w:eastAsia="Times New Roman" w:hAnsi="Times New Roman"/>
          <w:color w:val="111827"/>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Research Projects:</w:t>
      </w:r>
      <w:r>
        <w:rPr>
          <w:rFonts w:ascii="Times New Roman" w:cs="Times New Roman" w:eastAsia="Times New Roman" w:hAnsi="Times New Roman"/>
          <w:color w:val="111827"/>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Publications:</w:t>
      </w:r>
      <w:r>
        <w:rPr>
          <w:rFonts w:ascii="Times New Roman" w:cs="Times New Roman" w:eastAsia="Times New Roman" w:hAnsi="Times New Roman"/>
          <w:color w:val="111827"/>
          <w:sz w:val="22"/>
          <w:szCs w:val="22"/>
        </w:rPr>
        <w:t xml:space="preserve"> Faculty and scholars contributed to reputed peer-reviewed journals including </w:t>
      </w:r>
      <w:r>
        <w:rPr>
          <w:rFonts w:ascii="Times New Roman" w:cs="Times New Roman" w:eastAsia="Times New Roman" w:hAnsi="Times New Roman"/>
          <w:i/>
          <w:iCs/>
          <w:color w:val="111827"/>
          <w:sz w:val="22"/>
          <w:szCs w:val="22"/>
        </w:rPr>
        <w:t xml:space="preserve">AyuCaRe</w:t>
      </w:r>
      <w:r>
        <w:rPr>
          <w:rFonts w:ascii="Times New Roman" w:cs="Times New Roman" w:eastAsia="Times New Roman" w:hAnsi="Times New Roman"/>
          <w:color w:val="111827"/>
          <w:sz w:val="22"/>
          <w:szCs w:val="22"/>
        </w:rPr>
        <w:t xml:space="preserve"> and </w:t>
      </w:r>
      <w:r>
        <w:rPr>
          <w:rFonts w:ascii="Times New Roman" w:cs="Times New Roman" w:eastAsia="Times New Roman" w:hAnsi="Times New Roman"/>
          <w:i/>
          <w:iCs/>
          <w:color w:val="111827"/>
          <w:sz w:val="22"/>
          <w:szCs w:val="22"/>
        </w:rPr>
        <w:t xml:space="preserve">IJAR</w:t>
      </w:r>
      <w:r>
        <w:rPr>
          <w:rFonts w:ascii="Times New Roman" w:cs="Times New Roman" w:eastAsia="Times New Roman" w:hAnsi="Times New Roman"/>
          <w:color w:val="111827"/>
          <w:sz w:val="22"/>
          <w:szCs w:val="22"/>
        </w:rPr>
        <w:t xml:space="preserve">, strengthening scientific validation of Ayurveda.</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Collaborations:</w:t>
      </w:r>
      <w:r>
        <w:rPr>
          <w:rFonts w:ascii="Times New Roman" w:cs="Times New Roman" w:eastAsia="Times New Roman" w:hAnsi="Times New Roman"/>
          <w:color w:val="111827"/>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Skill Development:</w:t>
      </w:r>
      <w:r>
        <w:rPr>
          <w:rFonts w:ascii="Times New Roman" w:cs="Times New Roman" w:eastAsia="Times New Roman" w:hAnsi="Times New Roman"/>
          <w:color w:val="111827"/>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color w:val="111827"/>
          <w:sz w:val="22"/>
          <w:szCs w:val="22"/>
        </w:rPr>
        <w:t xml:space="preserve">AIIA’s </w:t>
      </w:r>
      <w:r>
        <w:rPr>
          <w:rFonts w:ascii="Times New Roman" w:cs="Times New Roman" w:eastAsia="Times New Roman" w:hAnsi="Times New Roman"/>
          <w:b/>
          <w:bCs/>
          <w:color w:val="111827"/>
          <w:sz w:val="22"/>
          <w:szCs w:val="22"/>
        </w:rPr>
        <w:t xml:space="preserve">NAAC A++ accreditation with CGPA 3.55</w:t>
      </w:r>
      <w:r>
        <w:rPr>
          <w:rFonts w:ascii="Times New Roman" w:cs="Times New Roman" w:eastAsia="Times New Roman" w:hAnsi="Times New Roman"/>
          <w:color w:val="111827"/>
          <w:sz w:val="22"/>
          <w:szCs w:val="22"/>
        </w:rPr>
        <w:t xml:space="preserve"> in its very first cycle reaffirmed the Institute’s academic rigour and excellence.</w:t>
      </w:r>
    </w:p>
    <w:p>
      <w:pPr>
        <w:spacing w:after="80" w:line="432"/>
      </w:pPr>
      <w:r>
        <w:rPr>
          <w:sz w:val="22"/>
          <w:szCs w:val="22"/>
        </w:rPr>
        <w:t xml:space="preserve"/>
      </w:r>
    </w:p>
    <w:p>
      <w:pPr>
        <w:spacing w:after="60"/>
      </w:pP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2.  Management</w:t>
      </w:r>
    </w:p>
    <w:p>
      <w:pPr>
        <w:spacing w:after="80" w:line="432"/>
      </w:pPr>
      <w:r>
        <w:rPr>
          <w:rFonts w:ascii="Times New Roman" w:cs="Times New Roman" w:eastAsia="Times New Roman" w:hAnsi="Times New Roman"/>
          <w:color w:val="111827"/>
          <w:sz w:val="22"/>
          <w:szCs w:val="22"/>
        </w:rPr>
        <w:t xml:space="preserve">The All-India Institute of Ayurveda is governed by a General Body (GB), Executive Council (EC), and Standing Finance Committee (SFC). Governing Body: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rPr>
          <w:cantSplit/>
          <w:tblHeader/>
        </w:trPr>
        <w:tc>
          <w:tcPr>
            <w:tcW w:type="dxa" w:w="3006"/>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members</w:t>
            </w:r>
          </w:p>
        </w:tc>
        <w:tc>
          <w:tcPr>
            <w:tcW w:type="dxa" w:w="3006"/>
            <w:shd w:fill="D0CECE" w:val="clear"/>
          </w:tcPr>
          <w:p>
            <w:pPr>
              <w:spacing w:after="0"/>
            </w:pPr>
            <w:r>
              <w:rPr>
                <w:rFonts w:ascii="Times New Roman" w:cs="Times New Roman" w:eastAsia="Times New Roman" w:hAnsi="Times New Roman"/>
                <w:b/>
                <w:bCs/>
                <w:color w:val="111827"/>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w:t>
            </w:r>
          </w:p>
        </w:tc>
        <w:tc>
          <w:tcPr>
            <w:tcW w:type="dxa" w:w="3006"/>
          </w:tcPr>
          <w:p>
            <w:pPr>
              <w:spacing w:after="0"/>
            </w:pPr>
            <w:r>
              <w:rPr>
                <w:rFonts w:ascii="Times New Roman" w:cs="Times New Roman" w:eastAsia="Times New Roman" w:hAnsi="Times New Roman"/>
                <w:color w:val="111827"/>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President</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2</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3</w:t>
            </w:r>
          </w:p>
        </w:tc>
        <w:tc>
          <w:tcPr>
            <w:tcW w:type="dxa" w:w="3006"/>
          </w:tcPr>
          <w:p>
            <w:pPr>
              <w:spacing w:after="0"/>
            </w:pPr>
            <w:r>
              <w:rPr>
                <w:rFonts w:ascii="Times New Roman" w:cs="Times New Roman" w:eastAsia="Times New Roman" w:hAnsi="Times New Roman"/>
                <w:color w:val="111827"/>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4</w:t>
            </w:r>
          </w:p>
        </w:tc>
        <w:tc>
          <w:tcPr>
            <w:tcW w:type="dxa" w:w="3006"/>
            <w:shd w:fill="F9FAFB" w:val="clear"/>
          </w:tcPr>
          <w:p>
            <w:pPr>
              <w:spacing w:after="0"/>
            </w:pPr>
            <w:r>
              <w:rPr>
                <w:rFonts w:ascii="Times New Roman" w:cs="Times New Roman" w:eastAsia="Times New Roman" w:hAnsi="Times New Roman"/>
                <w:color w:val="111827"/>
                <w:sz w:val="20"/>
                <w:szCs w:val="20"/>
              </w:rPr>
              <w:t xml:space="preserve">Padmabhushan Vaidya Devinder Triguna, Nominated Member by Ministry of Ayush</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5</w:t>
            </w:r>
          </w:p>
        </w:tc>
        <w:tc>
          <w:tcPr>
            <w:tcW w:type="dxa" w:w="3006"/>
          </w:tcPr>
          <w:p>
            <w:pPr>
              <w:spacing w:after="0"/>
            </w:pPr>
            <w:r>
              <w:rPr>
                <w:rFonts w:ascii="Times New Roman" w:cs="Times New Roman" w:eastAsia="Times New Roman" w:hAnsi="Times New Roman"/>
                <w:color w:val="111827"/>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6</w:t>
            </w:r>
          </w:p>
        </w:tc>
        <w:tc>
          <w:tcPr>
            <w:tcW w:type="dxa" w:w="3006"/>
            <w:shd w:fill="F9FAFB" w:val="clear"/>
          </w:tcPr>
          <w:p>
            <w:pPr>
              <w:spacing w:after="0"/>
            </w:pPr>
            <w:r>
              <w:rPr>
                <w:rFonts w:ascii="Times New Roman" w:cs="Times New Roman" w:eastAsia="Times New Roman" w:hAnsi="Times New Roman"/>
                <w:color w:val="111827"/>
                <w:sz w:val="20"/>
                <w:szCs w:val="20"/>
              </w:rPr>
              <w:t xml:space="preserve">Shri Hoveyda Abbas, AS &amp; FA, Ministry of Health &amp; Family Welfare</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7</w:t>
            </w:r>
          </w:p>
        </w:tc>
        <w:tc>
          <w:tcPr>
            <w:tcW w:type="dxa" w:w="3006"/>
          </w:tcPr>
          <w:p>
            <w:pPr>
              <w:spacing w:after="0"/>
            </w:pPr>
            <w:r>
              <w:rPr>
                <w:rFonts w:ascii="Times New Roman" w:cs="Times New Roman" w:eastAsia="Times New Roman" w:hAnsi="Times New Roman"/>
                <w:color w:val="111827"/>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8</w:t>
            </w:r>
          </w:p>
        </w:tc>
        <w:tc>
          <w:tcPr>
            <w:tcW w:type="dxa" w:w="3006"/>
            <w:shd w:fill="F9FAFB" w:val="clear"/>
          </w:tcPr>
          <w:p>
            <w:pPr>
              <w:spacing w:after="0"/>
            </w:pPr>
            <w:r>
              <w:rPr>
                <w:rFonts w:ascii="Times New Roman" w:cs="Times New Roman" w:eastAsia="Times New Roman" w:hAnsi="Times New Roman"/>
                <w:color w:val="111827"/>
                <w:sz w:val="20"/>
                <w:szCs w:val="20"/>
              </w:rPr>
              <w:t xml:space="preserve">Vacant</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9</w:t>
            </w:r>
          </w:p>
        </w:tc>
        <w:tc>
          <w:tcPr>
            <w:tcW w:type="dxa" w:w="3006"/>
          </w:tcPr>
          <w:p>
            <w:pPr>
              <w:spacing w:after="0"/>
            </w:pPr>
            <w:r>
              <w:rPr>
                <w:rFonts w:ascii="Times New Roman" w:cs="Times New Roman" w:eastAsia="Times New Roman" w:hAnsi="Times New Roman"/>
                <w:color w:val="111827"/>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10</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Vijay Vishwanath Doiphode, Director, Ayurveda Rashashala Foundation</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11</w:t>
            </w:r>
          </w:p>
        </w:tc>
        <w:tc>
          <w:tcPr>
            <w:tcW w:type="dxa" w:w="3006"/>
          </w:tcPr>
          <w:p>
            <w:pPr>
              <w:spacing w:after="0"/>
            </w:pPr>
            <w:r>
              <w:rPr>
                <w:rFonts w:ascii="Times New Roman" w:cs="Times New Roman" w:eastAsia="Times New Roman" w:hAnsi="Times New Roman"/>
                <w:color w:val="111827"/>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12</w:t>
            </w:r>
          </w:p>
        </w:tc>
        <w:tc>
          <w:tcPr>
            <w:tcW w:type="dxa" w:w="3006"/>
            <w:shd w:fill="F9FAFB" w:val="clear"/>
          </w:tcPr>
          <w:p>
            <w:pPr>
              <w:spacing w:after="0"/>
            </w:pPr>
            <w:r>
              <w:rPr>
                <w:rFonts w:ascii="Times New Roman" w:cs="Times New Roman" w:eastAsia="Times New Roman" w:hAnsi="Times New Roman"/>
                <w:color w:val="111827"/>
                <w:sz w:val="20"/>
                <w:szCs w:val="20"/>
              </w:rPr>
              <w:t xml:space="preserve">Dr. N.K. Manjunath, Vice Chancellor, S-VYASA Yoga University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13</w:t>
            </w:r>
          </w:p>
        </w:tc>
        <w:tc>
          <w:tcPr>
            <w:tcW w:type="dxa" w:w="3006"/>
          </w:tcPr>
          <w:p>
            <w:pPr>
              <w:spacing w:after="0"/>
            </w:pPr>
            <w:r>
              <w:rPr>
                <w:rFonts w:ascii="Times New Roman" w:cs="Times New Roman" w:eastAsia="Times New Roman" w:hAnsi="Times New Roman"/>
                <w:color w:val="111827"/>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14</w:t>
            </w:r>
          </w:p>
        </w:tc>
        <w:tc>
          <w:tcPr>
            <w:tcW w:type="dxa" w:w="3006"/>
            <w:shd w:fill="F9FAFB" w:val="clear"/>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15</w:t>
            </w:r>
          </w:p>
        </w:tc>
        <w:tc>
          <w:tcPr>
            <w:tcW w:type="dxa" w:w="3006"/>
          </w:tcPr>
          <w:p>
            <w:pPr>
              <w:spacing w:after="0"/>
            </w:pPr>
            <w:r>
              <w:rPr>
                <w:rFonts w:ascii="Times New Roman" w:cs="Times New Roman" w:eastAsia="Times New Roman" w:hAnsi="Times New Roman"/>
                <w:color w:val="111827"/>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16</w:t>
            </w:r>
          </w:p>
        </w:tc>
        <w:tc>
          <w:tcPr>
            <w:tcW w:type="dxa" w:w="3006"/>
            <w:shd w:fill="F9FAFB" w:val="clear"/>
          </w:tcPr>
          <w:p>
            <w:pPr>
              <w:spacing w:after="0"/>
            </w:pPr>
            <w:r>
              <w:rPr>
                <w:rFonts w:ascii="Times New Roman" w:cs="Times New Roman" w:eastAsia="Times New Roman" w:hAnsi="Times New Roman"/>
                <w:color w:val="111827"/>
                <w:sz w:val="20"/>
                <w:szCs w:val="20"/>
              </w:rPr>
              <w:t xml:space="preserve">Representative of Department of Biotechnology</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111827"/>
                <w:sz w:val="20"/>
                <w:szCs w:val="20"/>
              </w:rPr>
              <w:t xml:space="preserve">17</w:t>
            </w:r>
          </w:p>
        </w:tc>
        <w:tc>
          <w:tcPr>
            <w:tcW w:type="dxa" w:w="3006"/>
          </w:tcPr>
          <w:p>
            <w:pPr>
              <w:spacing w:after="0"/>
            </w:pPr>
            <w:r>
              <w:rPr>
                <w:rFonts w:ascii="Times New Roman" w:cs="Times New Roman" w:eastAsia="Times New Roman" w:hAnsi="Times New Roman"/>
                <w:color w:val="111827"/>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111827"/>
                <w:sz w:val="20"/>
                <w:szCs w:val="20"/>
              </w:rPr>
              <w:t xml:space="preserve">Member</w:t>
            </w:r>
          </w:p>
        </w:tc>
      </w:tr>
      <w:tr>
        <w:trPr>
          <w:cantSplit w:val="false"/>
        </w:trPr>
        <w:tc>
          <w:tcPr>
            <w:tcW w:type="dxa" w:w="3006"/>
            <w:shd w:fill="F9FAFB" w:val="clear"/>
          </w:tcPr>
          <w:p>
            <w:pPr>
              <w:spacing w:after="0"/>
            </w:pPr>
            <w:r>
              <w:rPr>
                <w:rFonts w:ascii="Times New Roman" w:cs="Times New Roman" w:eastAsia="Times New Roman" w:hAnsi="Times New Roman"/>
                <w:color w:val="111827"/>
                <w:sz w:val="20"/>
                <w:szCs w:val="20"/>
              </w:rPr>
              <w:t xml:space="preserve">18</w:t>
            </w:r>
          </w:p>
        </w:tc>
        <w:tc>
          <w:tcPr>
            <w:tcW w:type="dxa" w:w="3006"/>
            <w:shd w:fill="F9FAFB" w:val="clear"/>
          </w:tcPr>
          <w:p>
            <w:pPr>
              <w:spacing w:after="0"/>
            </w:pPr>
            <w:r>
              <w:rPr>
                <w:rFonts w:ascii="Times New Roman" w:cs="Times New Roman" w:eastAsia="Times New Roman" w:hAnsi="Times New Roman"/>
                <w:color w:val="111827"/>
                <w:sz w:val="20"/>
                <w:szCs w:val="20"/>
              </w:rPr>
              <w:t xml:space="preserve">Prof. (Dr.) Manjusha Rajagopala, Director (I/C), All India Institute of Ayurveda</w:t>
            </w:r>
          </w:p>
        </w:tc>
        <w:tc>
          <w:tcPr>
            <w:tcW w:type="dxa" w:w="3006"/>
            <w:shd w:fill="F9FAFB" w:val="clear"/>
          </w:tcPr>
          <w:p>
            <w:pPr>
              <w:spacing w:after="0"/>
            </w:pPr>
            <w:r>
              <w:rPr>
                <w:rFonts w:ascii="Times New Roman" w:cs="Times New Roman" w:eastAsia="Times New Roman" w:hAnsi="Times New Roman"/>
                <w:color w:val="111827"/>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374151"/>
          <w:sz w:val="24"/>
          <w:szCs w:val="24"/>
        </w:rPr>
        <w:t xml:space="preserve">List of Faculty</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name</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Joshi Mohan Ramchandra</w:t>
            </w:r>
          </w:p>
        </w:tc>
        <w:tc>
          <w:tcPr>
            <w:tcW w:type="dxa" w:w="4510"/>
          </w:tcPr>
          <w:p>
            <w:pPr>
              <w:spacing w:after="0"/>
            </w:pPr>
            <w:r>
              <w:rPr>
                <w:rFonts w:ascii="Times New Roman" w:cs="Times New Roman" w:eastAsia="Times New Roman" w:hAnsi="Times New Roman"/>
                <w:color w:val="111827"/>
                <w:sz w:val="20"/>
                <w:szCs w:val="20"/>
              </w:rPr>
              <w:t xml:space="preserve">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Ashutosh Kumar Yadav</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Sumeet Goel</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C Ashwin Chandra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Sarita M. Kapgate</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Praveen B S</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Sanjay Bhausaheb Khedekar</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Rashmi Pujar</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Pravin Madhukar Bhat</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Nitin Ujjaliya</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Bhargav Vijay Bhide</w:t>
            </w:r>
          </w:p>
        </w:tc>
        <w:tc>
          <w:tcPr>
            <w:tcW w:type="dxa" w:w="4510"/>
          </w:tcPr>
          <w:p>
            <w:pPr>
              <w:spacing w:after="0"/>
            </w:pPr>
            <w:r>
              <w:rPr>
                <w:rFonts w:ascii="Times New Roman" w:cs="Times New Roman" w:eastAsia="Times New Roman" w:hAnsi="Times New Roman"/>
                <w:color w:val="111827"/>
                <w:sz w:val="20"/>
                <w:szCs w:val="20"/>
              </w:rPr>
              <w:t xml:space="preserve">Associate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Tejaswini Dhiraj Buchade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Shivanand Patil</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Yogesh Bhagwanrao Shinde</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Foram P Joshi</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Resmi B G</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Prashant Uttam Sasane</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Swapnil Shivaji Auti</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Rahul Dhanraj Ghuse</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Rajesh Uikey</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Akhilesh Shukla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Thrijil Krishnan E M</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Bharat Krushna Khuntia</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Neethu Kesavan</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Akhila M</w:t>
            </w:r>
          </w:p>
        </w:tc>
        <w:tc>
          <w:tcPr>
            <w:tcW w:type="dxa" w:w="4510"/>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Shilpa Govind Patil</w:t>
            </w:r>
          </w:p>
        </w:tc>
        <w:tc>
          <w:tcPr>
            <w:tcW w:type="dxa" w:w="4510"/>
            <w:shd w:fill="F9FAFB" w:val="clear"/>
          </w:tcPr>
          <w:p>
            <w:pPr>
              <w:spacing w:after="0"/>
            </w:pPr>
            <w:r>
              <w:rPr>
                <w:rFonts w:ascii="Times New Roman" w:cs="Times New Roman" w:eastAsia="Times New Roman" w:hAnsi="Times New Roman"/>
                <w:color w:val="111827"/>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Vinayak Somnath Chakor</w:t>
            </w:r>
          </w:p>
        </w:tc>
        <w:tc>
          <w:tcPr>
            <w:tcW w:type="dxa" w:w="4510"/>
          </w:tcPr>
          <w:p>
            <w:pPr>
              <w:spacing w:after="0"/>
            </w:pPr>
            <w:r>
              <w:rPr>
                <w:rFonts w:ascii="Times New Roman" w:cs="Times New Roman" w:eastAsia="Times New Roman" w:hAnsi="Times New Roman"/>
                <w:color w:val="111827"/>
                <w:sz w:val="20"/>
                <w:szCs w:val="20"/>
              </w:rPr>
              <w:t xml:space="preserve">Deputy Medical Superintendent</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Shubham Rameshwar Bhongle</w:t>
            </w:r>
          </w:p>
        </w:tc>
        <w:tc>
          <w:tcPr>
            <w:tcW w:type="dxa" w:w="4510"/>
            <w:shd w:fill="F9FAFB" w:val="clear"/>
          </w:tcPr>
          <w:p>
            <w:pPr>
              <w:spacing w:after="0"/>
            </w:pPr>
            <w:r>
              <w:rPr>
                <w:rFonts w:ascii="Times New Roman" w:cs="Times New Roman" w:eastAsia="Times New Roman" w:hAnsi="Times New Roman"/>
                <w:color w:val="111827"/>
                <w:sz w:val="20"/>
                <w:szCs w:val="20"/>
              </w:rPr>
              <w:t xml:space="preserve">Yoga Instructor</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3.  Important Milestones</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pPr>
      <w:r>
        <w:rPr>
          <w:rFonts w:ascii="Times New Roman" w:cs="Times New Roman" w:eastAsia="Times New Roman" w:hAnsi="Times New Roman"/>
          <w:b/>
          <w:bCs/>
          <w:color w:val="111827"/>
          <w:sz w:val="22"/>
          <w:szCs w:val="22"/>
        </w:rPr>
        <w:t xml:space="preserve">Key Events / Institutional Achievements (2024)</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The All India Institute of Ayurveda (AIIA), New Delhi organized a grand event to commemorate the </w:t>
      </w:r>
      <w:r>
        <w:rPr>
          <w:rFonts w:ascii="Times New Roman" w:cs="Times New Roman" w:eastAsia="Times New Roman" w:hAnsi="Times New Roman"/>
          <w:b/>
          <w:bCs/>
          <w:color w:val="111827"/>
          <w:sz w:val="22"/>
          <w:szCs w:val="22"/>
        </w:rPr>
        <w:t xml:space="preserve">10th International Day of Yoga (IDY) 2024</w:t>
      </w:r>
      <w:r>
        <w:rPr>
          <w:rFonts w:ascii="Times New Roman" w:cs="Times New Roman" w:eastAsia="Times New Roman" w:hAnsi="Times New Roman"/>
          <w:color w:val="111827"/>
          <w:sz w:val="22"/>
          <w:szCs w:val="22"/>
        </w:rPr>
        <w:t xml:space="preserve">. The theme of the event was </w:t>
      </w:r>
      <w:r>
        <w:rPr>
          <w:rFonts w:ascii="Times New Roman" w:cs="Times New Roman" w:eastAsia="Times New Roman" w:hAnsi="Times New Roman"/>
          <w:b/>
          <w:bCs/>
          <w:color w:val="111827"/>
          <w:sz w:val="22"/>
          <w:szCs w:val="22"/>
        </w:rPr>
        <w:t xml:space="preserve">“Yoga for Women Empowerment”</w:t>
      </w:r>
      <w:r>
        <w:rPr>
          <w:rFonts w:ascii="Times New Roman" w:cs="Times New Roman" w:eastAsia="Times New Roman" w:hAnsi="Times New Roman"/>
          <w:color w:val="111827"/>
          <w:sz w:val="22"/>
          <w:szCs w:val="22"/>
        </w:rPr>
        <w:t xml:space="preserve">. The Chief Guest of the event was </w:t>
      </w:r>
      <w:r>
        <w:rPr>
          <w:rFonts w:ascii="Times New Roman" w:cs="Times New Roman" w:eastAsia="Times New Roman" w:hAnsi="Times New Roman"/>
          <w:b/>
          <w:bCs/>
          <w:color w:val="111827"/>
          <w:sz w:val="22"/>
          <w:szCs w:val="22"/>
        </w:rPr>
        <w:t xml:space="preserve">Sister BK Shivani</w:t>
      </w:r>
      <w:r>
        <w:rPr>
          <w:rFonts w:ascii="Times New Roman" w:cs="Times New Roman" w:eastAsia="Times New Roman" w:hAnsi="Times New Roman"/>
          <w:color w:val="111827"/>
          <w:sz w:val="22"/>
          <w:szCs w:val="22"/>
        </w:rPr>
        <w:t xml:space="preserve">, a well-known motivational speaker.</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AIIA, New Delhi and </w:t>
      </w:r>
      <w:r>
        <w:rPr>
          <w:rFonts w:ascii="Times New Roman" w:cs="Times New Roman" w:eastAsia="Times New Roman" w:hAnsi="Times New Roman"/>
          <w:b/>
          <w:bCs/>
          <w:color w:val="111827"/>
          <w:sz w:val="22"/>
          <w:szCs w:val="22"/>
        </w:rPr>
        <w:t xml:space="preserve">Nadipulse Prognostics Pvt. Ltd.</w:t>
      </w:r>
      <w:r>
        <w:rPr>
          <w:rFonts w:ascii="Times New Roman" w:cs="Times New Roman" w:eastAsia="Times New Roman" w:hAnsi="Times New Roman"/>
          <w:color w:val="111827"/>
          <w:sz w:val="22"/>
          <w:szCs w:val="22"/>
        </w:rPr>
        <w:t xml:space="preserve"> signed a </w:t>
      </w:r>
      <w:r>
        <w:rPr>
          <w:rFonts w:ascii="Times New Roman" w:cs="Times New Roman" w:eastAsia="Times New Roman" w:hAnsi="Times New Roman"/>
          <w:b/>
          <w:bCs/>
          <w:color w:val="111827"/>
          <w:sz w:val="22"/>
          <w:szCs w:val="22"/>
        </w:rPr>
        <w:t xml:space="preserve">Memorandum of Understanding (MoU)</w:t>
      </w:r>
      <w:r>
        <w:rPr>
          <w:rFonts w:ascii="Times New Roman" w:cs="Times New Roman" w:eastAsia="Times New Roman" w:hAnsi="Times New Roman"/>
          <w:color w:val="111827"/>
          <w:sz w:val="22"/>
          <w:szCs w:val="22"/>
        </w:rPr>
        <w:t xml:space="preserve"> under the </w:t>
      </w:r>
      <w:r>
        <w:rPr>
          <w:rFonts w:ascii="Times New Roman" w:cs="Times New Roman" w:eastAsia="Times New Roman" w:hAnsi="Times New Roman"/>
          <w:b/>
          <w:bCs/>
          <w:color w:val="111827"/>
          <w:sz w:val="22"/>
          <w:szCs w:val="22"/>
        </w:rPr>
        <w:t xml:space="preserve">iCAINE (Incubation Centre for Ayurveda Innovation and Entrepreneurship)</w:t>
      </w:r>
      <w:r>
        <w:rPr>
          <w:rFonts w:ascii="Times New Roman" w:cs="Times New Roman" w:eastAsia="Times New Roman" w:hAnsi="Times New Roman"/>
          <w:color w:val="111827"/>
          <w:sz w:val="22"/>
          <w:szCs w:val="22"/>
        </w:rPr>
        <w:t xml:space="preserve"> for clinical validation of the </w:t>
      </w:r>
      <w:r>
        <w:rPr>
          <w:rFonts w:ascii="Times New Roman" w:cs="Times New Roman" w:eastAsia="Times New Roman" w:hAnsi="Times New Roman"/>
          <w:b/>
          <w:bCs/>
          <w:color w:val="111827"/>
          <w:sz w:val="22"/>
          <w:szCs w:val="22"/>
        </w:rPr>
        <w:t xml:space="preserve">Nadi Parikshan equipment (nPulse)</w:t>
      </w:r>
      <w:r>
        <w:rPr>
          <w:rFonts w:ascii="Times New Roman" w:cs="Times New Roman" w:eastAsia="Times New Roman" w:hAnsi="Times New Roman"/>
          <w:color w:val="111827"/>
          <w:sz w:val="22"/>
          <w:szCs w:val="22"/>
        </w:rPr>
        <w:t xml:space="preserve"> developed by Nadipulse Prognostics Pvt. Ltd. The MoU was signed by the Director of AIIA, </w:t>
      </w:r>
      <w:r>
        <w:rPr>
          <w:rFonts w:ascii="Times New Roman" w:cs="Times New Roman" w:eastAsia="Times New Roman" w:hAnsi="Times New Roman"/>
          <w:b/>
          <w:bCs/>
          <w:color w:val="111827"/>
          <w:sz w:val="22"/>
          <w:szCs w:val="22"/>
        </w:rPr>
        <w:t xml:space="preserve">Prof. (Dr.) Tanuja Nesari</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Under the Ministry of AYUSH, AIIA hosted a </w:t>
      </w:r>
      <w:r>
        <w:rPr>
          <w:rFonts w:ascii="Times New Roman" w:cs="Times New Roman" w:eastAsia="Times New Roman" w:hAnsi="Times New Roman"/>
          <w:b/>
          <w:bCs/>
          <w:color w:val="111827"/>
          <w:sz w:val="22"/>
          <w:szCs w:val="22"/>
        </w:rPr>
        <w:t xml:space="preserve">Global Technical Consultation Group Meeting</w:t>
      </w:r>
      <w:r>
        <w:rPr>
          <w:rFonts w:ascii="Times New Roman" w:cs="Times New Roman" w:eastAsia="Times New Roman" w:hAnsi="Times New Roman"/>
          <w:color w:val="111827"/>
          <w:sz w:val="22"/>
          <w:szCs w:val="22"/>
        </w:rPr>
        <w:t xml:space="preserve"> on </w:t>
      </w:r>
      <w:r>
        <w:rPr>
          <w:rFonts w:ascii="Times New Roman" w:cs="Times New Roman" w:eastAsia="Times New Roman" w:hAnsi="Times New Roman"/>
          <w:i/>
          <w:iCs/>
          <w:color w:val="111827"/>
          <w:sz w:val="22"/>
          <w:szCs w:val="22"/>
        </w:rPr>
        <w:t xml:space="preserve">“Artificial Intelligence (AI) for Global Health: Advancing Traditional Medicine”</w:t>
      </w:r>
      <w:r>
        <w:rPr>
          <w:rFonts w:ascii="Times New Roman" w:cs="Times New Roman" w:eastAsia="Times New Roman" w:hAnsi="Times New Roman"/>
          <w:color w:val="111827"/>
          <w:sz w:val="22"/>
          <w:szCs w:val="22"/>
        </w:rPr>
        <w:t xml:space="preserve"> in collaboration with the </w:t>
      </w:r>
      <w:r>
        <w:rPr>
          <w:rFonts w:ascii="Times New Roman" w:cs="Times New Roman" w:eastAsia="Times New Roman" w:hAnsi="Times New Roman"/>
          <w:b/>
          <w:bCs/>
          <w:color w:val="111827"/>
          <w:sz w:val="22"/>
          <w:szCs w:val="22"/>
        </w:rPr>
        <w:t xml:space="preserve">WHO Global Traditional Medicine Centre (GTMC)</w:t>
      </w:r>
      <w:r>
        <w:rPr>
          <w:rFonts w:ascii="Times New Roman" w:cs="Times New Roman" w:eastAsia="Times New Roman" w:hAnsi="Times New Roman"/>
          <w:color w:val="111827"/>
          <w:sz w:val="22"/>
          <w:szCs w:val="22"/>
        </w:rPr>
        <w:t xml:space="preserve"> and the </w:t>
      </w:r>
      <w:r>
        <w:rPr>
          <w:rFonts w:ascii="Times New Roman" w:cs="Times New Roman" w:eastAsia="Times New Roman" w:hAnsi="Times New Roman"/>
          <w:b/>
          <w:bCs/>
          <w:color w:val="111827"/>
          <w:sz w:val="22"/>
          <w:szCs w:val="22"/>
        </w:rPr>
        <w:t xml:space="preserve">Department of Digital Health and Innovation (DHI-WHO-HQ)</w:t>
      </w:r>
      <w:r>
        <w:rPr>
          <w:rFonts w:ascii="Times New Roman" w:cs="Times New Roman" w:eastAsia="Times New Roman" w:hAnsi="Times New Roman"/>
          <w:color w:val="111827"/>
          <w:sz w:val="22"/>
          <w:szCs w:val="22"/>
        </w:rPr>
        <w:t xml:space="preserve"> on </w:t>
      </w:r>
      <w:r>
        <w:rPr>
          <w:rFonts w:ascii="Times New Roman" w:cs="Times New Roman" w:eastAsia="Times New Roman" w:hAnsi="Times New Roman"/>
          <w:b/>
          <w:bCs/>
          <w:color w:val="111827"/>
          <w:sz w:val="22"/>
          <w:szCs w:val="22"/>
        </w:rPr>
        <w:t xml:space="preserve">11–12 September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AIIA successfully showcased Ayurveda at the </w:t>
      </w:r>
      <w:r>
        <w:rPr>
          <w:rFonts w:ascii="Times New Roman" w:cs="Times New Roman" w:eastAsia="Times New Roman" w:hAnsi="Times New Roman"/>
          <w:b/>
          <w:bCs/>
          <w:color w:val="111827"/>
          <w:sz w:val="22"/>
          <w:szCs w:val="22"/>
        </w:rPr>
        <w:t xml:space="preserve">Ayush Pavilion</w:t>
      </w:r>
      <w:r>
        <w:rPr>
          <w:rFonts w:ascii="Times New Roman" w:cs="Times New Roman" w:eastAsia="Times New Roman" w:hAnsi="Times New Roman"/>
          <w:color w:val="111827"/>
          <w:sz w:val="22"/>
          <w:szCs w:val="22"/>
        </w:rPr>
        <w:t xml:space="preserve"> during the </w:t>
      </w:r>
      <w:r>
        <w:rPr>
          <w:rFonts w:ascii="Times New Roman" w:cs="Times New Roman" w:eastAsia="Times New Roman" w:hAnsi="Times New Roman"/>
          <w:b/>
          <w:bCs/>
          <w:color w:val="111827"/>
          <w:sz w:val="22"/>
          <w:szCs w:val="22"/>
        </w:rPr>
        <w:t xml:space="preserve">46th Session of the World Heritage Committee</w:t>
      </w:r>
      <w:r>
        <w:rPr>
          <w:rFonts w:ascii="Times New Roman" w:cs="Times New Roman" w:eastAsia="Times New Roman" w:hAnsi="Times New Roman"/>
          <w:color w:val="111827"/>
          <w:sz w:val="22"/>
          <w:szCs w:val="22"/>
        </w:rPr>
        <w:t xml:space="preserve"> held at </w:t>
      </w:r>
      <w:r>
        <w:rPr>
          <w:rFonts w:ascii="Times New Roman" w:cs="Times New Roman" w:eastAsia="Times New Roman" w:hAnsi="Times New Roman"/>
          <w:b/>
          <w:bCs/>
          <w:color w:val="111827"/>
          <w:sz w:val="22"/>
          <w:szCs w:val="22"/>
        </w:rPr>
        <w:t xml:space="preserve">Bharat Mandapam, New Delhi</w:t>
      </w:r>
      <w:r>
        <w:rPr>
          <w:rFonts w:ascii="Times New Roman" w:cs="Times New Roman" w:eastAsia="Times New Roman" w:hAnsi="Times New Roman"/>
          <w:color w:val="111827"/>
          <w:sz w:val="22"/>
          <w:szCs w:val="22"/>
        </w:rPr>
        <w:t xml:space="preserve">. The event was inaugurated by the Hon’ble Prime Minister </w:t>
      </w:r>
      <w:r>
        <w:rPr>
          <w:rFonts w:ascii="Times New Roman" w:cs="Times New Roman" w:eastAsia="Times New Roman" w:hAnsi="Times New Roman"/>
          <w:b/>
          <w:bCs/>
          <w:color w:val="111827"/>
          <w:sz w:val="22"/>
          <w:szCs w:val="22"/>
        </w:rPr>
        <w:t xml:space="preserve">Shri Narendra Modi</w:t>
      </w:r>
      <w:r>
        <w:rPr>
          <w:rFonts w:ascii="Times New Roman" w:cs="Times New Roman" w:eastAsia="Times New Roman" w:hAnsi="Times New Roman"/>
          <w:color w:val="111827"/>
          <w:sz w:val="22"/>
          <w:szCs w:val="22"/>
        </w:rPr>
        <w:t xml:space="preserve"> on </w:t>
      </w:r>
      <w:r>
        <w:rPr>
          <w:rFonts w:ascii="Times New Roman" w:cs="Times New Roman" w:eastAsia="Times New Roman" w:hAnsi="Times New Roman"/>
          <w:b/>
          <w:bCs/>
          <w:color w:val="111827"/>
          <w:sz w:val="22"/>
          <w:szCs w:val="22"/>
        </w:rPr>
        <w:t xml:space="preserve">22 July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p>
    <w:p>
      <w:pPr>
        <w:spacing w:after="60"/>
      </w:pP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4.  In Patient Department</w:t>
      </w:r>
    </w:p>
    <w:p>
      <w:pPr>
        <w:spacing w:after="80" w:line="432"/>
      </w:pPr>
      <w:r>
        <w:rPr>
          <w:rFonts w:ascii="Times New Roman" w:cs="Times New Roman" w:eastAsia="Times New Roman" w:hAnsi="Times New Roman"/>
          <w:color w:val="111827"/>
          <w:sz w:val="22"/>
          <w:szCs w:val="22"/>
        </w:rPr>
        <w:t xml:space="preserve">The In-Patient Department (IPD) comprises 200 fully oxygen-supported beds with roundthe-clock care by trained medical and paramedical staff. Services are offered across key specialties including Kayachikitsa, Panchakarma, Shalakya, Shalya, Stri Roga &amp; Prasuti Tantra, and Kaumarbhritya. The IPD is equipped with dedicated ICU and NICU facilities (for in-house patients only), along with a well- functioning Operation Theatre (OT) and Labor Room, ensuring comprehensive and integrative patient care.</w:t>
      </w:r>
    </w:p>
    <w:p>
      <w:pPr>
        <w:spacing w:after="60" w:before="100"/>
      </w:pPr>
      <w:r>
        <w:rPr>
          <w:rFonts w:ascii="Times New Roman" w:cs="Times New Roman" w:eastAsia="Times New Roman" w:hAnsi="Times New Roman"/>
          <w:b/>
          <w:bCs/>
          <w:color w:val="374151"/>
          <w:sz w:val="24"/>
          <w:szCs w:val="24"/>
        </w:rPr>
        <w:t xml:space="preserve">Therapeutic Procedures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Procedure</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1</w:t>
            </w:r>
          </w:p>
        </w:tc>
        <w:tc>
          <w:tcPr>
            <w:tcW w:type="dxa" w:w="4510"/>
          </w:tcPr>
          <w:p>
            <w:pPr>
              <w:spacing w:after="0"/>
            </w:pPr>
            <w:r>
              <w:rPr>
                <w:rFonts w:ascii="Times New Roman" w:cs="Times New Roman" w:eastAsia="Times New Roman" w:hAnsi="Times New Roman"/>
                <w:color w:val="111827"/>
                <w:sz w:val="20"/>
                <w:szCs w:val="20"/>
              </w:rPr>
              <w:t xml:space="preserve">Panchakarma</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2</w:t>
            </w:r>
          </w:p>
        </w:tc>
        <w:tc>
          <w:tcPr>
            <w:tcW w:type="dxa" w:w="4510"/>
            <w:shd w:fill="F9FAFB" w:val="clear"/>
          </w:tcPr>
          <w:p>
            <w:pPr>
              <w:spacing w:after="0"/>
            </w:pPr>
            <w:r>
              <w:rPr>
                <w:rFonts w:ascii="Times New Roman" w:cs="Times New Roman" w:eastAsia="Times New Roman" w:hAnsi="Times New Roman"/>
                <w:color w:val="111827"/>
                <w:sz w:val="20"/>
                <w:szCs w:val="20"/>
              </w:rPr>
              <w:t xml:space="preserve">Kriyakalpa</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3</w:t>
            </w:r>
          </w:p>
        </w:tc>
        <w:tc>
          <w:tcPr>
            <w:tcW w:type="dxa" w:w="4510"/>
          </w:tcPr>
          <w:p>
            <w:pPr>
              <w:spacing w:after="0"/>
            </w:pPr>
            <w:r>
              <w:rPr>
                <w:rFonts w:ascii="Times New Roman" w:cs="Times New Roman" w:eastAsia="Times New Roman" w:hAnsi="Times New Roman"/>
                <w:color w:val="111827"/>
                <w:sz w:val="20"/>
                <w:szCs w:val="20"/>
              </w:rPr>
              <w:t xml:space="preserve">Major and Minor Surgical Procedures</w:t>
            </w:r>
          </w:p>
        </w:tc>
      </w:tr>
      <w:tr>
        <w:trPr>
          <w:cantSplit w:val="false"/>
        </w:trPr>
        <w:tc>
          <w:tcPr>
            <w:tcW w:type="dxa" w:w="4510"/>
            <w:shd w:fill="F9FAFB" w:val="clear"/>
          </w:tcPr>
          <w:p>
            <w:pPr>
              <w:spacing w:after="0"/>
            </w:pPr>
            <w:r>
              <w:rPr>
                <w:rFonts w:ascii="Times New Roman" w:cs="Times New Roman" w:eastAsia="Times New Roman" w:hAnsi="Times New Roman"/>
                <w:color w:val="111827"/>
                <w:sz w:val="20"/>
                <w:szCs w:val="20"/>
              </w:rPr>
              <w:t xml:space="preserve">4</w:t>
            </w:r>
          </w:p>
        </w:tc>
        <w:tc>
          <w:tcPr>
            <w:tcW w:type="dxa" w:w="4510"/>
            <w:shd w:fill="F9FAFB" w:val="clear"/>
          </w:tcPr>
          <w:p>
            <w:pPr>
              <w:spacing w:after="0"/>
            </w:pPr>
            <w:r>
              <w:rPr>
                <w:rFonts w:ascii="Times New Roman" w:cs="Times New Roman" w:eastAsia="Times New Roman" w:hAnsi="Times New Roman"/>
                <w:color w:val="111827"/>
                <w:sz w:val="20"/>
                <w:szCs w:val="20"/>
              </w:rPr>
              <w:t xml:space="preserve">Dental Procedures</w:t>
            </w:r>
          </w:p>
        </w:tc>
      </w:tr>
    </w:tbl>
    <w:p>
      <w:pPr>
        <w:spacing w:after="60"/>
      </w:pPr>
    </w:p>
    <w:p>
      <w:pPr>
        <w:spacing w:after="80" w:line="432"/>
      </w:pPr>
      <w:r>
        <w:rPr>
          <w:rFonts w:ascii="Times New Roman" w:cs="Times New Roman" w:eastAsia="Times New Roman" w:hAnsi="Times New Roman"/>
          <w:b/>
          <w:bCs/>
          <w:color w:val="111827"/>
          <w:sz w:val="22"/>
          <w:szCs w:val="22"/>
        </w:rPr>
        <w:t xml:space="preserve">Diagnostic Services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institute provides the following diagnostic services:</w:t>
      </w:r>
    </w:p>
    <w:p>
      <w:pPr>
        <w:spacing w:after="80" w:line="432"/>
      </w:pPr>
      <w:r>
        <w:rPr>
          <w:rFonts w:ascii="Times New Roman" w:cs="Times New Roman" w:eastAsia="Times New Roman" w:hAnsi="Times New Roman"/>
          <w:b/>
          <w:bCs/>
          <w:color w:val="111827"/>
          <w:sz w:val="22"/>
          <w:szCs w:val="22"/>
        </w:rPr>
        <w:t xml:space="preserve">1. Clinical Diagnostic Procedures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Colposcopy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Colonoscopy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Nadi Clinic</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Prakriti Clinic</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b/>
          <w:bCs/>
          <w:color w:val="111827"/>
          <w:sz w:val="22"/>
          <w:szCs w:val="22"/>
        </w:rPr>
        <w:t xml:space="preserve">2. Laboratory and Imaging Services</w:t>
      </w:r>
      <w:r>
        <w:rPr>
          <w:rFonts w:ascii="Times New Roman" w:cs="Times New Roman" w:eastAsia="Times New Roman" w:hAnsi="Times New Roman"/>
        </w:rPr>
        <w:t xml:space="preserve">
</w:t>
      </w:r>
      <w:r>
        <w:rPr>
          <w:rFonts w:ascii="Times New Roman" w:cs="Times New Roman" w:eastAsia="Times New Roman" w:hAnsi="Times New Roman"/>
          <w:b/>
          <w:bCs/>
          <w:color w:val="111827"/>
          <w:sz w:val="22"/>
          <w:szCs w:val="22"/>
        </w:rPr>
        <w:t xml:space="preserve">Laboratory Services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Haematology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Biochemistry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Microbiology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Pathology</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b/>
          <w:bCs/>
          <w:color w:val="111827"/>
          <w:sz w:val="22"/>
          <w:szCs w:val="22"/>
        </w:rPr>
        <w:t xml:space="preserve">Imaging &amp; Functional Diagnostics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Electrocardiography (ECG)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Radiology</w:t>
      </w:r>
    </w:p>
    <w:p>
      <w:pPr>
        <w:spacing w:after="80" w:line="432"/>
      </w:pP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Admissions and Discharges </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Times New Roman" w:cs="Times New Roman" w:eastAsia="Times New Roman" w:hAnsi="Times New Roman"/>
                <w:b/>
                <w:bCs/>
                <w:color w:val="111827"/>
                <w:sz w:val="20"/>
                <w:szCs w:val="20"/>
              </w:rPr>
              <w:t xml:space="preserve">period</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admissions</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discharges</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alos</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24-Apr</w:t>
            </w:r>
          </w:p>
        </w:tc>
        <w:tc>
          <w:tcPr>
            <w:tcW w:type="dxa" w:w="2255"/>
          </w:tcPr>
          <w:p>
            <w:pPr>
              <w:spacing w:after="0"/>
            </w:pPr>
            <w:r>
              <w:rPr>
                <w:rFonts w:ascii="Times New Roman" w:cs="Times New Roman" w:eastAsia="Times New Roman" w:hAnsi="Times New Roman"/>
                <w:color w:val="111827"/>
                <w:sz w:val="20"/>
                <w:szCs w:val="20"/>
              </w:rPr>
              <w:t xml:space="preserve">423</w:t>
            </w:r>
          </w:p>
        </w:tc>
        <w:tc>
          <w:tcPr>
            <w:tcW w:type="dxa" w:w="2255"/>
          </w:tcPr>
          <w:p>
            <w:pPr>
              <w:spacing w:after="0"/>
            </w:pPr>
            <w:r>
              <w:rPr>
                <w:rFonts w:ascii="Times New Roman" w:cs="Times New Roman" w:eastAsia="Times New Roman" w:hAnsi="Times New Roman"/>
                <w:color w:val="111827"/>
                <w:sz w:val="20"/>
                <w:szCs w:val="20"/>
              </w:rPr>
              <w:t xml:space="preserve">415</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24-May</w:t>
            </w:r>
          </w:p>
        </w:tc>
        <w:tc>
          <w:tcPr>
            <w:tcW w:type="dxa" w:w="2255"/>
            <w:shd w:fill="F9FAFB" w:val="clear"/>
          </w:tcPr>
          <w:p>
            <w:pPr>
              <w:spacing w:after="0"/>
            </w:pPr>
            <w:r>
              <w:rPr>
                <w:rFonts w:ascii="Times New Roman" w:cs="Times New Roman" w:eastAsia="Times New Roman" w:hAnsi="Times New Roman"/>
                <w:color w:val="111827"/>
                <w:sz w:val="20"/>
                <w:szCs w:val="20"/>
              </w:rPr>
              <w:t xml:space="preserve">428</w:t>
            </w:r>
          </w:p>
        </w:tc>
        <w:tc>
          <w:tcPr>
            <w:tcW w:type="dxa" w:w="2255"/>
            <w:shd w:fill="F9FAFB" w:val="clear"/>
          </w:tcPr>
          <w:p>
            <w:pPr>
              <w:spacing w:after="0"/>
            </w:pPr>
            <w:r>
              <w:rPr>
                <w:rFonts w:ascii="Times New Roman" w:cs="Times New Roman" w:eastAsia="Times New Roman" w:hAnsi="Times New Roman"/>
                <w:color w:val="111827"/>
                <w:sz w:val="20"/>
                <w:szCs w:val="20"/>
              </w:rPr>
              <w:t xml:space="preserve">419</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24-Jun</w:t>
            </w:r>
          </w:p>
        </w:tc>
        <w:tc>
          <w:tcPr>
            <w:tcW w:type="dxa" w:w="2255"/>
          </w:tcPr>
          <w:p>
            <w:pPr>
              <w:spacing w:after="0"/>
            </w:pPr>
            <w:r>
              <w:rPr>
                <w:rFonts w:ascii="Times New Roman" w:cs="Times New Roman" w:eastAsia="Times New Roman" w:hAnsi="Times New Roman"/>
                <w:color w:val="111827"/>
                <w:sz w:val="20"/>
                <w:szCs w:val="20"/>
              </w:rPr>
              <w:t xml:space="preserve">400</w:t>
            </w:r>
          </w:p>
        </w:tc>
        <w:tc>
          <w:tcPr>
            <w:tcW w:type="dxa" w:w="2255"/>
          </w:tcPr>
          <w:p>
            <w:pPr>
              <w:spacing w:after="0"/>
            </w:pPr>
            <w:r>
              <w:rPr>
                <w:rFonts w:ascii="Times New Roman" w:cs="Times New Roman" w:eastAsia="Times New Roman" w:hAnsi="Times New Roman"/>
                <w:color w:val="111827"/>
                <w:sz w:val="20"/>
                <w:szCs w:val="20"/>
              </w:rPr>
              <w:t xml:space="preserve">415</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24-Jul</w:t>
            </w:r>
          </w:p>
        </w:tc>
        <w:tc>
          <w:tcPr>
            <w:tcW w:type="dxa" w:w="2255"/>
            <w:shd w:fill="F9FAFB" w:val="clear"/>
          </w:tcPr>
          <w:p>
            <w:pPr>
              <w:spacing w:after="0"/>
            </w:pPr>
            <w:r>
              <w:rPr>
                <w:rFonts w:ascii="Times New Roman" w:cs="Times New Roman" w:eastAsia="Times New Roman" w:hAnsi="Times New Roman"/>
                <w:color w:val="111827"/>
                <w:sz w:val="20"/>
                <w:szCs w:val="20"/>
              </w:rPr>
              <w:t xml:space="preserve">485</w:t>
            </w:r>
          </w:p>
        </w:tc>
        <w:tc>
          <w:tcPr>
            <w:tcW w:type="dxa" w:w="2255"/>
            <w:shd w:fill="F9FAFB" w:val="clear"/>
          </w:tcPr>
          <w:p>
            <w:pPr>
              <w:spacing w:after="0"/>
            </w:pPr>
            <w:r>
              <w:rPr>
                <w:rFonts w:ascii="Times New Roman" w:cs="Times New Roman" w:eastAsia="Times New Roman" w:hAnsi="Times New Roman"/>
                <w:color w:val="111827"/>
                <w:sz w:val="20"/>
                <w:szCs w:val="20"/>
              </w:rPr>
              <w:t xml:space="preserve">458</w:t>
            </w:r>
          </w:p>
        </w:tc>
        <w:tc>
          <w:tcPr>
            <w:tcW w:type="dxa" w:w="2255"/>
            <w:shd w:fill="F9FAFB" w:val="clear"/>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24-Aug</w:t>
            </w:r>
          </w:p>
        </w:tc>
        <w:tc>
          <w:tcPr>
            <w:tcW w:type="dxa" w:w="2255"/>
          </w:tcPr>
          <w:p>
            <w:pPr>
              <w:spacing w:after="0"/>
            </w:pPr>
            <w:r>
              <w:rPr>
                <w:rFonts w:ascii="Times New Roman" w:cs="Times New Roman" w:eastAsia="Times New Roman" w:hAnsi="Times New Roman"/>
                <w:color w:val="111827"/>
                <w:sz w:val="20"/>
                <w:szCs w:val="20"/>
              </w:rPr>
              <w:t xml:space="preserve">440</w:t>
            </w:r>
          </w:p>
        </w:tc>
        <w:tc>
          <w:tcPr>
            <w:tcW w:type="dxa" w:w="2255"/>
          </w:tcPr>
          <w:p>
            <w:pPr>
              <w:spacing w:after="0"/>
            </w:pPr>
            <w:r>
              <w:rPr>
                <w:rFonts w:ascii="Times New Roman" w:cs="Times New Roman" w:eastAsia="Times New Roman" w:hAnsi="Times New Roman"/>
                <w:color w:val="111827"/>
                <w:sz w:val="20"/>
                <w:szCs w:val="20"/>
              </w:rPr>
              <w:t xml:space="preserve">441</w:t>
            </w:r>
          </w:p>
        </w:tc>
        <w:tc>
          <w:tcPr>
            <w:tcW w:type="dxa" w:w="2255"/>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24-Sep</w:t>
            </w:r>
          </w:p>
        </w:tc>
        <w:tc>
          <w:tcPr>
            <w:tcW w:type="dxa" w:w="2255"/>
            <w:shd w:fill="F9FAFB" w:val="clear"/>
          </w:tcPr>
          <w:p>
            <w:pPr>
              <w:spacing w:after="0"/>
            </w:pPr>
            <w:r>
              <w:rPr>
                <w:rFonts w:ascii="Times New Roman" w:cs="Times New Roman" w:eastAsia="Times New Roman" w:hAnsi="Times New Roman"/>
                <w:color w:val="111827"/>
                <w:sz w:val="20"/>
                <w:szCs w:val="20"/>
              </w:rPr>
              <w:t xml:space="preserve">469</w:t>
            </w:r>
          </w:p>
        </w:tc>
        <w:tc>
          <w:tcPr>
            <w:tcW w:type="dxa" w:w="2255"/>
            <w:shd w:fill="F9FAFB" w:val="clear"/>
          </w:tcPr>
          <w:p>
            <w:pPr>
              <w:spacing w:after="0"/>
            </w:pPr>
            <w:r>
              <w:rPr>
                <w:rFonts w:ascii="Times New Roman" w:cs="Times New Roman" w:eastAsia="Times New Roman" w:hAnsi="Times New Roman"/>
                <w:color w:val="111827"/>
                <w:sz w:val="20"/>
                <w:szCs w:val="20"/>
              </w:rPr>
              <w:t xml:space="preserve">503</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24-Oct</w:t>
            </w:r>
          </w:p>
        </w:tc>
        <w:tc>
          <w:tcPr>
            <w:tcW w:type="dxa" w:w="2255"/>
          </w:tcPr>
          <w:p>
            <w:pPr>
              <w:spacing w:after="0"/>
            </w:pPr>
            <w:r>
              <w:rPr>
                <w:rFonts w:ascii="Times New Roman" w:cs="Times New Roman" w:eastAsia="Times New Roman" w:hAnsi="Times New Roman"/>
                <w:color w:val="111827"/>
                <w:sz w:val="20"/>
                <w:szCs w:val="20"/>
              </w:rPr>
              <w:t xml:space="preserve">326</w:t>
            </w:r>
          </w:p>
        </w:tc>
        <w:tc>
          <w:tcPr>
            <w:tcW w:type="dxa" w:w="2255"/>
          </w:tcPr>
          <w:p>
            <w:pPr>
              <w:spacing w:after="0"/>
            </w:pPr>
            <w:r>
              <w:rPr>
                <w:rFonts w:ascii="Times New Roman" w:cs="Times New Roman" w:eastAsia="Times New Roman" w:hAnsi="Times New Roman"/>
                <w:color w:val="111827"/>
                <w:sz w:val="20"/>
                <w:szCs w:val="20"/>
              </w:rPr>
              <w:t xml:space="preserve">412</w:t>
            </w:r>
          </w:p>
        </w:tc>
        <w:tc>
          <w:tcPr>
            <w:tcW w:type="dxa" w:w="2255"/>
          </w:tcPr>
          <w:p>
            <w:pPr>
              <w:spacing w:after="0"/>
            </w:pPr>
            <w:r>
              <w:rPr>
                <w:rFonts w:ascii="Times New Roman" w:cs="Times New Roman" w:eastAsia="Times New Roman" w:hAnsi="Times New Roman"/>
                <w:color w:val="111827"/>
                <w:sz w:val="20"/>
                <w:szCs w:val="20"/>
              </w:rPr>
              <w:t xml:space="preserve">9</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24-Nov</w:t>
            </w:r>
          </w:p>
        </w:tc>
        <w:tc>
          <w:tcPr>
            <w:tcW w:type="dxa" w:w="2255"/>
            <w:shd w:fill="F9FAFB" w:val="clear"/>
          </w:tcPr>
          <w:p>
            <w:pPr>
              <w:spacing w:after="0"/>
            </w:pPr>
            <w:r>
              <w:rPr>
                <w:rFonts w:ascii="Times New Roman" w:cs="Times New Roman" w:eastAsia="Times New Roman" w:hAnsi="Times New Roman"/>
                <w:color w:val="111827"/>
                <w:sz w:val="20"/>
                <w:szCs w:val="20"/>
              </w:rPr>
              <w:t xml:space="preserve">447</w:t>
            </w:r>
          </w:p>
        </w:tc>
        <w:tc>
          <w:tcPr>
            <w:tcW w:type="dxa" w:w="2255"/>
            <w:shd w:fill="F9FAFB" w:val="clear"/>
          </w:tcPr>
          <w:p>
            <w:pPr>
              <w:spacing w:after="0"/>
            </w:pPr>
            <w:r>
              <w:rPr>
                <w:rFonts w:ascii="Times New Roman" w:cs="Times New Roman" w:eastAsia="Times New Roman" w:hAnsi="Times New Roman"/>
                <w:color w:val="111827"/>
                <w:sz w:val="20"/>
                <w:szCs w:val="20"/>
              </w:rPr>
              <w:t xml:space="preserve">344</w:t>
            </w:r>
          </w:p>
        </w:tc>
        <w:tc>
          <w:tcPr>
            <w:tcW w:type="dxa" w:w="2255"/>
            <w:shd w:fill="F9FAFB" w:val="clear"/>
          </w:tcPr>
          <w:p>
            <w:pPr>
              <w:spacing w:after="0"/>
            </w:pPr>
            <w:r>
              <w:rPr>
                <w:rFonts w:ascii="Times New Roman" w:cs="Times New Roman" w:eastAsia="Times New Roman" w:hAnsi="Times New Roman"/>
                <w:color w:val="111827"/>
                <w:sz w:val="20"/>
                <w:szCs w:val="20"/>
              </w:rPr>
              <w:t xml:space="preserve">8</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24-Dec</w:t>
            </w:r>
          </w:p>
        </w:tc>
        <w:tc>
          <w:tcPr>
            <w:tcW w:type="dxa" w:w="2255"/>
          </w:tcPr>
          <w:p>
            <w:pPr>
              <w:spacing w:after="0"/>
            </w:pPr>
            <w:r>
              <w:rPr>
                <w:rFonts w:ascii="Times New Roman" w:cs="Times New Roman" w:eastAsia="Times New Roman" w:hAnsi="Times New Roman"/>
                <w:color w:val="111827"/>
                <w:sz w:val="20"/>
                <w:szCs w:val="20"/>
              </w:rPr>
              <w:t xml:space="preserve">352</w:t>
            </w:r>
          </w:p>
        </w:tc>
        <w:tc>
          <w:tcPr>
            <w:tcW w:type="dxa" w:w="2255"/>
          </w:tcPr>
          <w:p>
            <w:pPr>
              <w:spacing w:after="0"/>
            </w:pPr>
            <w:r>
              <w:rPr>
                <w:rFonts w:ascii="Times New Roman" w:cs="Times New Roman" w:eastAsia="Times New Roman" w:hAnsi="Times New Roman"/>
                <w:color w:val="111827"/>
                <w:sz w:val="20"/>
                <w:szCs w:val="20"/>
              </w:rPr>
              <w:t xml:space="preserve">408</w:t>
            </w:r>
          </w:p>
        </w:tc>
        <w:tc>
          <w:tcPr>
            <w:tcW w:type="dxa" w:w="2255"/>
          </w:tcPr>
          <w:p>
            <w:pPr>
              <w:spacing w:after="0"/>
            </w:pPr>
            <w:r>
              <w:rPr>
                <w:rFonts w:ascii="Times New Roman" w:cs="Times New Roman" w:eastAsia="Times New Roman" w:hAnsi="Times New Roman"/>
                <w:color w:val="111827"/>
                <w:sz w:val="20"/>
                <w:szCs w:val="20"/>
              </w:rPr>
              <w:t xml:space="preserve">10</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25-Jan</w:t>
            </w:r>
          </w:p>
        </w:tc>
        <w:tc>
          <w:tcPr>
            <w:tcW w:type="dxa" w:w="2255"/>
            <w:shd w:fill="F9FAFB" w:val="clear"/>
          </w:tcPr>
          <w:p>
            <w:pPr>
              <w:spacing w:after="0"/>
            </w:pPr>
            <w:r>
              <w:rPr>
                <w:rFonts w:ascii="Times New Roman" w:cs="Times New Roman" w:eastAsia="Times New Roman" w:hAnsi="Times New Roman"/>
                <w:color w:val="111827"/>
                <w:sz w:val="20"/>
                <w:szCs w:val="20"/>
              </w:rPr>
              <w:t xml:space="preserve">444</w:t>
            </w:r>
          </w:p>
        </w:tc>
        <w:tc>
          <w:tcPr>
            <w:tcW w:type="dxa" w:w="2255"/>
            <w:shd w:fill="F9FAFB" w:val="clear"/>
          </w:tcPr>
          <w:p>
            <w:pPr>
              <w:spacing w:after="0"/>
            </w:pPr>
            <w:r>
              <w:rPr>
                <w:rFonts w:ascii="Times New Roman" w:cs="Times New Roman" w:eastAsia="Times New Roman" w:hAnsi="Times New Roman"/>
                <w:color w:val="111827"/>
                <w:sz w:val="20"/>
                <w:szCs w:val="20"/>
              </w:rPr>
              <w:t xml:space="preserve">406</w:t>
            </w:r>
          </w:p>
        </w:tc>
        <w:tc>
          <w:tcPr>
            <w:tcW w:type="dxa" w:w="2255"/>
            <w:shd w:fill="F9FAFB" w:val="clear"/>
          </w:tcPr>
          <w:p>
            <w:pPr>
              <w:spacing w:after="0"/>
            </w:pPr>
            <w:r>
              <w:rPr>
                <w:rFonts w:ascii="Times New Roman" w:cs="Times New Roman" w:eastAsia="Times New Roman" w:hAnsi="Times New Roman"/>
                <w:color w:val="111827"/>
                <w:sz w:val="20"/>
                <w:szCs w:val="20"/>
              </w:rPr>
              <w:t xml:space="preserve">7</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25-Feb</w:t>
            </w:r>
          </w:p>
        </w:tc>
        <w:tc>
          <w:tcPr>
            <w:tcW w:type="dxa" w:w="2255"/>
          </w:tcPr>
          <w:p>
            <w:pPr>
              <w:spacing w:after="0"/>
            </w:pPr>
            <w:r>
              <w:rPr>
                <w:rFonts w:ascii="Times New Roman" w:cs="Times New Roman" w:eastAsia="Times New Roman" w:hAnsi="Times New Roman"/>
                <w:color w:val="111827"/>
                <w:sz w:val="20"/>
                <w:szCs w:val="20"/>
              </w:rPr>
              <w:t xml:space="preserve">426</w:t>
            </w:r>
          </w:p>
        </w:tc>
        <w:tc>
          <w:tcPr>
            <w:tcW w:type="dxa" w:w="2255"/>
          </w:tcPr>
          <w:p>
            <w:pPr>
              <w:spacing w:after="0"/>
            </w:pPr>
            <w:r>
              <w:rPr>
                <w:rFonts w:ascii="Times New Roman" w:cs="Times New Roman" w:eastAsia="Times New Roman" w:hAnsi="Times New Roman"/>
                <w:color w:val="111827"/>
                <w:sz w:val="20"/>
                <w:szCs w:val="20"/>
              </w:rPr>
              <w:t xml:space="preserve">423</w:t>
            </w:r>
          </w:p>
        </w:tc>
        <w:tc>
          <w:tcPr>
            <w:tcW w:type="dxa" w:w="2255"/>
          </w:tcPr>
          <w:p>
            <w:pPr>
              <w:spacing w:after="0"/>
            </w:pPr>
            <w:r>
              <w:rPr>
                <w:rFonts w:ascii="Times New Roman" w:cs="Times New Roman" w:eastAsia="Times New Roman" w:hAnsi="Times New Roman"/>
                <w:color w:val="111827"/>
                <w:sz w:val="20"/>
                <w:szCs w:val="20"/>
              </w:rPr>
              <w:t xml:space="preserve">8</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25-Mar</w:t>
            </w:r>
          </w:p>
        </w:tc>
        <w:tc>
          <w:tcPr>
            <w:tcW w:type="dxa" w:w="2255"/>
            <w:shd w:fill="F9FAFB" w:val="clear"/>
          </w:tcPr>
          <w:p>
            <w:pPr>
              <w:spacing w:after="0"/>
            </w:pPr>
            <w:r>
              <w:rPr>
                <w:rFonts w:ascii="Times New Roman" w:cs="Times New Roman" w:eastAsia="Times New Roman" w:hAnsi="Times New Roman"/>
                <w:color w:val="111827"/>
                <w:sz w:val="20"/>
                <w:szCs w:val="20"/>
              </w:rPr>
              <w:t xml:space="preserve">434</w:t>
            </w:r>
          </w:p>
        </w:tc>
        <w:tc>
          <w:tcPr>
            <w:tcW w:type="dxa" w:w="2255"/>
            <w:shd w:fill="F9FAFB" w:val="clear"/>
          </w:tcPr>
          <w:p>
            <w:pPr>
              <w:spacing w:after="0"/>
            </w:pPr>
            <w:r>
              <w:rPr>
                <w:rFonts w:ascii="Times New Roman" w:cs="Times New Roman" w:eastAsia="Times New Roman" w:hAnsi="Times New Roman"/>
                <w:color w:val="111827"/>
                <w:sz w:val="20"/>
                <w:szCs w:val="20"/>
              </w:rPr>
              <w:t xml:space="preserve">436</w:t>
            </w:r>
          </w:p>
        </w:tc>
        <w:tc>
          <w:tcPr>
            <w:tcW w:type="dxa" w:w="2255"/>
            <w:shd w:fill="F9FAFB" w:val="clear"/>
          </w:tcPr>
          <w:p>
            <w:pPr>
              <w:spacing w:after="0"/>
            </w:pPr>
            <w:r>
              <w:rPr>
                <w:rFonts w:ascii="Times New Roman" w:cs="Times New Roman" w:eastAsia="Times New Roman" w:hAnsi="Times New Roman"/>
                <w:color w:val="111827"/>
                <w:sz w:val="20"/>
                <w:szCs w:val="20"/>
              </w:rPr>
              <w:t xml:space="preserve">9</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6B7280"/>
          <w:sz w:val="18"/>
          <w:szCs w:val="18"/>
        </w:rPr>
        <w:t xml:space="preserve">KPI</w:t>
      </w:r>
    </w:p>
    <w:p>
      <w:pPr>
        <w:spacing w:after="60"/>
      </w:pP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5.  Department of Kayachikitsa</w:t>
      </w:r>
    </w:p>
    <w:p>
      <w:pPr>
        <w:spacing w:after="80" w:line="432"/>
      </w:pPr>
      <w:r>
        <w:rPr>
          <w:rFonts w:ascii="Times New Roman" w:cs="Times New Roman" w:eastAsia="Times New Roman" w:hAnsi="Times New Roman"/>
          <w:b/>
          <w:bCs/>
          <w:color w:val="111827"/>
          <w:sz w:val="22"/>
          <w:szCs w:val="22"/>
        </w:rPr>
        <w:t xml:space="preserve">Name of Department</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Ayurveda Samhita and Siddhanta Department</w:t>
      </w:r>
    </w:p>
    <w:p>
      <w:pPr>
        <w:spacing w:after="80" w:line="432"/>
      </w:pPr>
      <w:r>
        <w:rPr>
          <w:rFonts w:ascii="Times New Roman" w:cs="Times New Roman" w:eastAsia="Times New Roman" w:hAnsi="Times New Roman"/>
          <w:b/>
          <w:bCs/>
          <w:color w:val="111827"/>
          <w:sz w:val="22"/>
          <w:szCs w:val="22"/>
        </w:rPr>
        <w:t xml:space="preserve">Introduction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The Samhita Siddhanta Department is one of the academic departments at the All India Institute of Ayurveda (AIIA). The postgraduate department is primarily concerned with the study of the fundamentals of Ayurveda, known as </w:t>
      </w:r>
      <w:r>
        <w:rPr>
          <w:rFonts w:ascii="Times New Roman" w:cs="Times New Roman" w:eastAsia="Times New Roman" w:hAnsi="Times New Roman"/>
          <w:b/>
          <w:bCs/>
          <w:color w:val="111827"/>
          <w:sz w:val="22"/>
          <w:szCs w:val="22"/>
        </w:rPr>
        <w:t xml:space="preserve">Samhitas (classical compendiums)</w:t>
      </w:r>
      <w:r>
        <w:rPr>
          <w:rFonts w:ascii="Times New Roman" w:cs="Times New Roman" w:eastAsia="Times New Roman" w:hAnsi="Times New Roman"/>
          <w:color w:val="111827"/>
          <w:sz w:val="22"/>
          <w:szCs w:val="22"/>
        </w:rPr>
        <w:t xml:space="preserve">, and the exploration of their direct and indirect clinical applications.</w:t>
      </w:r>
    </w:p>
    <w:p>
      <w:pPr>
        <w:spacing w:after="80" w:line="432"/>
      </w:pPr>
      <w:r>
        <w:rPr>
          <w:rFonts w:ascii="Times New Roman" w:cs="Times New Roman" w:eastAsia="Times New Roman" w:hAnsi="Times New Roman"/>
          <w:color w:val="111827"/>
          <w:sz w:val="22"/>
          <w:szCs w:val="22"/>
        </w:rPr>
        <w:t xml:space="preserve">The department imparts multi-dimensional fundamental education to postgraduate and PhD scholars in a pragmatic manner, enabling scholars to understand the core essence of the subject and develop the ability to explore new research and practical applications.</w:t>
      </w:r>
    </w:p>
    <w:p>
      <w:pPr>
        <w:spacing w:after="80" w:line="432"/>
      </w:pPr>
      <w:r>
        <w:rPr>
          <w:rFonts w:ascii="Times New Roman" w:cs="Times New Roman" w:eastAsia="Times New Roman" w:hAnsi="Times New Roman"/>
          <w:b/>
          <w:bCs/>
          <w:color w:val="111827"/>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To establish excellence in the understanding and interpretation of fundamental concepts explained in the Samhitas and relevant literature, and to conduct outstanding research work in various fields.</w:t>
      </w:r>
    </w:p>
    <w:p>
      <w:pPr>
        <w:spacing w:after="80" w:line="432"/>
      </w:pPr>
      <w:r>
        <w:rPr>
          <w:rFonts w:ascii="Times New Roman" w:cs="Times New Roman" w:eastAsia="Times New Roman" w:hAnsi="Times New Roman"/>
          <w:b/>
          <w:bCs/>
          <w:color w:val="111827"/>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Empower students with the basic tools for approaching the science of Ayurveda in a structured manner</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Enable understanding of Ayurvedic literature and its application in clinical practice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Serve society through effective integration of Ayurvedic knowledge in healthcare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b/>
          <w:bCs/>
          <w:color w:val="111827"/>
          <w:sz w:val="22"/>
          <w:szCs w:val="22"/>
        </w:rPr>
        <w:t xml:space="preserve">Objectives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educate students in understanding the fundamental concepts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develop a Language Lab for exploring Sanskrit and other regional and international languages for scientific research purposes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To develop a manuscript unit for studying and researching original, unexplored manuscripts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b/>
          <w:bCs/>
          <w:color w:val="111827"/>
          <w:sz w:val="22"/>
          <w:szCs w:val="22"/>
        </w:rPr>
        <w:t xml:space="preserve">Functions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AIIA conducted </w:t>
      </w:r>
      <w:r>
        <w:rPr>
          <w:rFonts w:ascii="Times New Roman" w:cs="Times New Roman" w:eastAsia="Times New Roman" w:hAnsi="Times New Roman"/>
          <w:b/>
          <w:bCs/>
          <w:color w:val="111827"/>
          <w:sz w:val="22"/>
          <w:szCs w:val="22"/>
        </w:rPr>
        <w:t xml:space="preserve">Ganesh Aarti, Poojana, 24-hour Samhita Pathana, and Ganapati Atharvasheersha Pathana</w:t>
      </w:r>
      <w:r>
        <w:rPr>
          <w:rFonts w:ascii="Times New Roman" w:cs="Times New Roman" w:eastAsia="Times New Roman" w:hAnsi="Times New Roman"/>
          <w:color w:val="111827"/>
          <w:sz w:val="22"/>
          <w:szCs w:val="22"/>
        </w:rPr>
        <w:t xml:space="preserve"> during </w:t>
      </w:r>
      <w:r>
        <w:rPr>
          <w:rFonts w:ascii="Times New Roman" w:cs="Times New Roman" w:eastAsia="Times New Roman" w:hAnsi="Times New Roman"/>
          <w:i/>
          <w:iCs/>
          <w:color w:val="111827"/>
          <w:sz w:val="22"/>
          <w:szCs w:val="22"/>
        </w:rPr>
        <w:t xml:space="preserve">Gunadhish 2024 – Ganeshotsava Celebration</w:t>
      </w:r>
      <w:r>
        <w:rPr>
          <w:rFonts w:ascii="Times New Roman" w:cs="Times New Roman" w:eastAsia="Times New Roman" w:hAnsi="Times New Roman"/>
          <w:color w:val="111827"/>
          <w:sz w:val="22"/>
          <w:szCs w:val="22"/>
        </w:rPr>
        <w:t xml:space="preserve"> (07/09/2024 to 11/09/2024)</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Conducted </w:t>
      </w:r>
      <w:r>
        <w:rPr>
          <w:rFonts w:ascii="Times New Roman" w:cs="Times New Roman" w:eastAsia="Times New Roman" w:hAnsi="Times New Roman"/>
          <w:b/>
          <w:bCs/>
          <w:color w:val="111827"/>
          <w:sz w:val="22"/>
          <w:szCs w:val="22"/>
        </w:rPr>
        <w:t xml:space="preserve">Pathan session</w:t>
      </w:r>
      <w:r>
        <w:rPr>
          <w:rFonts w:ascii="Times New Roman" w:cs="Times New Roman" w:eastAsia="Times New Roman" w:hAnsi="Times New Roman"/>
          <w:color w:val="111827"/>
          <w:sz w:val="22"/>
          <w:szCs w:val="22"/>
        </w:rPr>
        <w:t xml:space="preserve"> during </w:t>
      </w:r>
      <w:r>
        <w:rPr>
          <w:rFonts w:ascii="Times New Roman" w:cs="Times New Roman" w:eastAsia="Times New Roman" w:hAnsi="Times New Roman"/>
          <w:i/>
          <w:iCs/>
          <w:color w:val="111827"/>
          <w:sz w:val="22"/>
          <w:szCs w:val="22"/>
        </w:rPr>
        <w:t xml:space="preserve">Charak Jayanti Celebration</w:t>
      </w:r>
      <w:r>
        <w:rPr>
          <w:rFonts w:ascii="Times New Roman" w:cs="Times New Roman" w:eastAsia="Times New Roman" w:hAnsi="Times New Roman"/>
          <w:color w:val="111827"/>
          <w:sz w:val="22"/>
          <w:szCs w:val="22"/>
        </w:rPr>
        <w:t xml:space="preserve"> on 09/08/2024</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Conducted </w:t>
      </w:r>
      <w:r>
        <w:rPr>
          <w:rFonts w:ascii="Times New Roman" w:cs="Times New Roman" w:eastAsia="Times New Roman" w:hAnsi="Times New Roman"/>
          <w:b/>
          <w:bCs/>
          <w:color w:val="111827"/>
          <w:sz w:val="22"/>
          <w:szCs w:val="22"/>
        </w:rPr>
        <w:t xml:space="preserve">Samhita Pathan session focusing on Charak Sutrasthan</w:t>
      </w:r>
      <w:r>
        <w:rPr>
          <w:rFonts w:ascii="Times New Roman" w:cs="Times New Roman" w:eastAsia="Times New Roman" w:hAnsi="Times New Roman"/>
          <w:color w:val="111827"/>
          <w:sz w:val="22"/>
          <w:szCs w:val="22"/>
        </w:rPr>
        <w:t xml:space="preserve"> during </w:t>
      </w:r>
      <w:r>
        <w:rPr>
          <w:rFonts w:ascii="Times New Roman" w:cs="Times New Roman" w:eastAsia="Times New Roman" w:hAnsi="Times New Roman"/>
          <w:i/>
          <w:iCs/>
          <w:color w:val="111827"/>
          <w:sz w:val="22"/>
          <w:szCs w:val="22"/>
        </w:rPr>
        <w:t xml:space="preserve">Vasant Panchami Celebration</w:t>
      </w:r>
      <w:r>
        <w:rPr>
          <w:rFonts w:ascii="Times New Roman" w:cs="Times New Roman" w:eastAsia="Times New Roman" w:hAnsi="Times New Roman"/>
          <w:color w:val="111827"/>
          <w:sz w:val="22"/>
          <w:szCs w:val="22"/>
        </w:rPr>
        <w:t xml:space="preserve"> on 03/02/2025</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Conducted </w:t>
      </w:r>
      <w:r>
        <w:rPr>
          <w:rFonts w:ascii="Times New Roman" w:cs="Times New Roman" w:eastAsia="Times New Roman" w:hAnsi="Times New Roman"/>
          <w:b/>
          <w:bCs/>
          <w:color w:val="111827"/>
          <w:sz w:val="22"/>
          <w:szCs w:val="22"/>
        </w:rPr>
        <w:t xml:space="preserve">Samhita Pathan and Dhanvantari Vandana</w:t>
      </w:r>
      <w:r>
        <w:rPr>
          <w:rFonts w:ascii="Times New Roman" w:cs="Times New Roman" w:eastAsia="Times New Roman" w:hAnsi="Times New Roman"/>
          <w:color w:val="111827"/>
          <w:sz w:val="22"/>
          <w:szCs w:val="22"/>
        </w:rPr>
        <w:t xml:space="preserve"> during </w:t>
      </w:r>
      <w:r>
        <w:rPr>
          <w:rFonts w:ascii="Times New Roman" w:cs="Times New Roman" w:eastAsia="Times New Roman" w:hAnsi="Times New Roman"/>
          <w:i/>
          <w:iCs/>
          <w:color w:val="111827"/>
          <w:sz w:val="22"/>
          <w:szCs w:val="22"/>
        </w:rPr>
        <w:t xml:space="preserve">Janmashtami Celebration</w:t>
      </w:r>
      <w:r>
        <w:rPr>
          <w:rFonts w:ascii="Times New Roman" w:cs="Times New Roman" w:eastAsia="Times New Roman" w:hAnsi="Times New Roman"/>
          <w:color w:val="111827"/>
          <w:sz w:val="22"/>
          <w:szCs w:val="22"/>
        </w:rPr>
        <w:t xml:space="preserve"> on 28/08/2024</w:t>
      </w:r>
    </w:p>
    <w:p>
      <w:pPr>
        <w:spacing w:after="80" w:line="432"/>
      </w:pP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374151"/>
          <w:sz w:val="24"/>
          <w:szCs w:val="24"/>
        </w:rPr>
        <w:t xml:space="preserve">Research Activities during the year:</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Times New Roman" w:cs="Times New Roman" w:eastAsia="Times New Roman" w:hAnsi="Times New Roman"/>
                <w:b/>
                <w:bCs/>
                <w:color w:val="111827"/>
                <w:sz w:val="20"/>
                <w:szCs w:val="20"/>
              </w:rPr>
              <w:t xml:space="preserve">name_of_the_project</w:t>
            </w:r>
          </w:p>
        </w:tc>
        <w:tc>
          <w:tcPr>
            <w:tcW w:type="dxa" w:w="4510"/>
            <w:shd w:fill="D0CECE" w:val="clear"/>
          </w:tcPr>
          <w:p>
            <w:pPr>
              <w:spacing w:after="0"/>
            </w:pPr>
            <w:r>
              <w:rPr>
                <w:rFonts w:ascii="Times New Roman" w:cs="Times New Roman" w:eastAsia="Times New Roman" w:hAnsi="Times New Roman"/>
                <w:b/>
                <w:bCs/>
                <w:color w:val="111827"/>
                <w:sz w:val="20"/>
                <w:szCs w:val="20"/>
              </w:rPr>
              <w:t xml:space="preserve">pi_copi</w:t>
            </w:r>
          </w:p>
        </w:tc>
      </w:tr>
      <w:tr>
        <w:trPr>
          <w:cantSplit w:val="false"/>
        </w:trPr>
        <w:tc>
          <w:tcPr>
            <w:tcW w:type="dxa" w:w="4510"/>
          </w:tcPr>
          <w:p>
            <w:pPr>
              <w:spacing w:after="0"/>
            </w:pPr>
            <w:r>
              <w:rPr>
                <w:rFonts w:ascii="Times New Roman" w:cs="Times New Roman" w:eastAsia="Times New Roman" w:hAnsi="Times New Roman"/>
                <w:color w:val="111827"/>
                <w:sz w:val="20"/>
                <w:szCs w:val="20"/>
              </w:rPr>
              <w:t xml:space="preserve">Development of E-Charak Module Sutrasthana 30 Chapters for Academic Purpose</w:t>
            </w:r>
          </w:p>
        </w:tc>
        <w:tc>
          <w:tcPr>
            <w:tcW w:type="dxa" w:w="4510"/>
          </w:tcPr>
          <w:p>
            <w:pPr>
              <w:spacing w:after="0"/>
            </w:pPr>
            <w:r>
              <w:rPr>
                <w:rFonts w:ascii="Times New Roman" w:cs="Times New Roman" w:eastAsia="Times New Roman" w:hAnsi="Times New Roman"/>
                <w:color w:val="111827"/>
                <w:sz w:val="20"/>
                <w:szCs w:val="20"/>
              </w:rPr>
              <w:t xml:space="preserve">PI: Prof. Dr. Mahesh VyasCo-PI: Dr. Kamal Kumar</w:t>
            </w:r>
          </w:p>
        </w:tc>
      </w:tr>
      <w:tr>
        <w:trPr>
          <w:cantSplit/>
        </w:trPr>
        <w:tc>
          <w:tcPr>
            <w:tcW w:type="dxa" w:w="4510"/>
            <w:shd w:fill="F9FAFB" w:val="clear"/>
          </w:tcPr>
          <w:p>
            <w:pPr>
              <w:spacing w:after="0"/>
            </w:pPr>
            <w:r>
              <w:rPr>
                <w:rFonts w:ascii="Times New Roman" w:cs="Times New Roman" w:eastAsia="Times New Roman" w:hAnsi="Times New Roman"/>
                <w:color w:val="111827"/>
                <w:sz w:val="20"/>
                <w:szCs w:val="20"/>
              </w:rPr>
              <w:t xml:space="preserve">Efficacy and safety of Punarnavadi Mandura alone and in combination with Drakshavaleha compared to iron folic acid in the treatment of moderate iron deficiency anaemia among non-pregnant women of reproductive age group: a community-based three-arm multicentre randomized controlled trial</w:t>
            </w:r>
          </w:p>
        </w:tc>
        <w:tc>
          <w:tcPr>
            <w:tcW w:type="dxa" w:w="4510"/>
            <w:shd w:fill="F9FAFB" w:val="clear"/>
          </w:tcPr>
          <w:p>
            <w:pPr>
              <w:spacing w:after="0"/>
            </w:pPr>
            <w:r>
              <w:rPr>
                <w:rFonts w:ascii="Times New Roman" w:cs="Times New Roman" w:eastAsia="Times New Roman" w:hAnsi="Times New Roman"/>
                <w:color w:val="111827"/>
                <w:sz w:val="20"/>
                <w:szCs w:val="20"/>
              </w:rPr>
              <w:t xml:space="preserve">Coordinator: Dr. Rinky Thakur (PI and CTRI number not stated in report)</w:t>
            </w:r>
          </w:p>
        </w:tc>
      </w:tr>
    </w:tbl>
    <w:p>
      <w:pPr>
        <w:spacing w:after="60"/>
      </w:pPr>
    </w:p>
    <w:p>
      <w:pPr>
        <w:spacing w:after="60" w:before="100"/>
      </w:pPr>
      <w:r>
        <w:rPr>
          <w:rFonts w:ascii="Times New Roman" w:cs="Times New Roman" w:eastAsia="Times New Roman" w:hAnsi="Times New Roman"/>
          <w:b/>
          <w:bCs/>
          <w:color w:val="374151"/>
          <w:sz w:val="24"/>
          <w:szCs w:val="24"/>
        </w:rPr>
        <w:t xml:space="preserve">Publications: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Times New Roman" w:cs="Times New Roman" w:eastAsia="Times New Roman" w:hAnsi="Times New Roman"/>
                <w:b/>
                <w:bCs/>
                <w:color w:val="111827"/>
                <w:sz w:val="20"/>
                <w:szCs w:val="20"/>
              </w:rPr>
              <w:t xml:space="preserve">sno</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title_of_paper</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journal</w:t>
            </w:r>
          </w:p>
        </w:tc>
        <w:tc>
          <w:tcPr>
            <w:tcW w:type="dxa" w:w="2255"/>
            <w:shd w:fill="D0CECE" w:val="clear"/>
          </w:tcPr>
          <w:p>
            <w:pPr>
              <w:spacing w:after="0"/>
            </w:pPr>
            <w:r>
              <w:rPr>
                <w:rFonts w:ascii="Times New Roman" w:cs="Times New Roman" w:eastAsia="Times New Roman" w:hAnsi="Times New Roman"/>
                <w:b/>
                <w:bCs/>
                <w:color w:val="111827"/>
                <w:sz w:val="20"/>
                <w:szCs w:val="20"/>
              </w:rPr>
              <w:t xml:space="preserve">name_of_faculty_or_scholar</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1</w:t>
            </w:r>
          </w:p>
        </w:tc>
        <w:tc>
          <w:tcPr>
            <w:tcW w:type="dxa" w:w="2255"/>
          </w:tcPr>
          <w:p>
            <w:pPr>
              <w:spacing w:after="0"/>
            </w:pPr>
            <w:r>
              <w:rPr>
                <w:rFonts w:ascii="Times New Roman" w:cs="Times New Roman" w:eastAsia="Times New Roman" w:hAnsi="Times New Roman"/>
                <w:color w:val="111827"/>
                <w:sz w:val="20"/>
                <w:szCs w:val="20"/>
              </w:rPr>
              <w:t xml:space="preserve">A review on textual criticism in Ayurveda</w:t>
            </w:r>
          </w:p>
        </w:tc>
        <w:tc>
          <w:tcPr>
            <w:tcW w:type="dxa" w:w="2255"/>
          </w:tcPr>
          <w:p>
            <w:pPr>
              <w:spacing w:after="0"/>
            </w:pPr>
            <w:r>
              <w:rPr>
                <w:rFonts w:ascii="Times New Roman" w:cs="Times New Roman" w:eastAsia="Times New Roman" w:hAnsi="Times New Roman"/>
                <w:color w:val="111827"/>
                <w:sz w:val="20"/>
                <w:szCs w:val="20"/>
              </w:rPr>
              <w:t xml:space="preserve">International Ayurvedic Medical Journal (IAMJ), 12(3), 2024. DOI: 10.46607/iamj1612032024</w:t>
            </w:r>
          </w:p>
        </w:tc>
        <w:tc>
          <w:tcPr>
            <w:tcW w:type="dxa" w:w="2255"/>
          </w:tcPr>
          <w:p>
            <w:pPr>
              <w:spacing w:after="0"/>
            </w:pPr>
            <w:r>
              <w:rPr>
                <w:rFonts w:ascii="Times New Roman" w:cs="Times New Roman" w:eastAsia="Times New Roman" w:hAnsi="Times New Roman"/>
                <w:color w:val="111827"/>
                <w:sz w:val="20"/>
                <w:szCs w:val="20"/>
              </w:rPr>
              <w:t xml:space="preserve">Vyas M., Kumar K., Baghel A. S., P. A.</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2</w:t>
            </w:r>
          </w:p>
        </w:tc>
        <w:tc>
          <w:tcPr>
            <w:tcW w:type="dxa" w:w="2255"/>
            <w:shd w:fill="F9FAFB" w:val="clear"/>
          </w:tcPr>
          <w:p>
            <w:pPr>
              <w:spacing w:after="0"/>
            </w:pPr>
            <w:r>
              <w:rPr>
                <w:rFonts w:ascii="Times New Roman" w:cs="Times New Roman" w:eastAsia="Times New Roman" w:hAnsi="Times New Roman"/>
                <w:color w:val="111827"/>
                <w:sz w:val="20"/>
                <w:szCs w:val="20"/>
              </w:rPr>
              <w:t xml:space="preserve">Application of Rasnadi Churnam on Shiras (Mid-scalp) as a daily regimen</w:t>
            </w:r>
          </w:p>
        </w:tc>
        <w:tc>
          <w:tcPr>
            <w:tcW w:type="dxa" w:w="2255"/>
            <w:shd w:fill="F9FAFB" w:val="clear"/>
          </w:tcPr>
          <w:p>
            <w:pPr>
              <w:spacing w:after="0"/>
            </w:pPr>
            <w:r>
              <w:rPr>
                <w:rFonts w:ascii="Times New Roman" w:cs="Times New Roman" w:eastAsia="Times New Roman" w:hAnsi="Times New Roman"/>
                <w:color w:val="111827"/>
                <w:sz w:val="20"/>
                <w:szCs w:val="20"/>
              </w:rPr>
              <w:t xml:space="preserve">International Journal of Ayurveda and Pharma Research, 12(2), 2024. DOI: 10.47070/ijapr.v12i2.3035</w:t>
            </w:r>
          </w:p>
        </w:tc>
        <w:tc>
          <w:tcPr>
            <w:tcW w:type="dxa" w:w="2255"/>
            <w:shd w:fill="F9FAFB" w:val="clear"/>
          </w:tcPr>
          <w:p>
            <w:pPr>
              <w:spacing w:after="0"/>
            </w:pPr>
            <w:r>
              <w:rPr>
                <w:rFonts w:ascii="Times New Roman" w:cs="Times New Roman" w:eastAsia="Times New Roman" w:hAnsi="Times New Roman"/>
                <w:color w:val="111827"/>
                <w:sz w:val="20"/>
                <w:szCs w:val="20"/>
              </w:rPr>
              <w:t xml:space="preserve">Vyas M., Kumar K., Baghel A. S., P. A.</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3</w:t>
            </w:r>
          </w:p>
        </w:tc>
        <w:tc>
          <w:tcPr>
            <w:tcW w:type="dxa" w:w="2255"/>
          </w:tcPr>
          <w:p>
            <w:pPr>
              <w:spacing w:after="0"/>
            </w:pPr>
            <w:r>
              <w:rPr>
                <w:rFonts w:ascii="Times New Roman" w:cs="Times New Roman" w:eastAsia="Times New Roman" w:hAnsi="Times New Roman"/>
                <w:color w:val="111827"/>
                <w:sz w:val="20"/>
                <w:szCs w:val="20"/>
              </w:rPr>
              <w:t xml:space="preserve">Broncho-protective effect of Tulsi using total lung capacity analysis on Pranavaha Srotas – A case series</w:t>
            </w:r>
          </w:p>
        </w:tc>
        <w:tc>
          <w:tcPr>
            <w:tcW w:type="dxa" w:w="2255"/>
          </w:tcPr>
          <w:p>
            <w:pPr>
              <w:spacing w:after="0"/>
            </w:pPr>
            <w:r>
              <w:rPr>
                <w:rFonts w:ascii="Times New Roman" w:cs="Times New Roman" w:eastAsia="Times New Roman" w:hAnsi="Times New Roman"/>
                <w:color w:val="111827"/>
                <w:sz w:val="20"/>
                <w:szCs w:val="20"/>
              </w:rPr>
              <w:t xml:space="preserve">Annals of Ayurvedic Medicine, 13(2), 2024. DOI: 10.5455/AAM.92550</w:t>
            </w:r>
          </w:p>
        </w:tc>
        <w:tc>
          <w:tcPr>
            <w:tcW w:type="dxa" w:w="2255"/>
          </w:tcPr>
          <w:p>
            <w:pPr>
              <w:spacing w:after="0"/>
            </w:pPr>
            <w:r>
              <w:rPr>
                <w:rFonts w:ascii="Times New Roman" w:cs="Times New Roman" w:eastAsia="Times New Roman" w:hAnsi="Times New Roman"/>
                <w:color w:val="111827"/>
                <w:sz w:val="20"/>
                <w:szCs w:val="20"/>
              </w:rPr>
              <w:t xml:space="preserve">Burolia R. K., Vyas M.</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4</w:t>
            </w:r>
          </w:p>
        </w:tc>
        <w:tc>
          <w:tcPr>
            <w:tcW w:type="dxa" w:w="2255"/>
            <w:shd w:fill="F9FAFB" w:val="clear"/>
          </w:tcPr>
          <w:p>
            <w:pPr>
              <w:spacing w:after="0"/>
            </w:pPr>
            <w:r>
              <w:rPr>
                <w:rFonts w:ascii="Times New Roman" w:cs="Times New Roman" w:eastAsia="Times New Roman" w:hAnsi="Times New Roman"/>
                <w:color w:val="111827"/>
                <w:sz w:val="20"/>
                <w:szCs w:val="20"/>
              </w:rPr>
              <w:t xml:space="preserve">Promising role of traditional (Ayurvedic) medicine in COVID-19 management</w:t>
            </w:r>
          </w:p>
        </w:tc>
        <w:tc>
          <w:tcPr>
            <w:tcW w:type="dxa" w:w="2255"/>
            <w:shd w:fill="F9FAFB" w:val="clear"/>
          </w:tcPr>
          <w:p>
            <w:pPr>
              <w:spacing w:after="0"/>
            </w:pPr>
            <w:r>
              <w:rPr>
                <w:rFonts w:ascii="Times New Roman" w:cs="Times New Roman" w:eastAsia="Times New Roman" w:hAnsi="Times New Roman"/>
                <w:color w:val="111827"/>
                <w:sz w:val="20"/>
                <w:szCs w:val="20"/>
              </w:rPr>
              <w:t xml:space="preserve">Journal of Herbal Medicines, 2024. DOI: 10.1016/j.hermed.2024.100868</w:t>
            </w:r>
          </w:p>
        </w:tc>
        <w:tc>
          <w:tcPr>
            <w:tcW w:type="dxa" w:w="2255"/>
            <w:shd w:fill="F9FAFB" w:val="clear"/>
          </w:tcPr>
          <w:p>
            <w:pPr>
              <w:spacing w:after="0"/>
            </w:pPr>
            <w:r>
              <w:rPr>
                <w:rFonts w:ascii="Times New Roman" w:cs="Times New Roman" w:eastAsia="Times New Roman" w:hAnsi="Times New Roman"/>
                <w:color w:val="111827"/>
                <w:sz w:val="20"/>
                <w:szCs w:val="20"/>
              </w:rPr>
              <w:t xml:space="preserve">Nesari T., Prajapati P. K., Vyas M., et al.</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5</w:t>
            </w:r>
          </w:p>
        </w:tc>
        <w:tc>
          <w:tcPr>
            <w:tcW w:type="dxa" w:w="2255"/>
          </w:tcPr>
          <w:p>
            <w:pPr>
              <w:spacing w:after="0"/>
            </w:pPr>
            <w:r>
              <w:rPr>
                <w:rFonts w:ascii="Times New Roman" w:cs="Times New Roman" w:eastAsia="Times New Roman" w:hAnsi="Times New Roman"/>
                <w:color w:val="111827"/>
                <w:sz w:val="20"/>
                <w:szCs w:val="20"/>
              </w:rPr>
              <w:t xml:space="preserve">Guest editorial</w:t>
            </w:r>
          </w:p>
        </w:tc>
        <w:tc>
          <w:tcPr>
            <w:tcW w:type="dxa" w:w="2255"/>
          </w:tcPr>
          <w:p>
            <w:pPr>
              <w:spacing w:after="0"/>
            </w:pPr>
            <w:r>
              <w:rPr>
                <w:rFonts w:ascii="Times New Roman" w:cs="Times New Roman" w:eastAsia="Times New Roman" w:hAnsi="Times New Roman"/>
                <w:color w:val="111827"/>
                <w:sz w:val="20"/>
                <w:szCs w:val="20"/>
              </w:rPr>
              <w:t xml:space="preserve">Journal of Vishwa Ayurveda Parishada, 2024</w:t>
            </w:r>
          </w:p>
        </w:tc>
        <w:tc>
          <w:tcPr>
            <w:tcW w:type="dxa" w:w="2255"/>
          </w:tcPr>
          <w:p>
            <w:pPr>
              <w:spacing w:after="0"/>
            </w:pPr>
            <w:r>
              <w:rPr>
                <w:rFonts w:ascii="Times New Roman" w:cs="Times New Roman" w:eastAsia="Times New Roman" w:hAnsi="Times New Roman"/>
                <w:color w:val="111827"/>
                <w:sz w:val="20"/>
                <w:szCs w:val="20"/>
              </w:rPr>
              <w:t xml:space="preserve">Vyas M.</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6</w:t>
            </w:r>
          </w:p>
        </w:tc>
        <w:tc>
          <w:tcPr>
            <w:tcW w:type="dxa" w:w="2255"/>
            <w:shd w:fill="F9FAFB" w:val="clear"/>
          </w:tcPr>
          <w:p>
            <w:pPr>
              <w:spacing w:after="0"/>
            </w:pPr>
            <w:r>
              <w:rPr>
                <w:rFonts w:ascii="Times New Roman" w:cs="Times New Roman" w:eastAsia="Times New Roman" w:hAnsi="Times New Roman"/>
                <w:color w:val="111827"/>
                <w:sz w:val="20"/>
                <w:szCs w:val="20"/>
              </w:rPr>
              <w:t xml:space="preserve">Psychological dimensions of Prakriti</w:t>
            </w:r>
          </w:p>
        </w:tc>
        <w:tc>
          <w:tcPr>
            <w:tcW w:type="dxa" w:w="2255"/>
            <w:shd w:fill="F9FAFB" w:val="clear"/>
          </w:tcPr>
          <w:p>
            <w:pPr>
              <w:spacing w:after="0"/>
            </w:pPr>
            <w:r>
              <w:rPr>
                <w:rFonts w:ascii="Times New Roman" w:cs="Times New Roman" w:eastAsia="Times New Roman" w:hAnsi="Times New Roman"/>
                <w:color w:val="111827"/>
                <w:sz w:val="20"/>
                <w:szCs w:val="20"/>
              </w:rPr>
              <w:t xml:space="preserve">Deep Science Publishing Book, 2025. DOI: 10.70593/978-93-49307-81-0_4</w:t>
            </w:r>
          </w:p>
        </w:tc>
        <w:tc>
          <w:tcPr>
            <w:tcW w:type="dxa" w:w="2255"/>
            <w:shd w:fill="F9FAFB" w:val="clear"/>
          </w:tcPr>
          <w:p>
            <w:pPr>
              <w:spacing w:after="0"/>
            </w:pPr>
            <w:r>
              <w:rPr>
                <w:rFonts w:ascii="Times New Roman" w:cs="Times New Roman" w:eastAsia="Times New Roman" w:hAnsi="Times New Roman"/>
                <w:color w:val="111827"/>
                <w:sz w:val="20"/>
                <w:szCs w:val="20"/>
              </w:rPr>
              <w:t xml:space="preserve">Nikita Sharma, Rinky Thakur</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7</w:t>
            </w:r>
          </w:p>
        </w:tc>
        <w:tc>
          <w:tcPr>
            <w:tcW w:type="dxa" w:w="2255"/>
          </w:tcPr>
          <w:p>
            <w:pPr>
              <w:spacing w:after="0"/>
            </w:pPr>
            <w:r>
              <w:rPr>
                <w:rFonts w:ascii="Times New Roman" w:cs="Times New Roman" w:eastAsia="Times New Roman" w:hAnsi="Times New Roman"/>
                <w:color w:val="111827"/>
                <w:sz w:val="20"/>
                <w:szCs w:val="20"/>
              </w:rPr>
              <w:t xml:space="preserve">Prakriti: A trans-disciplinary approach</w:t>
            </w:r>
          </w:p>
        </w:tc>
        <w:tc>
          <w:tcPr>
            <w:tcW w:type="dxa" w:w="2255"/>
          </w:tcPr>
          <w:p>
            <w:pPr>
              <w:spacing w:after="0"/>
            </w:pPr>
            <w:r>
              <w:rPr>
                <w:rFonts w:ascii="Times New Roman" w:cs="Times New Roman" w:eastAsia="Times New Roman" w:hAnsi="Times New Roman"/>
                <w:color w:val="111827"/>
                <w:sz w:val="20"/>
                <w:szCs w:val="20"/>
              </w:rPr>
              <w:t xml:space="preserve">Deep Science Publishing Book, 2025. DOI: 10.70593/978-93-49307-81-0_1</w:t>
            </w:r>
          </w:p>
        </w:tc>
        <w:tc>
          <w:tcPr>
            <w:tcW w:type="dxa" w:w="2255"/>
          </w:tcPr>
          <w:p>
            <w:pPr>
              <w:spacing w:after="0"/>
            </w:pPr>
            <w:r>
              <w:rPr>
                <w:rFonts w:ascii="Times New Roman" w:cs="Times New Roman" w:eastAsia="Times New Roman" w:hAnsi="Times New Roman"/>
                <w:color w:val="111827"/>
                <w:sz w:val="20"/>
                <w:szCs w:val="20"/>
              </w:rPr>
              <w:t xml:space="preserve">Rinky Thakur, Nikita Sharma</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8</w:t>
            </w:r>
          </w:p>
        </w:tc>
        <w:tc>
          <w:tcPr>
            <w:tcW w:type="dxa" w:w="2255"/>
            <w:shd w:fill="F9FAFB" w:val="clear"/>
          </w:tcPr>
          <w:p>
            <w:pPr>
              <w:spacing w:after="0"/>
            </w:pPr>
            <w:r>
              <w:rPr>
                <w:rFonts w:ascii="Times New Roman" w:cs="Times New Roman" w:eastAsia="Times New Roman" w:hAnsi="Times New Roman"/>
                <w:color w:val="111827"/>
                <w:sz w:val="20"/>
                <w:szCs w:val="20"/>
              </w:rPr>
              <w:t xml:space="preserve">Effect of Samskara initiative on PG scholars</w:t>
            </w:r>
          </w:p>
        </w:tc>
        <w:tc>
          <w:tcPr>
            <w:tcW w:type="dxa" w:w="2255"/>
            <w:shd w:fill="F9FAFB" w:val="clear"/>
          </w:tcPr>
          <w:p>
            <w:pPr>
              <w:spacing w:after="0"/>
            </w:pPr>
            <w:r>
              <w:rPr>
                <w:rFonts w:ascii="Times New Roman" w:cs="Times New Roman" w:eastAsia="Times New Roman" w:hAnsi="Times New Roman"/>
                <w:color w:val="111827"/>
                <w:sz w:val="20"/>
                <w:szCs w:val="20"/>
              </w:rPr>
              <w:t xml:space="preserve">International Journal of Ayurveda Research, 6(1), 67–69, 2024. DOI: 10.4103/ijar.ijar_24_25</w:t>
            </w:r>
          </w:p>
        </w:tc>
        <w:tc>
          <w:tcPr>
            <w:tcW w:type="dxa" w:w="2255"/>
            <w:shd w:fill="F9FAFB" w:val="clear"/>
          </w:tcPr>
          <w:p>
            <w:pPr>
              <w:spacing w:after="0"/>
            </w:pPr>
            <w:r>
              <w:rPr>
                <w:rFonts w:ascii="Times New Roman" w:cs="Times New Roman" w:eastAsia="Times New Roman" w:hAnsi="Times New Roman"/>
                <w:color w:val="111827"/>
                <w:sz w:val="20"/>
                <w:szCs w:val="20"/>
              </w:rPr>
              <w:t xml:space="preserve">Rinky Thakur</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9</w:t>
            </w:r>
          </w:p>
        </w:tc>
        <w:tc>
          <w:tcPr>
            <w:tcW w:type="dxa" w:w="2255"/>
          </w:tcPr>
          <w:p>
            <w:pPr>
              <w:spacing w:after="0"/>
            </w:pPr>
            <w:r>
              <w:rPr>
                <w:rFonts w:ascii="Times New Roman" w:cs="Times New Roman" w:eastAsia="Times New Roman" w:hAnsi="Times New Roman"/>
                <w:color w:val="111827"/>
                <w:sz w:val="20"/>
                <w:szCs w:val="20"/>
              </w:rPr>
              <w:t xml:space="preserve">Breastfeeding trends and implications</w:t>
            </w:r>
          </w:p>
        </w:tc>
        <w:tc>
          <w:tcPr>
            <w:tcW w:type="dxa" w:w="2255"/>
          </w:tcPr>
          <w:p>
            <w:pPr>
              <w:spacing w:after="0"/>
            </w:pPr>
            <w:r>
              <w:rPr>
                <w:rFonts w:ascii="Times New Roman" w:cs="Times New Roman" w:eastAsia="Times New Roman" w:hAnsi="Times New Roman"/>
                <w:color w:val="111827"/>
                <w:sz w:val="20"/>
                <w:szCs w:val="20"/>
              </w:rPr>
              <w:t xml:space="preserve">Journal of Research in Ayurvedic Sciences, 8(6), 276–285, 2024. DOI: 10.4103/jras.jras_236_23</w:t>
            </w:r>
          </w:p>
        </w:tc>
        <w:tc>
          <w:tcPr>
            <w:tcW w:type="dxa" w:w="2255"/>
          </w:tcPr>
          <w:p>
            <w:pPr>
              <w:spacing w:after="0"/>
            </w:pPr>
            <w:r>
              <w:rPr>
                <w:rFonts w:ascii="Times New Roman" w:cs="Times New Roman" w:eastAsia="Times New Roman" w:hAnsi="Times New Roman"/>
                <w:color w:val="111827"/>
                <w:sz w:val="20"/>
                <w:szCs w:val="20"/>
              </w:rPr>
              <w:t xml:space="preserve">Mishra A., Halder S., Vyas M. K., Kumar K., Sharma N.</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10</w:t>
            </w:r>
          </w:p>
        </w:tc>
        <w:tc>
          <w:tcPr>
            <w:tcW w:type="dxa" w:w="2255"/>
            <w:shd w:fill="F9FAFB" w:val="clear"/>
          </w:tcPr>
          <w:p>
            <w:pPr>
              <w:spacing w:after="0"/>
            </w:pPr>
            <w:r>
              <w:rPr>
                <w:rFonts w:ascii="Times New Roman" w:cs="Times New Roman" w:eastAsia="Times New Roman" w:hAnsi="Times New Roman"/>
                <w:color w:val="111827"/>
                <w:sz w:val="20"/>
                <w:szCs w:val="20"/>
              </w:rPr>
              <w:t xml:space="preserve">Ayurvedic health-care in cancer management</w:t>
            </w:r>
          </w:p>
        </w:tc>
        <w:tc>
          <w:tcPr>
            <w:tcW w:type="dxa" w:w="2255"/>
            <w:shd w:fill="F9FAFB" w:val="clear"/>
          </w:tcPr>
          <w:p>
            <w:pPr>
              <w:spacing w:after="0"/>
            </w:pPr>
            <w:r>
              <w:rPr>
                <w:rFonts w:ascii="Times New Roman" w:cs="Times New Roman" w:eastAsia="Times New Roman" w:hAnsi="Times New Roman"/>
                <w:color w:val="111827"/>
                <w:sz w:val="20"/>
                <w:szCs w:val="20"/>
              </w:rPr>
              <w:t xml:space="preserve">International Journal of Ayurveda Research, 5(3), 163–171, 2024. DOI: 10.4103/ijar.ijar_138_23</w:t>
            </w:r>
          </w:p>
        </w:tc>
        <w:tc>
          <w:tcPr>
            <w:tcW w:type="dxa" w:w="2255"/>
            <w:shd w:fill="F9FAFB" w:val="clear"/>
          </w:tcPr>
          <w:p>
            <w:pPr>
              <w:spacing w:after="0"/>
            </w:pPr>
            <w:r>
              <w:rPr>
                <w:rFonts w:ascii="Times New Roman" w:cs="Times New Roman" w:eastAsia="Times New Roman" w:hAnsi="Times New Roman"/>
                <w:color w:val="111827"/>
                <w:sz w:val="20"/>
                <w:szCs w:val="20"/>
              </w:rPr>
              <w:t xml:space="preserve">Jain S., Tiwari R., Singh V., Vyas M., Kumar K., Sharma N.</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11</w:t>
            </w:r>
          </w:p>
        </w:tc>
        <w:tc>
          <w:tcPr>
            <w:tcW w:type="dxa" w:w="2255"/>
          </w:tcPr>
          <w:p>
            <w:pPr>
              <w:spacing w:after="0"/>
            </w:pPr>
            <w:r>
              <w:rPr>
                <w:rFonts w:ascii="Times New Roman" w:cs="Times New Roman" w:eastAsia="Times New Roman" w:hAnsi="Times New Roman"/>
                <w:color w:val="111827"/>
                <w:sz w:val="20"/>
                <w:szCs w:val="20"/>
              </w:rPr>
              <w:t xml:space="preserve">P5 approach for geriatric health care</w:t>
            </w:r>
          </w:p>
        </w:tc>
        <w:tc>
          <w:tcPr>
            <w:tcW w:type="dxa" w:w="2255"/>
          </w:tcPr>
          <w:p>
            <w:pPr>
              <w:spacing w:after="0"/>
            </w:pPr>
            <w:r>
              <w:rPr>
                <w:rFonts w:ascii="Times New Roman" w:cs="Times New Roman" w:eastAsia="Times New Roman" w:hAnsi="Times New Roman"/>
                <w:color w:val="111827"/>
                <w:sz w:val="20"/>
                <w:szCs w:val="20"/>
              </w:rPr>
              <w:t xml:space="preserve">Annals of Ayurvedic Medicine, 14(2), 139–151, 2025. DOI: 10.5455/AAM.233388</w:t>
            </w:r>
          </w:p>
        </w:tc>
        <w:tc>
          <w:tcPr>
            <w:tcW w:type="dxa" w:w="2255"/>
          </w:tcPr>
          <w:p>
            <w:pPr>
              <w:spacing w:after="0"/>
            </w:pPr>
            <w:r>
              <w:rPr>
                <w:rFonts w:ascii="Times New Roman" w:cs="Times New Roman" w:eastAsia="Times New Roman" w:hAnsi="Times New Roman"/>
                <w:color w:val="111827"/>
                <w:sz w:val="20"/>
                <w:szCs w:val="20"/>
              </w:rPr>
              <w:t xml:space="preserve">Tiwari R., Vyas M., Kumar K., Sharma N.</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12</w:t>
            </w:r>
          </w:p>
        </w:tc>
        <w:tc>
          <w:tcPr>
            <w:tcW w:type="dxa" w:w="2255"/>
            <w:shd w:fill="F9FAFB" w:val="clear"/>
          </w:tcPr>
          <w:p>
            <w:pPr>
              <w:spacing w:after="0"/>
            </w:pPr>
            <w:r>
              <w:rPr>
                <w:rFonts w:ascii="Times New Roman" w:cs="Times New Roman" w:eastAsia="Times New Roman" w:hAnsi="Times New Roman"/>
                <w:color w:val="111827"/>
                <w:sz w:val="20"/>
                <w:szCs w:val="20"/>
              </w:rPr>
              <w:t xml:space="preserve">Loka–Purusha Samya principle</w:t>
            </w:r>
          </w:p>
        </w:tc>
        <w:tc>
          <w:tcPr>
            <w:tcW w:type="dxa" w:w="2255"/>
            <w:shd w:fill="F9FAFB" w:val="clear"/>
          </w:tcPr>
          <w:p>
            <w:pPr>
              <w:spacing w:after="0"/>
            </w:pPr>
            <w:r>
              <w:rPr>
                <w:rFonts w:ascii="Times New Roman" w:cs="Times New Roman" w:eastAsia="Times New Roman" w:hAnsi="Times New Roman"/>
                <w:color w:val="111827"/>
                <w:sz w:val="20"/>
                <w:szCs w:val="20"/>
              </w:rPr>
              <w:t xml:space="preserve">International Journal of Ayurveda Research, 2024. DOI: 10.4103/ijar.ijar_104_23</w:t>
            </w:r>
          </w:p>
        </w:tc>
        <w:tc>
          <w:tcPr>
            <w:tcW w:type="dxa" w:w="2255"/>
            <w:shd w:fill="F9FAFB" w:val="clear"/>
          </w:tcPr>
          <w:p>
            <w:pPr>
              <w:spacing w:after="0"/>
            </w:pPr>
            <w:r>
              <w:rPr>
                <w:rFonts w:ascii="Times New Roman" w:cs="Times New Roman" w:eastAsia="Times New Roman" w:hAnsi="Times New Roman"/>
                <w:color w:val="111827"/>
                <w:sz w:val="20"/>
                <w:szCs w:val="20"/>
              </w:rPr>
              <w:t xml:space="preserve">Aishwarya A. Joglekar, Meera K. Bhojani, Nikhil Mehere, etc.</w:t>
            </w:r>
          </w:p>
        </w:tc>
      </w:tr>
      <w:tr>
        <w:trPr>
          <w:cantSplit w:val="false"/>
        </w:trPr>
        <w:tc>
          <w:tcPr>
            <w:tcW w:type="dxa" w:w="2255"/>
          </w:tcPr>
          <w:p>
            <w:pPr>
              <w:spacing w:after="0"/>
            </w:pPr>
            <w:r>
              <w:rPr>
                <w:rFonts w:ascii="Times New Roman" w:cs="Times New Roman" w:eastAsia="Times New Roman" w:hAnsi="Times New Roman"/>
                <w:color w:val="111827"/>
                <w:sz w:val="20"/>
                <w:szCs w:val="20"/>
              </w:rPr>
              <w:t xml:space="preserve">13</w:t>
            </w:r>
          </w:p>
        </w:tc>
        <w:tc>
          <w:tcPr>
            <w:tcW w:type="dxa" w:w="2255"/>
          </w:tcPr>
          <w:p>
            <w:pPr>
              <w:spacing w:after="0"/>
            </w:pPr>
            <w:r>
              <w:rPr>
                <w:rFonts w:ascii="Times New Roman" w:cs="Times New Roman" w:eastAsia="Times New Roman" w:hAnsi="Times New Roman"/>
                <w:color w:val="111827"/>
                <w:sz w:val="20"/>
                <w:szCs w:val="20"/>
              </w:rPr>
              <w:t xml:space="preserve">Bindu Matra of Shatavari Ghrita</w:t>
            </w:r>
          </w:p>
        </w:tc>
        <w:tc>
          <w:tcPr>
            <w:tcW w:type="dxa" w:w="2255"/>
          </w:tcPr>
          <w:p>
            <w:pPr>
              <w:spacing w:after="0"/>
            </w:pPr>
            <w:r>
              <w:rPr>
                <w:rFonts w:ascii="Times New Roman" w:cs="Times New Roman" w:eastAsia="Times New Roman" w:hAnsi="Times New Roman"/>
                <w:color w:val="111827"/>
                <w:sz w:val="20"/>
                <w:szCs w:val="20"/>
              </w:rPr>
              <w:t xml:space="preserve">International Journal of Ayurveda Research, 5(4), 2024. DOI: 10.4103/ijar.ijar_166_24</w:t>
            </w:r>
          </w:p>
        </w:tc>
        <w:tc>
          <w:tcPr>
            <w:tcW w:type="dxa" w:w="2255"/>
          </w:tcPr>
          <w:p>
            <w:pPr>
              <w:spacing w:after="0"/>
            </w:pPr>
            <w:r>
              <w:rPr>
                <w:rFonts w:ascii="Times New Roman" w:cs="Times New Roman" w:eastAsia="Times New Roman" w:hAnsi="Times New Roman"/>
                <w:color w:val="111827"/>
                <w:sz w:val="20"/>
                <w:szCs w:val="20"/>
              </w:rPr>
              <w:t xml:space="preserve">Aishwarya A. Joglekar, Mahesh Kumar Vyas</w:t>
            </w:r>
          </w:p>
        </w:tc>
      </w:tr>
      <w:tr>
        <w:trPr>
          <w:cantSplit w:val="false"/>
        </w:trPr>
        <w:tc>
          <w:tcPr>
            <w:tcW w:type="dxa" w:w="2255"/>
            <w:shd w:fill="F9FAFB" w:val="clear"/>
          </w:tcPr>
          <w:p>
            <w:pPr>
              <w:spacing w:after="0"/>
            </w:pPr>
            <w:r>
              <w:rPr>
                <w:rFonts w:ascii="Times New Roman" w:cs="Times New Roman" w:eastAsia="Times New Roman" w:hAnsi="Times New Roman"/>
                <w:color w:val="111827"/>
                <w:sz w:val="20"/>
                <w:szCs w:val="20"/>
              </w:rPr>
              <w:t xml:space="preserve">14</w:t>
            </w:r>
          </w:p>
        </w:tc>
        <w:tc>
          <w:tcPr>
            <w:tcW w:type="dxa" w:w="2255"/>
            <w:shd w:fill="F9FAFB" w:val="clear"/>
          </w:tcPr>
          <w:p>
            <w:pPr>
              <w:spacing w:after="0"/>
            </w:pPr>
            <w:r>
              <w:rPr>
                <w:rFonts w:ascii="Times New Roman" w:cs="Times New Roman" w:eastAsia="Times New Roman" w:hAnsi="Times New Roman"/>
                <w:color w:val="111827"/>
                <w:sz w:val="20"/>
                <w:szCs w:val="20"/>
              </w:rPr>
              <w:t xml:space="preserve">Opinion piece on Ayurveda in COVID-19 diabetes care</w:t>
            </w:r>
          </w:p>
        </w:tc>
        <w:tc>
          <w:tcPr>
            <w:tcW w:type="dxa" w:w="2255"/>
            <w:shd w:fill="F9FAFB" w:val="clear"/>
          </w:tcPr>
          <w:p>
            <w:pPr>
              <w:spacing w:after="0"/>
            </w:pPr>
            <w:r>
              <w:rPr>
                <w:rFonts w:ascii="Times New Roman" w:cs="Times New Roman" w:eastAsia="Times New Roman" w:hAnsi="Times New Roman"/>
                <w:color w:val="111827"/>
                <w:sz w:val="20"/>
                <w:szCs w:val="20"/>
              </w:rPr>
              <w:t xml:space="preserve">Advances in Integrative Medicine, 4(1), 2025. DOI: 10.1016/j.aimed.2025.01.004</w:t>
            </w:r>
          </w:p>
        </w:tc>
        <w:tc>
          <w:tcPr>
            <w:tcW w:type="dxa" w:w="2255"/>
            <w:shd w:fill="F9FAFB" w:val="clear"/>
          </w:tcPr>
          <w:p>
            <w:pPr>
              <w:spacing w:after="0"/>
            </w:pPr>
            <w:r>
              <w:rPr>
                <w:rFonts w:ascii="Times New Roman" w:cs="Times New Roman" w:eastAsia="Times New Roman" w:hAnsi="Times New Roman"/>
                <w:color w:val="111827"/>
                <w:sz w:val="20"/>
                <w:szCs w:val="20"/>
              </w:rPr>
              <w:t xml:space="preserve">Aishwarya A. Joglekar, Mahesh Kumar Vyas</w:t>
            </w:r>
          </w:p>
        </w:tc>
      </w:tr>
    </w:tbl>
    <w:p>
      <w:pPr>
        <w:spacing w:after="60"/>
      </w:pPr>
    </w:p>
    <w:p>
      <w:pPr>
        <w:spacing w:after="80" w:line="432"/>
      </w:pPr>
      <w:r>
        <w:rPr>
          <w:rFonts w:ascii="Times New Roman" w:cs="Times New Roman" w:eastAsia="Times New Roman" w:hAnsi="Times New Roman"/>
          <w:b/>
          <w:bCs/>
          <w:color w:val="111827"/>
          <w:sz w:val="22"/>
          <w:szCs w:val="22"/>
        </w:rPr>
        <w:t xml:space="preserve">Special Achievements / Awards / Honors</w:t>
      </w: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Aishwarya Joglekar</w:t>
      </w:r>
      <w:r>
        <w:rPr>
          <w:rFonts w:ascii="Times New Roman" w:cs="Times New Roman" w:eastAsia="Times New Roman" w:hAnsi="Times New Roman"/>
          <w:color w:val="111827"/>
          <w:sz w:val="22"/>
          <w:szCs w:val="22"/>
        </w:rPr>
        <w:t xml:space="preserve"> participated and won </w:t>
      </w:r>
      <w:r>
        <w:rPr>
          <w:rFonts w:ascii="Times New Roman" w:cs="Times New Roman" w:eastAsia="Times New Roman" w:hAnsi="Times New Roman"/>
          <w:b/>
          <w:bCs/>
          <w:color w:val="111827"/>
          <w:sz w:val="22"/>
          <w:szCs w:val="22"/>
        </w:rPr>
        <w:t xml:space="preserve">1st prize</w:t>
      </w:r>
      <w:r>
        <w:rPr>
          <w:rFonts w:ascii="Times New Roman" w:cs="Times New Roman" w:eastAsia="Times New Roman" w:hAnsi="Times New Roman"/>
          <w:color w:val="111827"/>
          <w:sz w:val="22"/>
          <w:szCs w:val="22"/>
        </w:rPr>
        <w:t xml:space="preserve"> in the event </w:t>
      </w:r>
      <w:r>
        <w:rPr>
          <w:rFonts w:ascii="Times New Roman" w:cs="Times New Roman" w:eastAsia="Times New Roman" w:hAnsi="Times New Roman"/>
          <w:i/>
          <w:iCs/>
          <w:color w:val="111827"/>
          <w:sz w:val="22"/>
          <w:szCs w:val="22"/>
        </w:rPr>
        <w:t xml:space="preserve">Panak Pratiyogita</w:t>
      </w:r>
      <w:r>
        <w:rPr>
          <w:rFonts w:ascii="Times New Roman" w:cs="Times New Roman" w:eastAsia="Times New Roman" w:hAnsi="Times New Roman"/>
          <w:color w:val="111827"/>
          <w:sz w:val="22"/>
          <w:szCs w:val="22"/>
        </w:rPr>
        <w:t xml:space="preserve">, organized by All India Institute of Ayurveda, New Delhi, held on </w:t>
      </w:r>
      <w:r>
        <w:rPr>
          <w:rFonts w:ascii="Times New Roman" w:cs="Times New Roman" w:eastAsia="Times New Roman" w:hAnsi="Times New Roman"/>
          <w:b/>
          <w:bCs/>
          <w:color w:val="111827"/>
          <w:sz w:val="22"/>
          <w:szCs w:val="22"/>
        </w:rPr>
        <w:t xml:space="preserve">18 March 2023</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Aishwarya Joglekar</w:t>
      </w:r>
      <w:r>
        <w:rPr>
          <w:rFonts w:ascii="Times New Roman" w:cs="Times New Roman" w:eastAsia="Times New Roman" w:hAnsi="Times New Roman"/>
          <w:color w:val="111827"/>
          <w:sz w:val="22"/>
          <w:szCs w:val="22"/>
        </w:rPr>
        <w:t xml:space="preserve"> won a prize in the </w:t>
      </w:r>
      <w:r>
        <w:rPr>
          <w:rFonts w:ascii="Times New Roman" w:cs="Times New Roman" w:eastAsia="Times New Roman" w:hAnsi="Times New Roman"/>
          <w:i/>
          <w:iCs/>
          <w:color w:val="111827"/>
          <w:sz w:val="22"/>
          <w:szCs w:val="22"/>
        </w:rPr>
        <w:t xml:space="preserve">Best Thesis Competition</w:t>
      </w:r>
      <w:r>
        <w:rPr>
          <w:rFonts w:ascii="Times New Roman" w:cs="Times New Roman" w:eastAsia="Times New Roman" w:hAnsi="Times New Roman"/>
          <w:color w:val="111827"/>
          <w:sz w:val="22"/>
          <w:szCs w:val="22"/>
        </w:rPr>
        <w:t xml:space="preserve"> organized by </w:t>
      </w:r>
      <w:r>
        <w:rPr>
          <w:rFonts w:ascii="Times New Roman" w:cs="Times New Roman" w:eastAsia="Times New Roman" w:hAnsi="Times New Roman"/>
          <w:b/>
          <w:bCs/>
          <w:color w:val="111827"/>
          <w:sz w:val="22"/>
          <w:szCs w:val="22"/>
        </w:rPr>
        <w:t xml:space="preserve">AIMIL Pharmaceuticals</w:t>
      </w:r>
      <w:r>
        <w:rPr>
          <w:rFonts w:ascii="Times New Roman" w:cs="Times New Roman" w:eastAsia="Times New Roman" w:hAnsi="Times New Roman"/>
          <w:color w:val="111827"/>
          <w:sz w:val="22"/>
          <w:szCs w:val="22"/>
        </w:rPr>
        <w:t xml:space="preserve"> in </w:t>
      </w:r>
      <w:r>
        <w:rPr>
          <w:rFonts w:ascii="Times New Roman" w:cs="Times New Roman" w:eastAsia="Times New Roman" w:hAnsi="Times New Roman"/>
          <w:b/>
          <w:bCs/>
          <w:color w:val="111827"/>
          <w:sz w:val="22"/>
          <w:szCs w:val="22"/>
        </w:rPr>
        <w:t xml:space="preserve">October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Aishwarya Joglekar (PhD Ayu, II year)</w:t>
      </w:r>
      <w:r>
        <w:rPr>
          <w:rFonts w:ascii="Times New Roman" w:cs="Times New Roman" w:eastAsia="Times New Roman" w:hAnsi="Times New Roman"/>
          <w:color w:val="111827"/>
          <w:sz w:val="22"/>
          <w:szCs w:val="22"/>
        </w:rPr>
        <w:t xml:space="preserve"> secured </w:t>
      </w:r>
      <w:r>
        <w:rPr>
          <w:rFonts w:ascii="Times New Roman" w:cs="Times New Roman" w:eastAsia="Times New Roman" w:hAnsi="Times New Roman"/>
          <w:b/>
          <w:bCs/>
          <w:color w:val="111827"/>
          <w:sz w:val="22"/>
          <w:szCs w:val="22"/>
        </w:rPr>
        <w:t xml:space="preserve">First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“SMRITI – Memory Assessment and Awareness Programme”</w:t>
      </w:r>
      <w:r>
        <w:rPr>
          <w:rFonts w:ascii="Times New Roman" w:cs="Times New Roman" w:eastAsia="Times New Roman" w:hAnsi="Times New Roman"/>
          <w:color w:val="111827"/>
          <w:sz w:val="22"/>
          <w:szCs w:val="22"/>
        </w:rPr>
        <w:t xml:space="preserve">, organized by the Department of Kriya Sharira, AIIA, on </w:t>
      </w:r>
      <w:r>
        <w:rPr>
          <w:rFonts w:ascii="Times New Roman" w:cs="Times New Roman" w:eastAsia="Times New Roman" w:hAnsi="Times New Roman"/>
          <w:b/>
          <w:bCs/>
          <w:color w:val="111827"/>
          <w:sz w:val="22"/>
          <w:szCs w:val="22"/>
        </w:rPr>
        <w:t xml:space="preserve">22 November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Anita Chaudhary (PhD Ayu, III year)</w:t>
      </w:r>
      <w:r>
        <w:rPr>
          <w:rFonts w:ascii="Times New Roman" w:cs="Times New Roman" w:eastAsia="Times New Roman" w:hAnsi="Times New Roman"/>
          <w:color w:val="111827"/>
          <w:sz w:val="22"/>
          <w:szCs w:val="22"/>
        </w:rPr>
        <w:t xml:space="preserve"> won the </w:t>
      </w:r>
      <w:r>
        <w:rPr>
          <w:rFonts w:ascii="Times New Roman" w:cs="Times New Roman" w:eastAsia="Times New Roman" w:hAnsi="Times New Roman"/>
          <w:b/>
          <w:bCs/>
          <w:color w:val="111827"/>
          <w:sz w:val="22"/>
          <w:szCs w:val="22"/>
        </w:rPr>
        <w:t xml:space="preserve">Consolation Prize</w:t>
      </w:r>
      <w:r>
        <w:rPr>
          <w:rFonts w:ascii="Times New Roman" w:cs="Times New Roman" w:eastAsia="Times New Roman" w:hAnsi="Times New Roman"/>
          <w:color w:val="111827"/>
          <w:sz w:val="22"/>
          <w:szCs w:val="22"/>
        </w:rPr>
        <w:t xml:space="preserve"> in the </w:t>
      </w:r>
      <w:r>
        <w:rPr>
          <w:rFonts w:ascii="Times New Roman" w:cs="Times New Roman" w:eastAsia="Times New Roman" w:hAnsi="Times New Roman"/>
          <w:i/>
          <w:iCs/>
          <w:color w:val="111827"/>
          <w:sz w:val="22"/>
          <w:szCs w:val="22"/>
        </w:rPr>
        <w:t xml:space="preserve">National E-Slogan Competition – IDY 2024</w:t>
      </w:r>
      <w:r>
        <w:rPr>
          <w:rFonts w:ascii="Times New Roman" w:cs="Times New Roman" w:eastAsia="Times New Roman" w:hAnsi="Times New Roman"/>
          <w:color w:val="111827"/>
          <w:sz w:val="22"/>
          <w:szCs w:val="22"/>
        </w:rPr>
        <w:t xml:space="preserve"> on </w:t>
      </w:r>
      <w:r>
        <w:rPr>
          <w:rFonts w:ascii="Times New Roman" w:cs="Times New Roman" w:eastAsia="Times New Roman" w:hAnsi="Times New Roman"/>
          <w:b/>
          <w:bCs/>
          <w:color w:val="111827"/>
          <w:sz w:val="22"/>
          <w:szCs w:val="22"/>
        </w:rPr>
        <w:t xml:space="preserve">15 September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Avishek Mishra (MD Ayu, II year)</w:t>
      </w:r>
      <w:r>
        <w:rPr>
          <w:rFonts w:ascii="Times New Roman" w:cs="Times New Roman" w:eastAsia="Times New Roman" w:hAnsi="Times New Roman"/>
          <w:color w:val="111827"/>
          <w:sz w:val="22"/>
          <w:szCs w:val="22"/>
        </w:rPr>
        <w:t xml:space="preserve"> won </w:t>
      </w:r>
      <w:r>
        <w:rPr>
          <w:rFonts w:ascii="Times New Roman" w:cs="Times New Roman" w:eastAsia="Times New Roman" w:hAnsi="Times New Roman"/>
          <w:b/>
          <w:bCs/>
          <w:color w:val="111827"/>
          <w:sz w:val="22"/>
          <w:szCs w:val="22"/>
        </w:rPr>
        <w:t xml:space="preserve">Third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“SMRITI – Memory Assessment and Awareness Programme”</w:t>
      </w:r>
      <w:r>
        <w:rPr>
          <w:rFonts w:ascii="Times New Roman" w:cs="Times New Roman" w:eastAsia="Times New Roman" w:hAnsi="Times New Roman"/>
          <w:color w:val="111827"/>
          <w:sz w:val="22"/>
          <w:szCs w:val="22"/>
        </w:rPr>
        <w:t xml:space="preserve">, organized by the Department of Kriya Sharira, AIIA, on </w:t>
      </w:r>
      <w:r>
        <w:rPr>
          <w:rFonts w:ascii="Times New Roman" w:cs="Times New Roman" w:eastAsia="Times New Roman" w:hAnsi="Times New Roman"/>
          <w:b/>
          <w:bCs/>
          <w:color w:val="111827"/>
          <w:sz w:val="22"/>
          <w:szCs w:val="22"/>
        </w:rPr>
        <w:t xml:space="preserve">22 November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Komal Sharma (MD Ayu, II year)</w:t>
      </w:r>
      <w:r>
        <w:rPr>
          <w:rFonts w:ascii="Times New Roman" w:cs="Times New Roman" w:eastAsia="Times New Roman" w:hAnsi="Times New Roman"/>
          <w:color w:val="111827"/>
          <w:sz w:val="22"/>
          <w:szCs w:val="22"/>
        </w:rPr>
        <w:t xml:space="preserve"> won </w:t>
      </w:r>
      <w:r>
        <w:rPr>
          <w:rFonts w:ascii="Times New Roman" w:cs="Times New Roman" w:eastAsia="Times New Roman" w:hAnsi="Times New Roman"/>
          <w:b/>
          <w:bCs/>
          <w:color w:val="111827"/>
          <w:sz w:val="22"/>
          <w:szCs w:val="22"/>
        </w:rPr>
        <w:t xml:space="preserve">Third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“Yoga Competition Programme”</w:t>
      </w:r>
      <w:r>
        <w:rPr>
          <w:rFonts w:ascii="Times New Roman" w:cs="Times New Roman" w:eastAsia="Times New Roman" w:hAnsi="Times New Roman"/>
          <w:color w:val="111827"/>
          <w:sz w:val="22"/>
          <w:szCs w:val="22"/>
        </w:rPr>
        <w:t xml:space="preserve">, organized by the Department of Swasthavritta and Yoga, AIIA, on </w:t>
      </w:r>
      <w:r>
        <w:rPr>
          <w:rFonts w:ascii="Times New Roman" w:cs="Times New Roman" w:eastAsia="Times New Roman" w:hAnsi="Times New Roman"/>
          <w:b/>
          <w:bCs/>
          <w:color w:val="111827"/>
          <w:sz w:val="22"/>
          <w:szCs w:val="22"/>
        </w:rPr>
        <w:t xml:space="preserve">10 June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Pallavi Wankhede (MD Ayu, II year)</w:t>
      </w:r>
      <w:r>
        <w:rPr>
          <w:rFonts w:ascii="Times New Roman" w:cs="Times New Roman" w:eastAsia="Times New Roman" w:hAnsi="Times New Roman"/>
          <w:color w:val="111827"/>
          <w:sz w:val="22"/>
          <w:szCs w:val="22"/>
        </w:rPr>
        <w:t xml:space="preserve"> won </w:t>
      </w:r>
      <w:r>
        <w:rPr>
          <w:rFonts w:ascii="Times New Roman" w:cs="Times New Roman" w:eastAsia="Times New Roman" w:hAnsi="Times New Roman"/>
          <w:b/>
          <w:bCs/>
          <w:color w:val="111827"/>
          <w:sz w:val="22"/>
          <w:szCs w:val="22"/>
        </w:rPr>
        <w:t xml:space="preserve">Third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“Yoga Competition Programme”</w:t>
      </w:r>
      <w:r>
        <w:rPr>
          <w:rFonts w:ascii="Times New Roman" w:cs="Times New Roman" w:eastAsia="Times New Roman" w:hAnsi="Times New Roman"/>
          <w:color w:val="111827"/>
          <w:sz w:val="22"/>
          <w:szCs w:val="22"/>
        </w:rPr>
        <w:t xml:space="preserve">, organized by the Department of Swasthavritta and Yoga, AIIA, on </w:t>
      </w:r>
      <w:r>
        <w:rPr>
          <w:rFonts w:ascii="Times New Roman" w:cs="Times New Roman" w:eastAsia="Times New Roman" w:hAnsi="Times New Roman"/>
          <w:b/>
          <w:bCs/>
          <w:color w:val="111827"/>
          <w:sz w:val="22"/>
          <w:szCs w:val="22"/>
        </w:rPr>
        <w:t xml:space="preserve">10 June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Vinaya Kamble (MD Ayu, I year)</w:t>
      </w:r>
      <w:r>
        <w:rPr>
          <w:rFonts w:ascii="Times New Roman" w:cs="Times New Roman" w:eastAsia="Times New Roman" w:hAnsi="Times New Roman"/>
          <w:color w:val="111827"/>
          <w:sz w:val="22"/>
          <w:szCs w:val="22"/>
        </w:rPr>
        <w:t xml:space="preserve"> won </w:t>
      </w:r>
      <w:r>
        <w:rPr>
          <w:rFonts w:ascii="Times New Roman" w:cs="Times New Roman" w:eastAsia="Times New Roman" w:hAnsi="Times New Roman"/>
          <w:b/>
          <w:bCs/>
          <w:color w:val="111827"/>
          <w:sz w:val="22"/>
          <w:szCs w:val="22"/>
        </w:rPr>
        <w:t xml:space="preserve">Second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“Yoga Competition Programme”</w:t>
      </w:r>
      <w:r>
        <w:rPr>
          <w:rFonts w:ascii="Times New Roman" w:cs="Times New Roman" w:eastAsia="Times New Roman" w:hAnsi="Times New Roman"/>
          <w:color w:val="111827"/>
          <w:sz w:val="22"/>
          <w:szCs w:val="22"/>
        </w:rPr>
        <w:t xml:space="preserve">, organized by the Department of Swasthavritta and Yoga, AIIA, on </w:t>
      </w:r>
      <w:r>
        <w:rPr>
          <w:rFonts w:ascii="Times New Roman" w:cs="Times New Roman" w:eastAsia="Times New Roman" w:hAnsi="Times New Roman"/>
          <w:b/>
          <w:bCs/>
          <w:color w:val="111827"/>
          <w:sz w:val="22"/>
          <w:szCs w:val="22"/>
        </w:rPr>
        <w:t xml:space="preserve">10 June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Parul Gupta (MD Ayu, III year)</w:t>
      </w:r>
      <w:r>
        <w:rPr>
          <w:rFonts w:ascii="Times New Roman" w:cs="Times New Roman" w:eastAsia="Times New Roman" w:hAnsi="Times New Roman"/>
          <w:color w:val="111827"/>
          <w:sz w:val="22"/>
          <w:szCs w:val="22"/>
        </w:rPr>
        <w:t xml:space="preserve"> secured </w:t>
      </w:r>
      <w:r>
        <w:rPr>
          <w:rFonts w:ascii="Times New Roman" w:cs="Times New Roman" w:eastAsia="Times New Roman" w:hAnsi="Times New Roman"/>
          <w:b/>
          <w:bCs/>
          <w:color w:val="111827"/>
          <w:sz w:val="22"/>
          <w:szCs w:val="22"/>
        </w:rPr>
        <w:t xml:space="preserve">First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“SMRITI – Memory Assessment and Awareness Programme”</w:t>
      </w:r>
      <w:r>
        <w:rPr>
          <w:rFonts w:ascii="Times New Roman" w:cs="Times New Roman" w:eastAsia="Times New Roman" w:hAnsi="Times New Roman"/>
          <w:color w:val="111827"/>
          <w:sz w:val="22"/>
          <w:szCs w:val="22"/>
        </w:rPr>
        <w:t xml:space="preserve">, organized by the Department of Kriya Sharira, AIIA, on </w:t>
      </w:r>
      <w:r>
        <w:rPr>
          <w:rFonts w:ascii="Times New Roman" w:cs="Times New Roman" w:eastAsia="Times New Roman" w:hAnsi="Times New Roman"/>
          <w:b/>
          <w:bCs/>
          <w:color w:val="111827"/>
          <w:sz w:val="22"/>
          <w:szCs w:val="22"/>
        </w:rPr>
        <w:t xml:space="preserve">22 November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Pallavi Wankhede (MD Ayu, II year)</w:t>
      </w:r>
      <w:r>
        <w:rPr>
          <w:rFonts w:ascii="Times New Roman" w:cs="Times New Roman" w:eastAsia="Times New Roman" w:hAnsi="Times New Roman"/>
          <w:color w:val="111827"/>
          <w:sz w:val="22"/>
          <w:szCs w:val="22"/>
        </w:rPr>
        <w:t xml:space="preserve"> secured </w:t>
      </w:r>
      <w:r>
        <w:rPr>
          <w:rFonts w:ascii="Times New Roman" w:cs="Times New Roman" w:eastAsia="Times New Roman" w:hAnsi="Times New Roman"/>
          <w:b/>
          <w:bCs/>
          <w:color w:val="111827"/>
          <w:sz w:val="22"/>
          <w:szCs w:val="22"/>
        </w:rPr>
        <w:t xml:space="preserve">Second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“SMRITI – Memory Assessment and Awareness Programme”</w:t>
      </w:r>
      <w:r>
        <w:rPr>
          <w:rFonts w:ascii="Times New Roman" w:cs="Times New Roman" w:eastAsia="Times New Roman" w:hAnsi="Times New Roman"/>
          <w:color w:val="111827"/>
          <w:sz w:val="22"/>
          <w:szCs w:val="22"/>
        </w:rPr>
        <w:t xml:space="preserve">, organized by the Department of Kriya Sharira, AIIA, on </w:t>
      </w:r>
      <w:r>
        <w:rPr>
          <w:rFonts w:ascii="Times New Roman" w:cs="Times New Roman" w:eastAsia="Times New Roman" w:hAnsi="Times New Roman"/>
          <w:b/>
          <w:bCs/>
          <w:color w:val="111827"/>
          <w:sz w:val="22"/>
          <w:szCs w:val="22"/>
        </w:rPr>
        <w:t xml:space="preserve">22 November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Dr. Vinaya Kamble (MD Ayu, I year)</w:t>
      </w:r>
      <w:r>
        <w:rPr>
          <w:rFonts w:ascii="Times New Roman" w:cs="Times New Roman" w:eastAsia="Times New Roman" w:hAnsi="Times New Roman"/>
          <w:color w:val="111827"/>
          <w:sz w:val="22"/>
          <w:szCs w:val="22"/>
        </w:rPr>
        <w:t xml:space="preserve"> secured </w:t>
      </w:r>
      <w:r>
        <w:rPr>
          <w:rFonts w:ascii="Times New Roman" w:cs="Times New Roman" w:eastAsia="Times New Roman" w:hAnsi="Times New Roman"/>
          <w:b/>
          <w:bCs/>
          <w:color w:val="111827"/>
          <w:sz w:val="22"/>
          <w:szCs w:val="22"/>
        </w:rPr>
        <w:t xml:space="preserve">Second Prize</w:t>
      </w:r>
      <w:r>
        <w:rPr>
          <w:rFonts w:ascii="Times New Roman" w:cs="Times New Roman" w:eastAsia="Times New Roman" w:hAnsi="Times New Roman"/>
          <w:color w:val="111827"/>
          <w:sz w:val="22"/>
          <w:szCs w:val="22"/>
        </w:rPr>
        <w:t xml:space="preserve"> in Quiz Competition during </w:t>
      </w:r>
      <w:r>
        <w:rPr>
          <w:rFonts w:ascii="Times New Roman" w:cs="Times New Roman" w:eastAsia="Times New Roman" w:hAnsi="Times New Roman"/>
          <w:i/>
          <w:iCs/>
          <w:color w:val="111827"/>
          <w:sz w:val="22"/>
          <w:szCs w:val="22"/>
        </w:rPr>
        <w:t xml:space="preserve">“SMRITI – Memory Assessment and Awareness Programme”</w:t>
      </w:r>
      <w:r>
        <w:rPr>
          <w:rFonts w:ascii="Times New Roman" w:cs="Times New Roman" w:eastAsia="Times New Roman" w:hAnsi="Times New Roman"/>
          <w:color w:val="111827"/>
          <w:sz w:val="22"/>
          <w:szCs w:val="22"/>
        </w:rPr>
        <w:t xml:space="preserve">, organized by the Department of Kriya Sharira, AIIA, on </w:t>
      </w:r>
      <w:r>
        <w:rPr>
          <w:rFonts w:ascii="Times New Roman" w:cs="Times New Roman" w:eastAsia="Times New Roman" w:hAnsi="Times New Roman"/>
          <w:b/>
          <w:bCs/>
          <w:color w:val="111827"/>
          <w:sz w:val="22"/>
          <w:szCs w:val="22"/>
        </w:rPr>
        <w:t xml:space="preserve">22 November 2024</w:t>
      </w:r>
      <w:r>
        <w:rPr>
          <w:rFonts w:ascii="Times New Roman" w:cs="Times New Roman" w:eastAsia="Times New Roman" w:hAnsi="Times New Roman"/>
          <w:color w:val="111827"/>
          <w:sz w:val="22"/>
          <w:szCs w:val="22"/>
        </w:rPr>
        <w:t xml:space="preserve">.</w:t>
      </w:r>
    </w:p>
    <w:p>
      <w:pPr>
        <w:spacing w:after="80" w:line="432"/>
      </w:pPr>
      <w:r>
        <w:rPr>
          <w:rFonts w:ascii="Times New Roman" w:cs="Times New Roman" w:eastAsia="Times New Roman" w:hAnsi="Times New Roman"/>
        </w:rPr>
        <w:t xml:space="preserve">
</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Times New Roman" w:cs="Times New Roman" w:eastAsia="Times New Roman" w:hAnsi="Times New Roman"/>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2028-2029</w:t>
    </w:r>
    <w:r>
      <w:rPr>
        <w:sz w:val="15"/>
        <w:szCs w:val="15"/>
      </w:rPr>
      <w:t xml:space="preserve">	</w:t>
    </w:r>
    <w:r>
      <w:rPr>
        <w:rFonts w:ascii="Times New Roman" w:cs="Times New Roman" w:eastAsia="Times New Roman" w:hAnsi="Times New Roman"/>
        <w:color w:val="9CA3AF"/>
        <w:sz w:val="15"/>
        <w:szCs w:val="15"/>
      </w:rPr>
      <w:t xml:space="preserve">AIIA annual report 2028-2029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c6c68e0eb917e4cc1ff8f81e613e4a5580842e.undefined"/><Relationship Id="rId10" Type="http://schemas.openxmlformats.org/officeDocument/2006/relationships/image" Target="media/1b050c1d5f649195411deae388337c12f0965664.undefined"/><Relationship Id="rId11" Type="http://schemas.openxmlformats.org/officeDocument/2006/relationships/image" Target="media/d21ddd5954835879dfe44b050be21525e70cc45d.undefined"/><Relationship Id="rId12" Type="http://schemas.openxmlformats.org/officeDocument/2006/relationships/image" Target="media/ce1a2d363a2af3f1e7ba2988bf2c4a55f56bc673.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2028-2029</dc:title>
  <dc:creator>AIIA</dc:creator>
  <cp:lastModifiedBy>Un-named</cp:lastModifiedBy>
  <cp:revision>1</cp:revision>
  <dcterms:created xsi:type="dcterms:W3CDTF">2026-06-24T21:32:26.909Z</dcterms:created>
  <dcterms:modified xsi:type="dcterms:W3CDTF">2026-06-24T21:32:26.909Z</dcterms:modified>
</cp:coreProperties>
</file>

<file path=docProps/custom.xml><?xml version="1.0" encoding="utf-8"?>
<Properties xmlns="http://schemas.openxmlformats.org/officeDocument/2006/custom-properties" xmlns:vt="http://schemas.openxmlformats.org/officeDocument/2006/docPropsVTypes"/>
</file>