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Camera locations, recording years</w:t>
        <w:br/>
        <w:t>and video hours</w:t>
      </w:r>
    </w:p>
    <w:p>
      <w:pPr>
        <w:pStyle w:val="Subtitle"/>
      </w:pPr>
      <w:r>
        <w:t>Inventory reference • October 28, 2026</w:t>
      </w:r>
    </w:p>
    <w:p>
      <w:r>
        <w:t>This document combines the video-duration README and its two linked inventories: the Bike Lane Study / Mighk speed-reference collection, followed by the complete MioVision ZIP inventory.</w:t>
      </w:r>
    </w:p>
    <w:p>
      <w:r>
        <w:t>Status: full-archive location, year and file-count scan received. Whole-archive playback hours are still pending; measured study-subset hours are retained. A pending hour value is not zero.</w:t>
      </w:r>
    </w:p>
    <w:p>
      <w:pPr>
        <w:pStyle w:val="Heading1"/>
        <w:pageBreakBefore w:val="0"/>
      </w:pPr>
      <w:r>
        <w:rPr>
          <w:b w:val="0"/>
        </w:rPr>
        <w:t>Bike Lane Study count cameras and Mighk’s speed-reference locations</w:t>
      </w:r>
    </w:p>
    <w:p>
      <w:r>
        <w:rPr>
          <w:b w:val="0"/>
        </w:rPr>
        <w:t>This README covers the study/count-workbook collection and the separate human speed-reference dataset. It does not describe all locations in the MioVision ZIP. Entire archive inventory.</w:t>
      </w:r>
    </w:p>
    <w:p>
      <w:pPr>
        <w:pStyle w:val="Heading2"/>
      </w:pPr>
      <w:r>
        <w:rPr>
          <w:b w:val="0"/>
        </w:rPr>
        <w:t>Cameras represented in the study/count-workbook folder</w:t>
      </w:r>
    </w:p>
    <w:p>
      <w:r>
        <w:rPr>
          <w:b w:val="0"/>
        </w:rPr>
        <w:t>41 camera/session labels are represented in the workbook audit. Playback hours below are the measured video lengths for the mapped camera collection, not hours inside the spreadsheets. Labels are dataset names, not verified addresses. A workbook can be speed-focused (for example Baxter); its presence does not imply a nonzero bicycle-count sample.</w:t>
      </w:r>
    </w:p>
    <w:tbl>
      <w:tblPr>
        <w:tblW w:type="dxa" w:w="9360"/>
        <w:jc w:val="left"/>
        <w:tblLayout w:type="fixed"/>
        <w:tblLook w:firstColumn="1" w:firstRow="1" w:lastColumn="0" w:lastRow="0" w:noHBand="0" w:noVBand="1" w:val="04A0"/>
        <w:tblInd w:type="dxa" w:w="120"/>
        <w:tblBorders>
          <w:top w:val="single" w:sz="4" w:color="CBD4DE"/>
          <w:left w:val="single" w:sz="4" w:color="CBD4DE"/>
          <w:bottom w:val="single" w:sz="4" w:color="CBD4DE"/>
          <w:right w:val="single" w:sz="4" w:color="CBD4DE"/>
          <w:insideH w:val="single" w:sz="4" w:color="CBD4DE"/>
          <w:insideV w:val="single" w:sz="4" w:color="CBD4DE"/>
        </w:tblBorders>
      </w:tblPr>
      <w:tblGrid>
        <w:gridCol w:w="3000"/>
        <w:gridCol w:w="1700"/>
        <w:gridCol w:w="1150"/>
        <w:gridCol w:w="1350"/>
        <w:gridCol w:w="2160"/>
      </w:tblGrid>
      <w:tr>
        <w:trPr>
          <w:cantSplit/>
          <w:tblHeader/>
        </w:trPr>
        <w:tc>
          <w:tcPr>
            <w:tcW w:type="dxa" w:w="30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Camera / study label</w:t>
            </w:r>
          </w:p>
        </w:tc>
        <w:tc>
          <w:tcPr>
            <w:tcW w:type="dxa" w:w="17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Recording years</w:t>
            </w:r>
          </w:p>
        </w:tc>
        <w:tc>
          <w:tcPr>
            <w:tcW w:type="dxa" w:w="115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Number of years</w:t>
            </w:r>
          </w:p>
        </w:tc>
        <w:tc>
          <w:tcPr>
            <w:tcW w:type="dxa" w:w="135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Video files</w:t>
            </w:r>
          </w:p>
        </w:tc>
        <w:tc>
          <w:tcPr>
            <w:tcW w:type="dxa" w:w="216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Measured playback hours</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BL 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25</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24.66</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Pleasant Hill Path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31</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30.01</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West Orange Path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37</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36.12</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Alafaya East</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Alafaya West</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Path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Sidewalk</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Baxter</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Carroll NBL</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Clay Ave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Colonial North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Colonial South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Curry Ford North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Daniels Path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Daniels Sidewalk</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Edgewater</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Edgewater N</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Glenridge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Kaley</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Lakemont Pathway</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Lee Road N</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Lee Road South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Livingston</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 Orange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Par Street</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BL</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NBL</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Hils NBL 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 Path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 Sidewalk</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 Orange NB</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 Orange SB</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Summerlin</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North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SW Speed</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South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West Orange Sidewalk</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Winter Park Rd Speed</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Winter Park Road</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Columbia Ave</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30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Curry Ford South</w:t>
            </w:r>
          </w:p>
        </w:tc>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2019</w:t>
            </w:r>
          </w:p>
        </w:tc>
        <w:tc>
          <w:tcPr>
            <w:tcW w:type="dxa" w:w="11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13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21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bl>
    <w:p>
      <w:pPr>
        <w:spacing w:after="40"/>
      </w:pPr>
    </w:p>
    <w:p>
      <w:r>
        <w:rPr>
          <w:b w:val="0"/>
        </w:rPr>
        <w:t>These 1,919 files belong to the 2019 Bike Lane Study video subset. A summed playback duration does not guarantee uninterrupted wall-clock coverage, especially if footage is occurrence-only. Camera sides are not pooled.</w:t>
      </w:r>
    </w:p>
    <w:p>
      <w:pPr>
        <w:pStyle w:val="Heading2"/>
      </w:pPr>
      <w:r>
        <w:rPr>
          <w:b w:val="0"/>
        </w:rPr>
        <w:t>Locations in Mighk Wilson’s consolidated bicycle-speed workbook</w:t>
      </w:r>
    </w:p>
    <w:p>
      <w:r>
        <w:rPr>
          <w:b w:val="0"/>
        </w:rPr>
        <w:t xml:space="preserve">These are </w:t>
      </w:r>
      <w:r>
        <w:rPr>
          <w:b/>
        </w:rPr>
        <w:t>human stopwatch measurements from half-speed video</w:t>
      </w:r>
      <w:r>
        <w:rPr>
          <w:b w:val="0"/>
        </w:rPr>
        <w:t>, corrected in the workbook. They are not confirmed Miovision-generated speeds. The 375 speed records across 14 reference locations have no linked person/video timestamps. Camera aliases below are candidate mappings; the speed records may come from separate sessions. The associated video years/hours are not verified recording provenance for each speed record.</w:t>
      </w:r>
    </w:p>
    <w:tbl>
      <w:tblPr>
        <w:tblW w:type="dxa" w:w="9360"/>
        <w:jc w:val="left"/>
        <w:tblLayout w:type="fixed"/>
        <w:tblLook w:firstColumn="1" w:firstRow="1" w:lastColumn="0" w:lastRow="0" w:noHBand="0" w:noVBand="1" w:val="04A0"/>
        <w:tblInd w:type="dxa" w:w="120"/>
        <w:tblBorders>
          <w:top w:val="single" w:sz="4" w:color="CBD4DE"/>
          <w:left w:val="single" w:sz="4" w:color="CBD4DE"/>
          <w:bottom w:val="single" w:sz="4" w:color="CBD4DE"/>
          <w:right w:val="single" w:sz="4" w:color="CBD4DE"/>
          <w:insideH w:val="single" w:sz="4" w:color="CBD4DE"/>
          <w:insideV w:val="single" w:sz="4" w:color="CBD4DE"/>
        </w:tblBorders>
      </w:tblPr>
      <w:tblGrid>
        <w:gridCol w:w="1700"/>
        <w:gridCol w:w="800"/>
        <w:gridCol w:w="850"/>
        <w:gridCol w:w="2100"/>
        <w:gridCol w:w="1100"/>
        <w:gridCol w:w="1000"/>
        <w:gridCol w:w="1810"/>
      </w:tblGrid>
      <w:tr>
        <w:trPr>
          <w:cantSplit/>
          <w:tblHeader/>
        </w:trPr>
        <w:tc>
          <w:tcPr>
            <w:tcW w:type="dxa" w:w="17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Speed-reference location</w:t>
            </w:r>
          </w:p>
        </w:tc>
        <w:tc>
          <w:tcPr>
            <w:tcW w:type="dxa" w:w="8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Speed observations</w:t>
            </w:r>
          </w:p>
        </w:tc>
        <w:tc>
          <w:tcPr>
            <w:tcW w:type="dxa" w:w="85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Study mean mph</w:t>
            </w:r>
          </w:p>
        </w:tc>
        <w:tc>
          <w:tcPr>
            <w:tcW w:type="dxa" w:w="21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Associated camera</w:t>
            </w:r>
          </w:p>
        </w:tc>
        <w:tc>
          <w:tcPr>
            <w:tcW w:type="dxa" w:w="11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Available video years</w:t>
            </w:r>
          </w:p>
        </w:tc>
        <w:tc>
          <w:tcPr>
            <w:tcW w:type="dxa" w:w="10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Video files</w:t>
            </w:r>
          </w:p>
        </w:tc>
        <w:tc>
          <w:tcPr>
            <w:tcW w:type="dxa" w:w="181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Available playback hours</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26</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13.58</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Aloma Path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Baxter</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14</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16.77</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Baxter</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Carroll</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15</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11.89</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Carroll NBL</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Colonial</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23</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9.54</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Colonial North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Columbia</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9</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12.24</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Columbia Ave</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Daniels</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11</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11.95</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Daniels Path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Edgewater</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50</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12.02</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Edgewater N</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Lee</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8.73</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Lee Road N</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Pleasant Hill</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41</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9.86</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Pleasant Hill Path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31</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30.01</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Rinehart/CST</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25</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12.92</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Rinehart Path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Silver Star</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43</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13.63</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No mapped source</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Unknown</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Unknown</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Unknown</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78</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9.49</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University SW Speed</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47.99</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West Orange/Park</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25</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10.77</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West Orange Path</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37</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36.12</w:t>
            </w:r>
          </w:p>
        </w:tc>
      </w:tr>
      <w:tr>
        <w:trPr>
          <w:cantSplit/>
        </w:trPr>
        <w:tc>
          <w:tcPr>
            <w:tcW w:type="dxa" w:w="17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Winter Park</w:t>
            </w:r>
          </w:p>
        </w:tc>
        <w:tc>
          <w:tcPr>
            <w:tcW w:type="dxa" w:w="8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13</w:t>
            </w:r>
          </w:p>
        </w:tc>
        <w:tc>
          <w:tcPr>
            <w:tcW w:type="dxa" w:w="85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16.08</w:t>
            </w:r>
          </w:p>
        </w:tc>
        <w:tc>
          <w:tcPr>
            <w:tcW w:type="dxa" w:w="2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Winter Park Rd Speed</w:t>
            </w:r>
          </w:p>
        </w:tc>
        <w:tc>
          <w:tcPr>
            <w:tcW w:type="dxa" w:w="11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10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81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47.98</w:t>
            </w:r>
          </w:p>
        </w:tc>
      </w:tr>
    </w:tbl>
    <w:p>
      <w:pPr>
        <w:spacing w:after="40"/>
      </w:pPr>
    </w:p>
    <w:p>
      <w:r>
        <w:rPr>
          <w:b w:val="0"/>
        </w:rPr>
      </w:r>
      <w:r>
        <w:rPr>
          <w:b/>
        </w:rPr>
        <w:t>Counts and speed samples differ.</w:t>
      </w:r>
      <w:r>
        <w:rPr>
          <w:b w:val="0"/>
        </w:rPr>
        <w:t xml:space="preserve"> For example, Aloma Path has 191 study bicycles across the full two-day count period, four in the selected 45 minutes, and 26 separate speed observations. The 26 are not a count of all bicycles in its47.99hours of footage. Silver Star has reference speeds but no matched2019source in the present mapping; a same-named site in another ZIP collection would not prove it is the correct camera/session.</w:t>
      </w:r>
    </w:p>
    <w:p>
      <w:r>
        <w:rPr>
          <w:b w:val="0"/>
        </w:rPr>
        <w:t>Workbook camera labels · Measured video-hour evidence · Speed records · Current model/manual comparison.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ageBreakBefore w:val="0"/>
      </w:pPr>
      <w:r>
        <w:rPr>
          <w:b w:val="0"/>
        </w:rPr>
        <w:t>Entire MioVision ZIP: camera locations, years, video counts and hours</w:t>
      </w:r>
    </w:p>
    <w:p>
      <w:r>
        <w:rPr>
          <w:b w:val="0"/>
        </w:rPr>
        <w:t>Scope: every inventoried video in MioVision_Data.zip, including annual collections, Bike Lane Study and Other. Study/count and Mighk speed-reference inventory.</w:t>
      </w:r>
    </w:p>
    <w:p>
      <w:r>
        <w:rPr>
          <w:b w:val="0"/>
        </w:rPr>
        <w:t>Years are taken from video filenames or dated recording sessions, not category labels. Site/view folders and device identifiers are kept distinct; aliases are not automatically merged into physical locations. “Unknown” means no parseable recording date, not zero years.</w:t>
      </w:r>
    </w:p>
    <w:p>
      <w:pPr>
        <w:pStyle w:val="Heading3"/>
      </w:pPr>
      <w:r>
        <w:rPr>
          <w:b w:val="0"/>
        </w:rPr>
        <w:t>Annual recordings</w:t>
      </w:r>
    </w:p>
    <w:tbl>
      <w:tblPr>
        <w:tblW w:type="dxa" w:w="12960"/>
        <w:jc w:val="left"/>
        <w:tblLayout w:type="fixed"/>
        <w:tblLook w:firstColumn="1" w:firstRow="1" w:lastColumn="0" w:lastRow="0" w:noHBand="0" w:noVBand="1" w:val="04A0"/>
        <w:tblInd w:type="dxa" w:w="120"/>
        <w:tblBorders>
          <w:top w:val="single" w:sz="4" w:color="CBD4DE"/>
          <w:left w:val="single" w:sz="4" w:color="CBD4DE"/>
          <w:bottom w:val="single" w:sz="4" w:color="CBD4DE"/>
          <w:right w:val="single" w:sz="4" w:color="CBD4DE"/>
          <w:insideH w:val="single" w:sz="4" w:color="CBD4DE"/>
          <w:insideV w:val="single" w:sz="4" w:color="CBD4DE"/>
        </w:tblBorders>
      </w:tblPr>
      <w:tblGrid>
        <w:gridCol w:w="4200"/>
        <w:gridCol w:w="1500"/>
        <w:gridCol w:w="1400"/>
        <w:gridCol w:w="800"/>
        <w:gridCol w:w="900"/>
        <w:gridCol w:w="1600"/>
        <w:gridCol w:w="2560"/>
      </w:tblGrid>
      <w:tr>
        <w:trPr>
          <w:cantSplit/>
          <w:tblHeader/>
        </w:trPr>
        <w:tc>
          <w:tcPr>
            <w:tcW w:type="dxa" w:w="42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Location / view folder</w:t>
            </w:r>
          </w:p>
        </w:tc>
        <w:tc>
          <w:tcPr>
            <w:tcW w:type="dxa" w:w="15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Device</w:t>
            </w:r>
          </w:p>
        </w:tc>
        <w:tc>
          <w:tcPr>
            <w:tcW w:type="dxa" w:w="14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Recording years</w:t>
            </w:r>
          </w:p>
        </w:tc>
        <w:tc>
          <w:tcPr>
            <w:tcW w:type="dxa" w:w="8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Known year count</w:t>
            </w:r>
          </w:p>
        </w:tc>
        <w:tc>
          <w:tcPr>
            <w:tcW w:type="dxa" w:w="9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Videos</w:t>
            </w:r>
          </w:p>
        </w:tc>
        <w:tc>
          <w:tcPr>
            <w:tcW w:type="dxa" w:w="16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Measured / total files</w:t>
            </w:r>
          </w:p>
        </w:tc>
        <w:tc>
          <w:tcPr>
            <w:tcW w:type="dxa" w:w="256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Total playback hours</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10th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10th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East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East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Anderson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Anderson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Buenaventura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44</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44</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Buenaventura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Casselberry Connector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2026</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Celery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Central Blvd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Central North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66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66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Central South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Church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Church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Church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Clarcona-Ocoee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Clarcona-Ocoee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Conway 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44</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44</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Corrine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Corrine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Corrine Pop-Up</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Corrine/North Side Facing West Bound Traffic</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Corrine/South Side Facing East Bound Traffic</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Cross Seminole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Curry Ford/North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Curry Ford/South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Denning</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Denning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Dillard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Dillard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Division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Division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Division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 Silver Star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EE Williamson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Edgewater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Emory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Fern Creek North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Fern Creek South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Fortune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2026</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Fortune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2026</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Fortune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Fortune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George Ave &amp; US 17-92</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Goldsboro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Gore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Ivey Lane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Keller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Kirkman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Kirkman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Kissimmee Trail at Hoagland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Kissimmee Trail at Hoagland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Lake Fran Trail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Little Econ Trail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Livingston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Maitland Ave Crossing</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Maitland Interchange Overpass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Maitland SunRail Station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Mercy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49</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NOBT CS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NOBT CS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Neptune Road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Neptune SunRail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North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North St 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Orange Blvd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Orlando Urban Trail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Orlando Urban Trail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Packwood Crossing</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Center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Center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North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North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Trail/Balboa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Hills Trail/Indialantic</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Pine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Powers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Princeton Packing District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Princeton Packing District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Rio Grande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Riverwalk</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Robinson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37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Rock Springs 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Rock Springs 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 Semoran/S Semoran East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 Semoran/S Semoran 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SOBT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94</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94</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SOBT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SR 436</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44</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44</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SR 436</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38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Sandspur &amp; Maitland Ave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Seminole Wekiva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Semoran Separated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Semoran Separated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49</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Shingle Creek MetroWest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49</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Shingle Creek S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Shingle Creek S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Shingle Creek/At Destination Pkwy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Silver Star/North Side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Silver Star/South Side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Slavia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Sligh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South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92</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92</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Spring Lake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St Andrews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Sunset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Sunset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17-92</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17-92</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17-92 Fern Park</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17-92 Fern Park</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2024</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192</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US 192</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East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University West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Virginia (East of Mills)/North Side Facing West Bound Traffic</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Virginia (East of Mills)/South Side Facing East Bound Traffic</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Virginia (West of Mills)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2021</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25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MIOP000706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2025</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Washington St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West Orange Trail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Westmoreland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2022</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Winter Park Dr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MIOP000856</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2026</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bl>
    <w:p>
      <w:pPr>
        <w:spacing w:after="40"/>
      </w:pPr>
    </w:p>
    <w:p>
      <w:pPr>
        <w:pStyle w:val="Heading3"/>
      </w:pPr>
      <w:r>
        <w:rPr>
          <w:b w:val="0"/>
        </w:rPr>
        <w:t>Bike Lane Study</w:t>
      </w:r>
    </w:p>
    <w:tbl>
      <w:tblPr>
        <w:tblW w:type="dxa" w:w="12960"/>
        <w:jc w:val="left"/>
        <w:tblLayout w:type="fixed"/>
        <w:tblLook w:firstColumn="1" w:firstRow="1" w:lastColumn="0" w:lastRow="0" w:noHBand="0" w:noVBand="1" w:val="04A0"/>
        <w:tblInd w:type="dxa" w:w="120"/>
        <w:tblBorders>
          <w:top w:val="single" w:sz="4" w:color="CBD4DE"/>
          <w:left w:val="single" w:sz="4" w:color="CBD4DE"/>
          <w:bottom w:val="single" w:sz="4" w:color="CBD4DE"/>
          <w:right w:val="single" w:sz="4" w:color="CBD4DE"/>
          <w:insideH w:val="single" w:sz="4" w:color="CBD4DE"/>
          <w:insideV w:val="single" w:sz="4" w:color="CBD4DE"/>
        </w:tblBorders>
      </w:tblPr>
      <w:tblGrid>
        <w:gridCol w:w="4200"/>
        <w:gridCol w:w="1500"/>
        <w:gridCol w:w="1400"/>
        <w:gridCol w:w="800"/>
        <w:gridCol w:w="900"/>
        <w:gridCol w:w="1600"/>
        <w:gridCol w:w="2560"/>
      </w:tblGrid>
      <w:tr>
        <w:trPr>
          <w:cantSplit/>
          <w:tblHeader/>
        </w:trPr>
        <w:tc>
          <w:tcPr>
            <w:tcW w:type="dxa" w:w="42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Location / view folder</w:t>
            </w:r>
          </w:p>
        </w:tc>
        <w:tc>
          <w:tcPr>
            <w:tcW w:type="dxa" w:w="15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Device</w:t>
            </w:r>
          </w:p>
        </w:tc>
        <w:tc>
          <w:tcPr>
            <w:tcW w:type="dxa" w:w="14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Recording years</w:t>
            </w:r>
          </w:p>
        </w:tc>
        <w:tc>
          <w:tcPr>
            <w:tcW w:type="dxa" w:w="8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Known year count</w:t>
            </w:r>
          </w:p>
        </w:tc>
        <w:tc>
          <w:tcPr>
            <w:tcW w:type="dxa" w:w="9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Videos</w:t>
            </w:r>
          </w:p>
        </w:tc>
        <w:tc>
          <w:tcPr>
            <w:tcW w:type="dxa" w:w="16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Measured / total files</w:t>
            </w:r>
          </w:p>
        </w:tc>
        <w:tc>
          <w:tcPr>
            <w:tcW w:type="dxa" w:w="256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Total playback hours</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Aloma SW</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Alafaya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Alafaya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Colonial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Columbia</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49</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49</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Edgewater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Glenridge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Lakemont</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Livingston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Par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Pine Hills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25</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25</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Pine Hills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S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156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156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BL Speed Edgewater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Daniels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Daniels SW</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Carroll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Clay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Curry Ford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157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157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Kaley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Lee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N Orange</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Pine Hills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Pine Hills</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Summerlin</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University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University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NBL Winter Park Road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96</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96</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New folder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Pleasant Hill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31</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31</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 Road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 Road SW</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Rinehart Road SW</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SW Speed University</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TL Speed Baxter</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TL Speed Winter Park</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WORT Path</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37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37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WORT Sidewalk</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2019</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bl>
    <w:p>
      <w:pPr>
        <w:spacing w:after="40"/>
      </w:pPr>
    </w:p>
    <w:p>
      <w:pPr>
        <w:pStyle w:val="Heading3"/>
      </w:pPr>
      <w:r>
        <w:rPr>
          <w:b w:val="0"/>
        </w:rPr>
        <w:t>Other</w:t>
      </w:r>
    </w:p>
    <w:tbl>
      <w:tblPr>
        <w:tblW w:type="dxa" w:w="12960"/>
        <w:jc w:val="left"/>
        <w:tblLayout w:type="fixed"/>
        <w:tblLook w:firstColumn="1" w:firstRow="1" w:lastColumn="0" w:lastRow="0" w:noHBand="0" w:noVBand="1" w:val="04A0"/>
        <w:tblInd w:type="dxa" w:w="120"/>
        <w:tblBorders>
          <w:top w:val="single" w:sz="4" w:color="CBD4DE"/>
          <w:left w:val="single" w:sz="4" w:color="CBD4DE"/>
          <w:bottom w:val="single" w:sz="4" w:color="CBD4DE"/>
          <w:right w:val="single" w:sz="4" w:color="CBD4DE"/>
          <w:insideH w:val="single" w:sz="4" w:color="CBD4DE"/>
          <w:insideV w:val="single" w:sz="4" w:color="CBD4DE"/>
        </w:tblBorders>
      </w:tblPr>
      <w:tblGrid>
        <w:gridCol w:w="4200"/>
        <w:gridCol w:w="1500"/>
        <w:gridCol w:w="1400"/>
        <w:gridCol w:w="800"/>
        <w:gridCol w:w="900"/>
        <w:gridCol w:w="1600"/>
        <w:gridCol w:w="2560"/>
      </w:tblGrid>
      <w:tr>
        <w:trPr>
          <w:cantSplit/>
          <w:tblHeader/>
        </w:trPr>
        <w:tc>
          <w:tcPr>
            <w:tcW w:type="dxa" w:w="42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Location / view folder</w:t>
            </w:r>
          </w:p>
        </w:tc>
        <w:tc>
          <w:tcPr>
            <w:tcW w:type="dxa" w:w="1500"/>
            <w:vAlign w:val="center"/>
            <w:shd w:fill="E8EEF5"/>
            <w:tcMar>
              <w:top w:w="80" w:type="dxa"/>
              <w:bottom w:w="80" w:type="dxa"/>
              <w:start w:w="120" w:type="dxa"/>
              <w:end w:w="120" w:type="dxa"/>
            </w:tcMar>
          </w:tcPr>
          <w:p>
            <w:pPr>
              <w:keepNext w:val="0"/>
              <w:spacing w:before="0" w:after="40" w:line="269" w:lineRule="auto"/>
              <w:jc w:val="left"/>
            </w:pPr>
            <w:r>
              <w:rPr>
                <w:rFonts w:ascii="Calibri" w:hAnsi="Calibri"/>
                <w:b/>
                <w:sz w:val="19"/>
              </w:rPr>
              <w:t>Device</w:t>
            </w:r>
          </w:p>
        </w:tc>
        <w:tc>
          <w:tcPr>
            <w:tcW w:type="dxa" w:w="14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Recording years</w:t>
            </w:r>
          </w:p>
        </w:tc>
        <w:tc>
          <w:tcPr>
            <w:tcW w:type="dxa" w:w="8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Known year count</w:t>
            </w:r>
          </w:p>
        </w:tc>
        <w:tc>
          <w:tcPr>
            <w:tcW w:type="dxa" w:w="9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Videos</w:t>
            </w:r>
          </w:p>
        </w:tc>
        <w:tc>
          <w:tcPr>
            <w:tcW w:type="dxa" w:w="160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Measured / total files</w:t>
            </w:r>
          </w:p>
        </w:tc>
        <w:tc>
          <w:tcPr>
            <w:tcW w:type="dxa" w:w="2560"/>
            <w:vAlign w:val="center"/>
            <w:shd w:fill="E8EEF5"/>
            <w:tcMar>
              <w:top w:w="80" w:type="dxa"/>
              <w:bottom w:w="80" w:type="dxa"/>
              <w:start w:w="120" w:type="dxa"/>
              <w:end w:w="120" w:type="dxa"/>
            </w:tcMar>
          </w:tcPr>
          <w:p>
            <w:pPr>
              <w:keepNext w:val="0"/>
              <w:spacing w:before="0" w:after="40" w:line="269" w:lineRule="auto"/>
              <w:jc w:val="center"/>
            </w:pPr>
            <w:r>
              <w:rPr>
                <w:rFonts w:ascii="Calibri" w:hAnsi="Calibri"/>
                <w:b/>
                <w:sz w:val="19"/>
              </w:rPr>
              <w:t>Total playback hours</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SunRail</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2020</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SunRail Longwood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SunRail Longwood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48</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48</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SunRail Longwood/Longwood SunRail Upload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SCU8OG</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r>
        <w:trPr>
          <w:cantSplit/>
        </w:trPr>
        <w:tc>
          <w:tcPr>
            <w:tcW w:type="dxa" w:w="42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SunRail Longwood/Longwood SunRail Upload</w:t>
            </w:r>
          </w:p>
        </w:tc>
        <w:tc>
          <w:tcPr>
            <w:tcW w:type="dxa" w:w="1500"/>
            <w:vAlign w:val="center"/>
            <w:tcMar>
              <w:top w:w="80" w:type="dxa"/>
              <w:bottom w:w="80" w:type="dxa"/>
              <w:start w:w="120" w:type="dxa"/>
              <w:end w:w="120" w:type="dxa"/>
            </w:tcMar>
          </w:tcPr>
          <w:p>
            <w:pPr>
              <w:keepNext w:val="0"/>
              <w:spacing w:before="0" w:after="40" w:line="269" w:lineRule="auto"/>
              <w:jc w:val="left"/>
            </w:pPr>
            <w:r>
              <w:rPr>
                <w:rFonts w:ascii="Calibri" w:hAnsi="Calibri"/>
                <w:b w:val="0"/>
                <w:sz w:val="19"/>
              </w:rPr>
              <w:t>SCU8PM</w:t>
            </w:r>
          </w:p>
        </w:tc>
        <w:tc>
          <w:tcPr>
            <w:tcW w:type="dxa" w:w="14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2023</w:t>
            </w:r>
          </w:p>
        </w:tc>
        <w:tc>
          <w:tcPr>
            <w:tcW w:type="dxa" w:w="8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1</w:t>
            </w:r>
          </w:p>
        </w:tc>
        <w:tc>
          <w:tcPr>
            <w:tcW w:type="dxa" w:w="9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7</w:t>
            </w:r>
          </w:p>
        </w:tc>
        <w:tc>
          <w:tcPr>
            <w:tcW w:type="dxa" w:w="160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0 / 7</w:t>
            </w:r>
          </w:p>
        </w:tc>
        <w:tc>
          <w:tcPr>
            <w:tcW w:type="dxa" w:w="2560"/>
            <w:vAlign w:val="center"/>
            <w:tcMar>
              <w:top w:w="80" w:type="dxa"/>
              <w:bottom w:w="80" w:type="dxa"/>
              <w:start w:w="120" w:type="dxa"/>
              <w:end w:w="120" w:type="dxa"/>
            </w:tcMar>
          </w:tcPr>
          <w:p>
            <w:pPr>
              <w:keepNext w:val="0"/>
              <w:spacing w:before="0" w:after="40" w:line="269" w:lineRule="auto"/>
              <w:jc w:val="center"/>
            </w:pPr>
            <w:r>
              <w:rPr>
                <w:rFonts w:ascii="Calibri" w:hAnsi="Calibri"/>
                <w:b w:val="0"/>
                <w:sz w:val="19"/>
              </w:rPr>
              <w:t>Pending</w:t>
            </w:r>
          </w:p>
        </w:tc>
      </w:tr>
    </w:tbl>
    <w:p>
      <w:pPr>
        <w:spacing w:after="40"/>
      </w:pPr>
    </w:p>
    <w:p>
      <w:r>
        <w:rPr>
          <w:b w:val="0"/>
        </w:rPr>
        <w:t>Inventory contains 9085 video files across 179 site/view/device groups. These groups are not a verified count of unique physical street locations. Unknown-date file counts and category paths are retained in camera_years.csv. Hours are shown only when every video for that group has measured metadata; partial subtotals stay in durations/by_camera.csv. Every duration row is measured or pending, never an estimate from file count.</w:t>
      </w:r>
    </w:p>
    <w:p>
      <w:pPr>
        <w:pStyle w:val="Heading2"/>
      </w:pPr>
      <w:r>
        <w:rPr>
          <w:b w:val="0"/>
        </w:rPr>
        <w:t>Returned scan summary</w:t>
      </w:r>
    </w:p>
    <w:p>
      <w:r>
        <w:rPr>
          <w:b w:val="0"/>
        </w:rPr>
        <w:t xml:space="preserve">The October 28 scan contains </w:t>
      </w:r>
      <w:r>
        <w:rPr>
          <w:b/>
        </w:rPr>
        <w:t>9,085 videos</w:t>
      </w:r>
      <w:r>
        <w:rPr>
          <w:b w:val="0"/>
        </w:rPr>
        <w:t xml:space="preserve">, </w:t>
      </w:r>
      <w:r>
        <w:rPr>
          <w:b/>
        </w:rPr>
        <w:t>179 site/view/device groups</w:t>
      </w:r>
      <w:r>
        <w:rPr>
          <w:b w:val="0"/>
        </w:rPr>
        <w:t xml:space="preserve">, and recording years </w:t>
      </w:r>
      <w:r>
        <w:rPr>
          <w:b/>
        </w:rPr>
        <w:t>2019–2026</w:t>
      </w:r>
      <w:r>
        <w:rPr>
          <w:b w:val="0"/>
        </w:rPr>
        <w:t>. These groups are not179unique street locations. Annual collections contain6,648videos; Bike Lane Study contains2,279; Other contains158. The prior measured count-workbook mapping includes1,919of the2,279Bike Lane Study files, so it is not a complete inventory of that entire archive section. Full duration metadata is still being measured by the submitted job.</w:t>
      </w:r>
    </w:p>
    <w:p>
      <w:pPr>
        <w:pStyle w:val="Heading2"/>
      </w:pPr>
      <w:r>
        <w:rPr>
          <w:b w:val="0"/>
        </w:rPr>
        <w:t>Get or refresh the full inventory</w:t>
      </w:r>
    </w:p>
    <w:p>
      <w:r>
        <w:rPr>
          <w:b w:val="0"/>
        </w:rPr>
        <w:t>After pushing/pulling code, run directly on HiPerGator for the quick camera/year/count listing:</w:t>
      </w:r>
    </w:p>
    <w:p>
      <w:pPr>
        <w:spacing w:after="0" w:line="240" w:lineRule="auto"/>
      </w:pPr>
      <w:r>
        <w:rPr>
          <w:rFonts w:ascii="Consolas" w:hAnsi="Consolas"/>
          <w:sz w:val="17"/>
        </w:rPr>
        <w:t>cd /orange/xiangyan/rithika/vision/vision3/best/test_colonial</w:t>
      </w:r>
    </w:p>
    <w:p>
      <w:pPr>
        <w:spacing w:after="0" w:line="240" w:lineRule="auto"/>
      </w:pPr>
      <w:r>
        <w:rPr>
          <w:rFonts w:ascii="Consolas" w:hAnsi="Consolas"/>
          <w:sz w:val="17"/>
        </w:rPr>
        <w:t>python code/prepare_full_archive_inventory.py --inventory-only</w:t>
      </w:r>
    </w:p>
    <w:p>
      <w:pPr>
        <w:spacing w:after="0" w:line="240" w:lineRule="auto"/>
      </w:pPr>
      <w:r>
        <w:rPr>
          <w:rFonts w:ascii="Consolas" w:hAnsi="Consolas"/>
          <w:sz w:val="17"/>
        </w:rPr>
        <w:t>cat exp_results/MIOVISION_FULL_ARCHIVE_INVENTORY/CAMERA_YEARS.md</w:t>
      </w:r>
    </w:p>
    <w:p>
      <w:r>
        <w:rPr>
          <w:b w:val="0"/>
        </w:rPr>
        <w:t>Then submit the CPU metadata audit for actual video hours:</w:t>
      </w:r>
    </w:p>
    <w:p>
      <w:pPr>
        <w:spacing w:after="0" w:line="240" w:lineRule="auto"/>
      </w:pPr>
      <w:r>
        <w:rPr>
          <w:rFonts w:ascii="Consolas" w:hAnsi="Consolas"/>
          <w:sz w:val="17"/>
        </w:rPr>
        <w:t>mkdir -p logs</w:t>
      </w:r>
    </w:p>
    <w:p>
      <w:pPr>
        <w:spacing w:after="0" w:line="240" w:lineRule="auto"/>
      </w:pPr>
      <w:r>
        <w:rPr>
          <w:rFonts w:ascii="Consolas" w:hAnsi="Consolas"/>
          <w:sz w:val="17"/>
        </w:rPr>
        <w:t>sbatch code/full_archive_inventory.slurm</w:t>
      </w:r>
    </w:p>
    <w:p>
      <w:r>
        <w:rPr>
          <w:b w:val="0"/>
        </w:rPr>
        <w:t>The job reuses successful per-video measurements from the completed2019audit, probes existing extracted originals where available, otherwise extracts only one temporary video at a time. It deletes that temporary copy after measuring. It does not run object detection or permanently extract the entire archive. ZIP decompression may take time. Results save after each file; resubmit the same script to resume if its24hour limit is reached.</w:t>
      </w:r>
    </w:p>
    <w:p>
      <w:r>
        <w:rPr>
          <w:b w:val="0"/>
        </w:rPr>
        <w:t>Progress: cat exp_results/MIOVISION_FULL_ARCHIVE_INVENTORY/durations/RESULTS.md. Final camera/year table: exp_results/MIOVISION_FULL_ARCHIVE_INVENTORY/CAMERA_YEARS.md. To refresh the README from partial or completed measurements: python code/prepare_full_archive_inventory.py --inventory-only.</w:t>
      </w:r>
    </w:p>
    <w:p>
      <w:r>
        <w:rPr>
          <w:b w:val="0"/>
        </w:rPr>
        <w:t>The script writes both READMEs under the HiPerGator repository’s docs folder. To update local copies, paste cat exp_results/MIOVISION_FULL_ARCHIVE_INVENTORY/camera_years_hours.csv (or return camera_years.csv and durations/by_camera.csv); no videos need downloading. The terminal summary can also be pasted.</w:t>
      </w:r>
    </w:p>
    <w:p>
      <w:r>
        <w:rPr>
          <w:b w:val="0"/>
        </w:rPr>
        <w:t>Playback hours measure the actual duration of files, not guaranteed continuous elapsed recording time. Occurrence-only footage may omit quiet periods. Device codes can be reused at different sites; they are not GPS coordinates. Separate years with similarly spelled streets are not automatically the same camera view.</w:t>
      </w:r>
    </w:p>
    <w:p>
      <w:pPr>
        <w:pStyle w:val="Heading2"/>
      </w:pPr>
      <w:r>
        <w:rPr>
          <w:b w:val="0"/>
        </w:rPr>
        <w:t>Source files</w:t>
      </w:r>
    </w:p>
    <w:p>
      <w:r>
        <w:rPr>
          <w:b w:val="0"/>
        </w:rPr>
        <w:t>docs/VIDEO_DURATION_README.md</w:t>
      </w:r>
    </w:p>
    <w:p>
      <w:r>
        <w:rPr>
          <w:b w:val="0"/>
        </w:rPr>
        <w:t>docs/BIKE_LANE_STUDY_INVENTORY_README.md</w:t>
      </w:r>
    </w:p>
    <w:p>
      <w:r>
        <w:rPr>
          <w:b w:val="0"/>
        </w:rPr>
        <w:t>docs/MIOVISION_ARCHIVE_INVENTORY_README.md</w:t>
      </w:r>
    </w:p>
    <w:sectPr w:rsidR="00FC693F" w:rsidRPr="0006063C" w:rsidSect="00034616">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785"/>
        <w:sz w:val="18"/>
      </w:rPr>
      <w:t>MIOVISION  /  VIDEO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540" w:hanging="271"/>
        <w:tabs>
          <w:tab w:val="num" w:pos="540"/>
        </w:tabs>
      </w:pPr>
    </w:lvl>
  </w:abstractNum>
  <w:abstractNum w:abstractNumId="1">
    <w:nsid w:val="FFFFFF7D"/>
    <w:multiLevelType w:val="singleLevel"/>
    <w:tmpl w:val="E4089024"/>
    <w:lvl w:ilvl="0">
      <w:start w:val="1"/>
      <w:numFmt w:val="decimal"/>
      <w:lvlText w:val="%1."/>
      <w:lvlJc w:val="left"/>
      <w:pPr>
        <w:tabs>
          <w:tab w:val="num" w:pos="1440"/>
        </w:tabs>
        <w:ind w:left="540" w:hanging="271"/>
        <w:tabs>
          <w:tab w:val="num" w:pos="540"/>
        </w:tabs>
      </w:pPr>
    </w:lvl>
  </w:abstractNum>
  <w:abstractNum w:abstractNumId="2">
    <w:nsid w:val="FFFFFF7E"/>
    <w:multiLevelType w:val="singleLevel"/>
    <w:tmpl w:val="FB12693A"/>
    <w:lvl w:ilvl="0">
      <w:start w:val="1"/>
      <w:numFmt w:val="decimal"/>
      <w:pStyle w:val="ListNumber3"/>
      <w:lvlText w:val="%1."/>
      <w:lvlJc w:val="left"/>
      <w:pPr>
        <w:tabs>
          <w:tab w:val="num" w:pos="1080"/>
        </w:tabs>
        <w:ind w:left="540" w:hanging="271"/>
        <w:tabs>
          <w:tab w:val="num" w:pos="540"/>
        </w:tabs>
      </w:pPr>
    </w:lvl>
  </w:abstractNum>
  <w:abstractNum w:abstractNumId="3">
    <w:nsid w:val="FFFFFF7F"/>
    <w:multiLevelType w:val="singleLevel"/>
    <w:tmpl w:val="38441652"/>
    <w:lvl w:ilvl="0">
      <w:start w:val="1"/>
      <w:numFmt w:val="decimal"/>
      <w:pStyle w:val="ListNumber2"/>
      <w:lvlText w:val="%1."/>
      <w:lvlJc w:val="left"/>
      <w:pPr>
        <w:tabs>
          <w:tab w:val="num" w:pos="720"/>
        </w:tabs>
        <w:ind w:left="540" w:hanging="271"/>
        <w:tabs>
          <w:tab w:val="num" w:pos="540"/>
        </w:tabs>
      </w:pPr>
    </w:lvl>
  </w:abstractNum>
  <w:abstractNum w:abstractNumId="4">
    <w:nsid w:val="FFFFFF81"/>
    <w:multiLevelType w:val="singleLevel"/>
    <w:tmpl w:val="171AC3A4"/>
    <w:lvl w:ilvl="0">
      <w:start w:val="1"/>
      <w:numFmt w:val="bullet"/>
      <w:lvlText w:val=""/>
      <w:lvlJc w:val="left"/>
      <w:pPr>
        <w:tabs>
          <w:tab w:val="num" w:pos="1440"/>
        </w:tabs>
        <w:ind w:left="540" w:hanging="271"/>
        <w:tabs>
          <w:tab w:val="num" w:pos="54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540" w:hanging="271"/>
        <w:tabs>
          <w:tab w:val="num" w:pos="54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540" w:hanging="271"/>
        <w:tabs>
          <w:tab w:val="num" w:pos="54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540" w:hanging="271"/>
        <w:tabs>
          <w:tab w:val="num" w:pos="540"/>
        </w:tabs>
      </w:pPr>
    </w:lvl>
  </w:abstractNum>
  <w:abstractNum w:abstractNumId="8">
    <w:nsid w:val="FFFFFF89"/>
    <w:multiLevelType w:val="singleLevel"/>
    <w:tmpl w:val="29761A62"/>
    <w:lvl w:ilvl="0">
      <w:start w:val="1"/>
      <w:numFmt w:val="bullet"/>
      <w:pStyle w:val="ListBullet"/>
      <w:lvlText w:val=""/>
      <w:lvlJc w:val="left"/>
      <w:pPr>
        <w:tabs>
          <w:tab w:val="num" w:pos="360"/>
        </w:tabs>
        <w:ind w:left="540" w:hanging="271"/>
        <w:tabs>
          <w:tab w:val="num" w:pos="54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300" w:lineRule="auto"/>
    </w:pPr>
    <w:rPr>
      <w:rFonts w:asciiTheme="majorHAnsi" w:eastAsiaTheme="majorEastAsia" w:hAnsiTheme="majorHAnsi" w:cstheme="majorBidi" w:ascii="Calibri" w:hAnsi="Calibri"/>
      <w:i/>
      <w:iCs/>
      <w:color w:val="5865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locations, recording years and video hours</dc:title>
  <dc:subject>Video inventory and playback-duration status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