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0D8C5">
      <w:pPr>
        <w:jc w:val="center"/>
      </w:pPr>
    </w:p>
    <w:p w14:paraId="76075833">
      <w:pPr>
        <w:jc w:val="center"/>
      </w:pPr>
      <w:r>
        <w:rPr>
          <w:rFonts w:ascii="Times New Roman" w:hAnsi="Times New Roman" w:cs="Times New Roman"/>
          <w:b/>
          <w:sz w:val="28"/>
        </w:rPr>
        <w:t>DEPARTMENT OF CSE</w:t>
      </w:r>
    </w:p>
    <w:p w14:paraId="4A6A54D4">
      <w:pPr>
        <w:jc w:val="center"/>
      </w:pPr>
      <w:r>
        <w:rPr>
          <w:rFonts w:ascii="Times New Roman" w:hAnsi="Times New Roman" w:cs="Times New Roman"/>
          <w:b/>
          <w:sz w:val="24"/>
        </w:rPr>
        <w:t xml:space="preserve">PROJECT ABSTRACT SUBMISSION </w:t>
      </w:r>
    </w:p>
    <w:p w14:paraId="0C6EEFD8">
      <w:pPr>
        <w:jc w:val="center"/>
        <w:rPr>
          <w:rFonts w:ascii="Times New Roman" w:hAnsi="Times New Roman" w:cs="Times New Roman"/>
          <w:b/>
          <w:sz w:val="28"/>
        </w:rPr>
      </w:pPr>
      <w:r>
        <w:rPr>
          <w:rFonts w:ascii="Times New Roman" w:hAnsi="Times New Roman" w:cs="Times New Roman"/>
          <w:b/>
          <w:sz w:val="28"/>
        </w:rPr>
        <w:t>COURSE:</w:t>
      </w:r>
      <w:r>
        <w:rPr>
          <w:rFonts w:ascii="Times" w:hAnsi="Times" w:cs="Times"/>
          <w:color w:val="333333"/>
          <w:sz w:val="24"/>
        </w:rPr>
        <w:t xml:space="preserve"> </w:t>
      </w:r>
      <w:r>
        <w:rPr>
          <w:rFonts w:ascii="Times New Roman" w:hAnsi="Times New Roman" w:cs="Times New Roman"/>
          <w:b/>
          <w:sz w:val="28"/>
        </w:rPr>
        <w:t>ADAPTIVE SOFTWARE ENGINEERING – 24CI3201                             A.Y. 2026 - 2027</w:t>
      </w:r>
    </w:p>
    <w:p w14:paraId="03FA326D">
      <w:pPr>
        <w:jc w:val="center"/>
        <w:rPr>
          <w:rFonts w:ascii="Times New Roman" w:hAnsi="Times New Roman" w:cs="Times New Roman"/>
          <w:b/>
          <w:sz w:val="28"/>
        </w:rPr>
      </w:pPr>
    </w:p>
    <w:p w14:paraId="07B2586E">
      <w:pPr>
        <w:jc w:val="center"/>
        <w:rPr>
          <w:rFonts w:hint="default" w:ascii="Times New Roman Bold Italic" w:hAnsi="Times New Roman Bold Italic" w:cs="Times New Roman Bold Italic"/>
          <w:b/>
          <w:i/>
          <w:sz w:val="36"/>
          <w:szCs w:val="36"/>
        </w:rPr>
      </w:pPr>
      <w:r>
        <w:rPr>
          <w:rFonts w:hint="default" w:ascii="Times New Roman Bold Italic" w:hAnsi="Times New Roman Bold Italic" w:cs="Times New Roman Bold Italic"/>
          <w:b/>
          <w:i/>
          <w:sz w:val="36"/>
          <w:szCs w:val="36"/>
        </w:rPr>
        <w:t>AI-Driven DevOps Incident Prediction and Intelligent Root Cause Analysis System</w:t>
      </w:r>
    </w:p>
    <w:p w14:paraId="5583DA41">
      <w:pPr>
        <w:jc w:val="center"/>
      </w:pPr>
    </w:p>
    <w:p w14:paraId="125BF70F">
      <w:pPr>
        <w:jc w:val="center"/>
      </w:pPr>
    </w:p>
    <w:p w14:paraId="2011B750">
      <w:pPr>
        <w:jc w:val="center"/>
      </w:pPr>
    </w:p>
    <w:p w14:paraId="06315CBF">
      <w:pPr>
        <w:jc w:val="cente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58"/>
        <w:gridCol w:w="3559"/>
        <w:gridCol w:w="3559"/>
      </w:tblGrid>
      <w:tr w14:paraId="78834633">
        <w:tc>
          <w:tcPr>
            <w:tcW w:w="3558" w:type="dxa"/>
          </w:tcPr>
          <w:p w14:paraId="2A5ECE86">
            <w:pPr>
              <w:jc w:val="center"/>
            </w:pPr>
            <w:r>
              <w:rPr>
                <w:rFonts w:ascii="Times New Roman" w:hAnsi="Times New Roman" w:cs="Times New Roman"/>
                <w:b/>
                <w:sz w:val="24"/>
              </w:rPr>
              <w:t>S. No.</w:t>
            </w:r>
          </w:p>
          <w:p w14:paraId="6937B792">
            <w:pPr>
              <w:jc w:val="center"/>
              <w:rPr>
                <w:rFonts w:ascii="Times New Roman" w:hAnsi="Times New Roman" w:cs="Times New Roman"/>
                <w:b/>
                <w:sz w:val="24"/>
                <w:vertAlign w:val="baseline"/>
              </w:rPr>
            </w:pPr>
          </w:p>
        </w:tc>
        <w:tc>
          <w:tcPr>
            <w:tcW w:w="3559" w:type="dxa"/>
          </w:tcPr>
          <w:p w14:paraId="55AA7F3C">
            <w:pPr>
              <w:jc w:val="center"/>
            </w:pPr>
            <w:r>
              <w:rPr>
                <w:rFonts w:ascii="Times New Roman" w:hAnsi="Times New Roman" w:cs="Times New Roman"/>
                <w:b/>
                <w:sz w:val="24"/>
              </w:rPr>
              <w:t>University ID</w:t>
            </w:r>
          </w:p>
          <w:p w14:paraId="4EE90714">
            <w:pPr>
              <w:jc w:val="center"/>
              <w:rPr>
                <w:rFonts w:ascii="Times New Roman" w:hAnsi="Times New Roman" w:cs="Times New Roman"/>
                <w:b/>
                <w:sz w:val="24"/>
                <w:vertAlign w:val="baseline"/>
              </w:rPr>
            </w:pPr>
          </w:p>
        </w:tc>
        <w:tc>
          <w:tcPr>
            <w:tcW w:w="3559" w:type="dxa"/>
          </w:tcPr>
          <w:p w14:paraId="6B8AC333">
            <w:pPr>
              <w:jc w:val="center"/>
            </w:pPr>
            <w:r>
              <w:rPr>
                <w:rFonts w:ascii="Times New Roman" w:hAnsi="Times New Roman" w:cs="Times New Roman"/>
                <w:b/>
                <w:sz w:val="24"/>
              </w:rPr>
              <w:t>Name</w:t>
            </w:r>
          </w:p>
          <w:p w14:paraId="358272F8">
            <w:pPr>
              <w:jc w:val="center"/>
              <w:rPr>
                <w:rFonts w:ascii="Times New Roman" w:hAnsi="Times New Roman" w:cs="Times New Roman"/>
                <w:b/>
                <w:sz w:val="24"/>
                <w:vertAlign w:val="baseline"/>
              </w:rPr>
            </w:pPr>
          </w:p>
        </w:tc>
      </w:tr>
      <w:tr w14:paraId="309B901E">
        <w:tc>
          <w:tcPr>
            <w:tcW w:w="3558" w:type="dxa"/>
          </w:tcPr>
          <w:p w14:paraId="0AE981E0">
            <w:pPr>
              <w:jc w:val="center"/>
            </w:pPr>
            <w:r>
              <w:rPr>
                <w:rFonts w:ascii="Times New Roman" w:hAnsi="Times New Roman" w:cs="Times New Roman"/>
                <w:sz w:val="24"/>
              </w:rPr>
              <w:t>1</w:t>
            </w:r>
          </w:p>
          <w:p w14:paraId="1B69E3D1">
            <w:pPr>
              <w:jc w:val="center"/>
              <w:rPr>
                <w:rFonts w:ascii="Times New Roman" w:hAnsi="Times New Roman" w:cs="Times New Roman"/>
                <w:b/>
                <w:sz w:val="24"/>
                <w:vertAlign w:val="baseline"/>
              </w:rPr>
            </w:pPr>
          </w:p>
        </w:tc>
        <w:tc>
          <w:tcPr>
            <w:tcW w:w="3559" w:type="dxa"/>
          </w:tcPr>
          <w:p w14:paraId="02659A24">
            <w:pPr>
              <w:jc w:val="center"/>
            </w:pPr>
            <w:r>
              <w:rPr>
                <w:rFonts w:ascii="Times New Roman" w:hAnsi="Times New Roman" w:cs="Times New Roman"/>
                <w:sz w:val="24"/>
              </w:rPr>
              <w:t>2420030470</w:t>
            </w:r>
          </w:p>
          <w:p w14:paraId="4EDB48D2">
            <w:pPr>
              <w:jc w:val="center"/>
              <w:rPr>
                <w:rFonts w:ascii="Times New Roman" w:hAnsi="Times New Roman" w:cs="Times New Roman"/>
                <w:b/>
                <w:sz w:val="24"/>
                <w:vertAlign w:val="baseline"/>
              </w:rPr>
            </w:pPr>
          </w:p>
        </w:tc>
        <w:tc>
          <w:tcPr>
            <w:tcW w:w="3559" w:type="dxa"/>
          </w:tcPr>
          <w:p w14:paraId="55450D4C">
            <w:pPr>
              <w:jc w:val="center"/>
            </w:pPr>
            <w:r>
              <w:rPr>
                <w:rFonts w:ascii="Times New Roman" w:hAnsi="Times New Roman" w:cs="Times New Roman"/>
                <w:sz w:val="24"/>
              </w:rPr>
              <w:t>Abhinav</w:t>
            </w:r>
          </w:p>
          <w:p w14:paraId="6033EFB3">
            <w:pPr>
              <w:jc w:val="center"/>
              <w:rPr>
                <w:rFonts w:ascii="Times New Roman" w:hAnsi="Times New Roman" w:cs="Times New Roman"/>
                <w:b/>
                <w:sz w:val="24"/>
                <w:vertAlign w:val="baseline"/>
              </w:rPr>
            </w:pPr>
          </w:p>
        </w:tc>
      </w:tr>
      <w:tr w14:paraId="6DFB235F">
        <w:tc>
          <w:tcPr>
            <w:tcW w:w="3558" w:type="dxa"/>
          </w:tcPr>
          <w:p w14:paraId="4695AB06">
            <w:pPr>
              <w:jc w:val="distribute"/>
              <w:rPr>
                <w:rFonts w:ascii="Times New Roman" w:hAnsi="Times New Roman" w:cs="Times New Roman"/>
                <w:b/>
                <w:sz w:val="24"/>
                <w:vertAlign w:val="baseline"/>
              </w:rPr>
            </w:pPr>
            <w:r>
              <w:rPr>
                <w:rFonts w:ascii="Times New Roman" w:hAnsi="Times New Roman" w:cs="Times New Roman"/>
                <w:sz w:val="24"/>
              </w:rPr>
              <w:t>2</w:t>
            </w:r>
          </w:p>
        </w:tc>
        <w:tc>
          <w:tcPr>
            <w:tcW w:w="3559" w:type="dxa"/>
          </w:tcPr>
          <w:p w14:paraId="21A4F7FD">
            <w:pPr>
              <w:jc w:val="center"/>
              <w:rPr>
                <w:rFonts w:ascii="Times New Roman" w:hAnsi="Times New Roman" w:cs="Times New Roman"/>
                <w:b/>
                <w:sz w:val="24"/>
                <w:vertAlign w:val="baseline"/>
              </w:rPr>
            </w:pPr>
            <w:r>
              <w:rPr>
                <w:rFonts w:ascii="Times New Roman" w:hAnsi="Times New Roman" w:cs="Times New Roman"/>
                <w:sz w:val="24"/>
              </w:rPr>
              <w:t>2420030221</w:t>
            </w:r>
          </w:p>
        </w:tc>
        <w:tc>
          <w:tcPr>
            <w:tcW w:w="3559" w:type="dxa"/>
          </w:tcPr>
          <w:p w14:paraId="5FC8D161">
            <w:pPr>
              <w:jc w:val="center"/>
            </w:pPr>
            <w:r>
              <w:rPr>
                <w:rFonts w:ascii="Times New Roman" w:hAnsi="Times New Roman" w:cs="Times New Roman"/>
                <w:sz w:val="24"/>
              </w:rPr>
              <w:t>Rithvik</w:t>
            </w:r>
          </w:p>
          <w:p w14:paraId="4B8F8855">
            <w:pPr>
              <w:jc w:val="center"/>
              <w:rPr>
                <w:rFonts w:ascii="Times New Roman" w:hAnsi="Times New Roman" w:cs="Times New Roman"/>
                <w:b/>
                <w:sz w:val="24"/>
                <w:vertAlign w:val="baseline"/>
              </w:rPr>
            </w:pPr>
          </w:p>
        </w:tc>
      </w:tr>
      <w:tr w14:paraId="647E393B">
        <w:tc>
          <w:tcPr>
            <w:tcW w:w="3558" w:type="dxa"/>
          </w:tcPr>
          <w:p w14:paraId="38042F59">
            <w:pPr>
              <w:jc w:val="center"/>
            </w:pPr>
            <w:r>
              <w:rPr>
                <w:rFonts w:hint="default" w:ascii="Times New Roman" w:hAnsi="Times New Roman" w:cs="Times New Roman"/>
                <w:b/>
                <w:sz w:val="24"/>
                <w:vertAlign w:val="baseline"/>
                <w:lang w:val="en-US"/>
              </w:rPr>
              <w:t xml:space="preserve"> </w:t>
            </w:r>
            <w:r>
              <w:rPr>
                <w:rFonts w:ascii="Times New Roman" w:hAnsi="Times New Roman" w:cs="Times New Roman"/>
                <w:sz w:val="24"/>
              </w:rPr>
              <w:t>3</w:t>
            </w:r>
          </w:p>
          <w:p w14:paraId="174CC4F7">
            <w:pPr>
              <w:jc w:val="both"/>
              <w:rPr>
                <w:rFonts w:hint="default" w:ascii="Times New Roman" w:hAnsi="Times New Roman" w:cs="Times New Roman"/>
                <w:b/>
                <w:sz w:val="24"/>
                <w:vertAlign w:val="baseline"/>
                <w:lang w:val="en-US"/>
              </w:rPr>
            </w:pPr>
          </w:p>
        </w:tc>
        <w:tc>
          <w:tcPr>
            <w:tcW w:w="3559" w:type="dxa"/>
          </w:tcPr>
          <w:p w14:paraId="058E00CF">
            <w:pPr>
              <w:jc w:val="center"/>
            </w:pPr>
            <w:r>
              <w:rPr>
                <w:rFonts w:ascii="Times New Roman" w:hAnsi="Times New Roman" w:cs="Times New Roman"/>
                <w:sz w:val="24"/>
              </w:rPr>
              <w:t>2420030344</w:t>
            </w:r>
          </w:p>
          <w:p w14:paraId="5E559F44">
            <w:pPr>
              <w:jc w:val="both"/>
              <w:rPr>
                <w:rFonts w:hint="default" w:ascii="Times New Roman" w:hAnsi="Times New Roman" w:cs="Times New Roman"/>
                <w:b/>
                <w:sz w:val="24"/>
                <w:vertAlign w:val="baseline"/>
                <w:lang w:val="en-US"/>
              </w:rPr>
            </w:pPr>
          </w:p>
        </w:tc>
        <w:tc>
          <w:tcPr>
            <w:tcW w:w="3559" w:type="dxa"/>
          </w:tcPr>
          <w:p w14:paraId="4BAF1BCB">
            <w:pPr>
              <w:jc w:val="center"/>
            </w:pPr>
            <w:r>
              <w:rPr>
                <w:rFonts w:ascii="Times New Roman" w:hAnsi="Times New Roman" w:cs="Times New Roman"/>
                <w:sz w:val="24"/>
              </w:rPr>
              <w:t>Adithya</w:t>
            </w:r>
          </w:p>
          <w:p w14:paraId="53B8B409">
            <w:pPr>
              <w:jc w:val="center"/>
              <w:rPr>
                <w:rFonts w:ascii="Times New Roman" w:hAnsi="Times New Roman" w:cs="Times New Roman"/>
                <w:b/>
                <w:sz w:val="24"/>
                <w:vertAlign w:val="baseline"/>
              </w:rPr>
            </w:pPr>
          </w:p>
        </w:tc>
      </w:tr>
      <w:tr w14:paraId="3DC7FF83">
        <w:tc>
          <w:tcPr>
            <w:tcW w:w="3558" w:type="dxa"/>
          </w:tcPr>
          <w:p w14:paraId="49800077">
            <w:pPr>
              <w:jc w:val="center"/>
            </w:pPr>
            <w:r>
              <w:rPr>
                <w:rFonts w:ascii="Times New Roman" w:hAnsi="Times New Roman" w:cs="Times New Roman"/>
                <w:sz w:val="24"/>
              </w:rPr>
              <w:t>4</w:t>
            </w:r>
          </w:p>
          <w:p w14:paraId="7EA3E9B8">
            <w:pPr>
              <w:jc w:val="both"/>
              <w:rPr>
                <w:rFonts w:hint="default" w:ascii="Times New Roman" w:hAnsi="Times New Roman" w:cs="Times New Roman"/>
                <w:b/>
                <w:sz w:val="24"/>
                <w:vertAlign w:val="baseline"/>
                <w:lang w:val="en-US"/>
              </w:rPr>
            </w:pPr>
          </w:p>
        </w:tc>
        <w:tc>
          <w:tcPr>
            <w:tcW w:w="3559" w:type="dxa"/>
          </w:tcPr>
          <w:p w14:paraId="27563328">
            <w:pPr>
              <w:jc w:val="center"/>
              <w:rPr>
                <w:rFonts w:hint="default" w:ascii="Times New Roman" w:hAnsi="Times New Roman" w:cs="Times New Roman"/>
                <w:b/>
                <w:sz w:val="24"/>
                <w:vertAlign w:val="baseline"/>
                <w:lang w:val="en-US"/>
              </w:rPr>
            </w:pPr>
            <w:r>
              <w:rPr>
                <w:rFonts w:ascii="Times New Roman" w:hAnsi="Times New Roman" w:cs="Times New Roman"/>
                <w:sz w:val="24"/>
              </w:rPr>
              <w:t>2420030214</w:t>
            </w:r>
          </w:p>
        </w:tc>
        <w:tc>
          <w:tcPr>
            <w:tcW w:w="3559" w:type="dxa"/>
          </w:tcPr>
          <w:p w14:paraId="01DA0A63">
            <w:pPr>
              <w:jc w:val="center"/>
            </w:pPr>
            <w:r>
              <w:rPr>
                <w:rFonts w:ascii="Times New Roman" w:hAnsi="Times New Roman" w:cs="Times New Roman"/>
                <w:sz w:val="24"/>
              </w:rPr>
              <w:t>Siddardha</w:t>
            </w:r>
          </w:p>
          <w:p w14:paraId="70C90BC7">
            <w:pPr>
              <w:jc w:val="center"/>
              <w:rPr>
                <w:rFonts w:ascii="Times New Roman" w:hAnsi="Times New Roman" w:cs="Times New Roman"/>
                <w:b/>
                <w:sz w:val="24"/>
                <w:vertAlign w:val="baseline"/>
              </w:rPr>
            </w:pPr>
          </w:p>
        </w:tc>
      </w:tr>
    </w:tbl>
    <w:p w14:paraId="1F6968AC"/>
    <w:p w14:paraId="6EE2BC67"/>
    <w:p w14:paraId="4C997DEE"/>
    <w:p w14:paraId="43EC3106"/>
    <w:p w14:paraId="59365774"/>
    <w:p w14:paraId="4350A3D6"/>
    <w:p w14:paraId="49304179"/>
    <w:p w14:paraId="38429D05"/>
    <w:p w14:paraId="5382C80C"/>
    <w:p w14:paraId="56EAD216"/>
    <w:p w14:paraId="7F4700AE"/>
    <w:p w14:paraId="1536F653"/>
    <w:p w14:paraId="594EB740"/>
    <w:p w14:paraId="2B5A2127"/>
    <w:p w14:paraId="43B3C69B"/>
    <w:p w14:paraId="7AFE9A0E"/>
    <w:p w14:paraId="6B79C999"/>
    <w:p w14:paraId="1244524D"/>
    <w:p w14:paraId="171F889A"/>
    <w:p w14:paraId="1464A0CE"/>
    <w:p w14:paraId="020881D9"/>
    <w:p w14:paraId="444A7416"/>
    <w:p w14:paraId="3C195D54"/>
    <w:p w14:paraId="51CE4842"/>
    <w:p w14:paraId="2D81B020"/>
    <w:p w14:paraId="6DFCE7EB"/>
    <w:p w14:paraId="7CC27E08"/>
    <w:p w14:paraId="34EC0944"/>
    <w:p w14:paraId="31364EF0"/>
    <w:p w14:paraId="62EF9904"/>
    <w:p w14:paraId="72B35757"/>
    <w:p w14:paraId="32D6349B"/>
    <w:p w14:paraId="4EB635E2"/>
    <w:p w14:paraId="40A8621F"/>
    <w:p w14:paraId="1E47DB07"/>
    <w:p w14:paraId="11AAC522"/>
    <w:p w14:paraId="28334BB9"/>
    <w:p w14:paraId="3052FD1D">
      <w:pPr>
        <w:jc w:val="center"/>
      </w:pPr>
      <w:r>
        <w:rPr>
          <w:rFonts w:ascii="Times New Roman" w:hAnsi="Times New Roman" w:cs="Times New Roman"/>
          <w:b/>
          <w:sz w:val="28"/>
        </w:rPr>
        <w:t>Abstract</w:t>
      </w:r>
    </w:p>
    <w:p w14:paraId="00B369DE">
      <w:pPr>
        <w:jc w:val="center"/>
      </w:pPr>
    </w:p>
    <w:p w14:paraId="2F358727">
      <w:pPr>
        <w:pStyle w:val="5"/>
        <w:keepNext w:val="0"/>
        <w:keepLines w:val="0"/>
        <w:widowControl/>
        <w:suppressLineNumbers w:val="0"/>
      </w:pPr>
      <w:r>
        <w:t>Modern software applications continuously generate large volumes of logs and operational data, making manual monitoring and incident investigation time-consuming and difficult. Identifying abnormal behavior and determining the root cause of an incident often requires engineers to examine large amounts of log information, which can lead to delayed detection and longer resolution times.</w:t>
      </w:r>
    </w:p>
    <w:p w14:paraId="565DD806">
      <w:pPr>
        <w:pStyle w:val="5"/>
        <w:keepNext w:val="0"/>
        <w:keepLines w:val="0"/>
        <w:widowControl/>
        <w:suppressLineNumbers w:val="0"/>
      </w:pPr>
      <w:r>
        <w:t xml:space="preserve">This project, </w:t>
      </w:r>
      <w:r>
        <w:rPr>
          <w:rStyle w:val="6"/>
        </w:rPr>
        <w:t>“AI-Driven DevOps Incident Prediction and Intelligent Root Cause Analysis System,”</w:t>
      </w:r>
      <w:r>
        <w:t xml:space="preserve"> proposes an AI-assisted approach for detecting potential DevOps incidents and analyzing their probable root causes. The system processes application and DevOps log data using </w:t>
      </w:r>
      <w:r>
        <w:rPr>
          <w:rStyle w:val="6"/>
        </w:rPr>
        <w:t>Python and Pandas</w:t>
      </w:r>
      <w:r>
        <w:t xml:space="preserve">, followed by machine learning-based anomaly detection using </w:t>
      </w:r>
      <w:r>
        <w:rPr>
          <w:rStyle w:val="6"/>
        </w:rPr>
        <w:t>Scikit-learn</w:t>
      </w:r>
      <w:r>
        <w:t xml:space="preserve"> to identify unusual operational patterns. When a potential incident is detected, relevant logs and anomaly information are passed to an AI investigation workflow. </w:t>
      </w:r>
      <w:r>
        <w:rPr>
          <w:rStyle w:val="6"/>
        </w:rPr>
        <w:t>LangGraph</w:t>
      </w:r>
      <w:r>
        <w:t xml:space="preserve"> is used to organize the investigation process, while the </w:t>
      </w:r>
      <w:r>
        <w:rPr>
          <w:rStyle w:val="6"/>
        </w:rPr>
        <w:t>Gemini API</w:t>
      </w:r>
      <w:r>
        <w:t xml:space="preserve"> analyzes the incident context and generates a probable root cause, supporting evidence, and suggested troubleshooting actions.</w:t>
      </w:r>
    </w:p>
    <w:p w14:paraId="054534D6">
      <w:pPr>
        <w:pStyle w:val="5"/>
        <w:keepNext w:val="0"/>
        <w:keepLines w:val="0"/>
        <w:widowControl/>
        <w:suppressLineNumbers w:val="0"/>
      </w:pPr>
      <w:r>
        <w:t xml:space="preserve">The results are presented through an interactive </w:t>
      </w:r>
      <w:r>
        <w:rPr>
          <w:rStyle w:val="6"/>
        </w:rPr>
        <w:t>Streamlit dashboard</w:t>
      </w:r>
      <w:r>
        <w:t xml:space="preserve">, allowing users to view detected anomalies, incident details, root-cause analysis, and recommended actions in a simple interface. </w:t>
      </w:r>
      <w:r>
        <w:rPr>
          <w:rStyle w:val="6"/>
        </w:rPr>
        <w:t>FastAPI</w:t>
      </w:r>
      <w:r>
        <w:t xml:space="preserve"> provides the backend communication layer, while </w:t>
      </w:r>
      <w:r>
        <w:rPr>
          <w:rStyle w:val="6"/>
        </w:rPr>
        <w:t>Docker</w:t>
      </w:r>
      <w:r>
        <w:t xml:space="preserve"> supports reproducible deployment and </w:t>
      </w:r>
      <w:r>
        <w:rPr>
          <w:rStyle w:val="6"/>
        </w:rPr>
        <w:t>GitHub Actions</w:t>
      </w:r>
      <w:r>
        <w:t xml:space="preserve"> can be used for CI/CD automation.</w:t>
      </w:r>
    </w:p>
    <w:p w14:paraId="47CA5C05">
      <w:pPr>
        <w:pStyle w:val="5"/>
        <w:keepNext w:val="0"/>
        <w:keepLines w:val="0"/>
        <w:widowControl/>
        <w:suppressLineNumbers w:val="0"/>
      </w:pPr>
      <w:r>
        <w:t xml:space="preserve">The proposed system combines </w:t>
      </w:r>
      <w:r>
        <w:rPr>
          <w:rStyle w:val="6"/>
        </w:rPr>
        <w:t>Machine Learning for anomaly detection</w:t>
      </w:r>
      <w:r>
        <w:t xml:space="preserve"> with </w:t>
      </w:r>
      <w:r>
        <w:rPr>
          <w:rStyle w:val="6"/>
        </w:rPr>
        <w:t>Generative AI for intelligent incident analysis</w:t>
      </w:r>
      <w:r>
        <w:t>, helping DevOps engineers reduce manual log investigation and obtain understandable, evidence-based insights. The system is designed as an academic prototype, and AI-generated root causes are treated as probable analyses that require human verification before any remediation action is taken.</w:t>
      </w:r>
    </w:p>
    <w:p w14:paraId="78F1FB67"/>
    <w:p w14:paraId="5D71EF79">
      <w:pPr>
        <w:jc w:val="center"/>
      </w:pPr>
    </w:p>
    <w:p w14:paraId="3C4C1163">
      <w:pPr>
        <w:jc w:val="center"/>
      </w:pPr>
    </w:p>
    <w:p w14:paraId="1D3781A1">
      <w:pPr>
        <w:jc w:val="center"/>
      </w:pPr>
    </w:p>
    <w:p w14:paraId="1F186F50">
      <w:pPr>
        <w:jc w:val="center"/>
      </w:pPr>
    </w:p>
    <w:p w14:paraId="7638987D">
      <w:pPr>
        <w:jc w:val="center"/>
      </w:pPr>
    </w:p>
    <w:p w14:paraId="311F4FBF">
      <w:pPr>
        <w:jc w:val="center"/>
      </w:pPr>
    </w:p>
    <w:p w14:paraId="3080EC65">
      <w:pPr>
        <w:jc w:val="center"/>
      </w:pPr>
    </w:p>
    <w:p w14:paraId="472C1E34">
      <w:pPr>
        <w:jc w:val="center"/>
      </w:pPr>
    </w:p>
    <w:p w14:paraId="4AFF4C77">
      <w:pPr>
        <w:jc w:val="center"/>
      </w:pPr>
    </w:p>
    <w:p w14:paraId="1E8800FB">
      <w:pPr>
        <w:jc w:val="center"/>
      </w:pPr>
    </w:p>
    <w:p w14:paraId="0D94BB89">
      <w:pPr>
        <w:jc w:val="center"/>
      </w:pPr>
    </w:p>
    <w:p w14:paraId="6E7A258B">
      <w:pPr>
        <w:jc w:val="center"/>
      </w:pPr>
    </w:p>
    <w:p w14:paraId="61B2423F">
      <w:pPr>
        <w:jc w:val="center"/>
      </w:pPr>
    </w:p>
    <w:p w14:paraId="475A595A">
      <w:pPr>
        <w:jc w:val="center"/>
      </w:pPr>
    </w:p>
    <w:p w14:paraId="7E9EC214">
      <w:pPr>
        <w:jc w:val="center"/>
      </w:pPr>
    </w:p>
    <w:p w14:paraId="4DDE6288">
      <w:pPr>
        <w:jc w:val="center"/>
      </w:pPr>
    </w:p>
    <w:p w14:paraId="0C50969E">
      <w:pPr>
        <w:jc w:val="center"/>
      </w:pPr>
    </w:p>
    <w:p w14:paraId="0CD2A0DF">
      <w:pPr>
        <w:jc w:val="center"/>
      </w:pPr>
    </w:p>
    <w:p w14:paraId="61D3F999">
      <w:pPr>
        <w:jc w:val="center"/>
      </w:pPr>
    </w:p>
    <w:p w14:paraId="3F7095C4">
      <w:pPr>
        <w:jc w:val="center"/>
      </w:pPr>
    </w:p>
    <w:p w14:paraId="7D6EB802">
      <w:pPr>
        <w:jc w:val="center"/>
      </w:pPr>
    </w:p>
    <w:p w14:paraId="79E929FD">
      <w:r>
        <w:rPr>
          <w:rFonts w:ascii="Times New Roman" w:hAnsi="Times New Roman" w:cs="Times New Roman"/>
          <w:sz w:val="28"/>
        </w:rPr>
        <w:t>Signature of the Guide</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hint="default" w:ascii="Times New Roman" w:hAnsi="Times New Roman" w:cs="Times New Roman"/>
          <w:sz w:val="28"/>
          <w:lang w:val="en-US"/>
        </w:rPr>
        <w:tab/>
        <w:t/>
      </w:r>
      <w:r>
        <w:rPr>
          <w:rFonts w:hint="default" w:ascii="Times New Roman" w:hAnsi="Times New Roman" w:cs="Times New Roman"/>
          <w:sz w:val="28"/>
          <w:lang w:val="en-US"/>
        </w:rPr>
        <w:tab/>
      </w:r>
      <w:r>
        <w:rPr>
          <w:rFonts w:ascii="Times New Roman" w:hAnsi="Times New Roman" w:cs="Times New Roman"/>
          <w:sz w:val="28"/>
        </w:rPr>
        <w:tab/>
      </w:r>
      <w:bookmarkStart w:id="0" w:name="_GoBack"/>
      <w:bookmarkEnd w:id="0"/>
      <w:r>
        <w:rPr>
          <w:rFonts w:ascii="Times New Roman" w:hAnsi="Times New Roman" w:cs="Times New Roman"/>
          <w:sz w:val="28"/>
        </w:rPr>
        <w:t>HOD</w:t>
      </w:r>
    </w:p>
    <w:sectPr>
      <w:pgSz w:w="11900" w:h="16840"/>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SimSun">
    <w:altName w:val="宋体-简"/>
    <w:panose1 w:val="02010600030101010101"/>
    <w:charset w:val="86"/>
    <w:family w:val="roman"/>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splitPgBreakAndParaMark/>
    <w:compatSetting w:name="compatibilityMode" w:uri="http://schemas.microsoft.com/office/word" w:val="12"/>
  </w:compat>
  <w:rsids>
    <w:rsidRoot w:val="00000000"/>
    <w:rsid w:val="7C7E6F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1</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2026-09-22T12:07:43Z</dcterms:created>
  <dc:creator>Venkateswara Rao Katevarapu</dc:creator>
  <cp:lastModifiedBy>Rithvik GAMING</cp:lastModifiedBy>
  <dcterms:modified xsi:type="dcterms:W3CDTF">2026-09-22T12:11:45Z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114CAC00C36A4C722923B26A281DD790_42</vt:lpwstr>
  </property>
</Properties>
</file>