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w:body>
    <w:p>
      <w:pPr>
        <w:jc w:val="center"/>
        <w:spacing w:before="0" w:after="140" w:line="300" w:lineRule="auto"/>
      </w:pPr>
      <w:r>
        <w:rPr>
          <w:rFonts w:ascii="Times New Roman" w:hAnsi="Times New Roman" w:cs="Times New Roman"/>
          <w:sz w:val="28"/>
          <w:szCs w:val="28"/>
          <w:b/>
        </w:rPr>
        <w:t xml:space="preserve">TrustSecAI: Context-Aware Security Incident Analysis using GraphRAG and Explainable AI</w:t>
      </w:r>
    </w:p>
    <w:p>
      <w:pPr>
        <w:jc w:val="center"/>
        <w:spacing w:before="0" w:after="40" w:line="240" w:lineRule="auto"/>
      </w:pPr>
      <w:r>
        <w:rPr>
          <w:rFonts w:ascii="Times New Roman" w:hAnsi="Times New Roman" w:cs="Times New Roman"/>
          <w:sz w:val="21"/>
          <w:szCs w:val="21"/>
        </w:rPr>
        <w:t xml:space="preserve">Rithvik H</w:t>
      </w:r>
    </w:p>
    <w:p>
      <w:pPr>
        <w:jc w:val="center"/>
        <w:spacing w:before="0" w:after="20" w:line="240" w:lineRule="auto"/>
      </w:pPr>
      <w:r>
        <w:rPr>
          <w:rFonts w:ascii="Times New Roman" w:hAnsi="Times New Roman" w:cs="Times New Roman"/>
          <w:sz w:val="19"/>
          <w:szCs w:val="19"/>
        </w:rPr>
        <w:t xml:space="preserve">Department of Computer Science and Engineering</w:t>
      </w:r>
    </w:p>
    <w:p>
      <w:pPr>
        <w:jc w:val="center"/>
        <w:spacing w:before="0" w:after="20" w:line="240" w:lineRule="auto"/>
      </w:pPr>
      <w:r>
        <w:rPr>
          <w:rFonts w:ascii="Times New Roman" w:hAnsi="Times New Roman" w:cs="Times New Roman"/>
          <w:sz w:val="19"/>
          <w:szCs w:val="19"/>
        </w:rPr>
        <w:t xml:space="preserve">PES University, Bengaluru, India</w:t>
      </w:r>
    </w:p>
    <w:p>
      <w:pPr>
        <w:jc w:val="center"/>
        <w:spacing w:before="0" w:after="80" w:line="240" w:lineRule="auto"/>
      </w:pPr>
      <w:r>
        <w:rPr>
          <w:rFonts w:ascii="Times New Roman" w:hAnsi="Times New Roman" w:cs="Times New Roman"/>
          <w:sz w:val="19"/>
          <w:szCs w:val="19"/>
        </w:rPr>
        <w:t xml:space="preserve">SRN: PES2UG23CS484</w:t>
      </w:r>
    </w:p>
    <w:p>
      <w:pPr>
        <w:jc w:val="center"/>
        <w:spacing w:before="0" w:after="160" w:line="240" w:lineRule="auto"/>
      </w:pPr>
      <w:r>
        <w:rPr>
          <w:rFonts w:ascii="Times New Roman" w:hAnsi="Times New Roman" w:cs="Times New Roman"/>
          <w:sz w:val="18"/>
          <w:szCs w:val="18"/>
          <w:i/>
        </w:rPr>
        <w:t xml:space="preserve">Project Note: Mentored by Dr. Nazmin Begum, Center of Cognitive Computing and Computational Intelligence.</w:t>
      </w:r>
    </w:p>
    <w:p>
      <w:pPr>
        <w:jc w:val="center"/>
        <w:spacing w:before="120" w:after="70" w:line="240" w:lineRule="auto"/>
      </w:pPr>
      <w:r>
        <w:rPr>
          <w:rFonts w:ascii="Times New Roman" w:hAnsi="Times New Roman" w:cs="Times New Roman"/>
          <w:sz w:val="20"/>
          <w:szCs w:val="20"/>
          <w:b/>
        </w:rPr>
        <w:t xml:space="preserve">Abstract</w:t>
      </w:r>
    </w:p>
    <w:p>
      <w:pPr>
        <w:spacing w:before="0" w:after="120" w:line="240" w:lineRule="auto"/>
      </w:pPr>
      <w:r>
        <w:rPr>
          <w:rFonts w:ascii="Times New Roman" w:hAnsi="Times New Roman" w:cs="Times New Roman"/>
          <w:sz w:val="19"/>
          <w:szCs w:val="19"/>
        </w:rPr>
        <w:t xml:space="preserve">Security Operations Center (SOC) analysts often receive large volumes of intrusion detection alerts that identify suspicious traffic but provide limited context for triage, explanation, and response. TrustSecAI addresses this problem by combining machine learning-based intrusion detection, explainable AI, graph-based threat intelligence retrieval, and a LoRA-adapted large language model to generate contextual security incident assessments. The system uses CICIDS2017 for IDS preprocessing and binary attack detection, XGBoost as the primary classifier, SHAP for local model explanations, Neo4j for a cybersecurity knowledge graph built from MITRE ATT&amp;CK, CAPEC, CWE, NVD/CVE, and CPE/product context, and deterministic GraphRAG retrieval to supply grounded context to a fine-tuned Llama 3.1 8B Instruct model. The LLM output is treated as a secondary assessment rather than ground truth. The final system also includes classifier-vs-LLM agreement analysis, graph-backed defensive attack-chain prediction with static fallback, and an offline Streamlit demo UI. XGBoost achieved strong random-split performance with F1 0.997546 and ROC-AUC 0.999982; however, day-aware validation dropped to F1 0.532115 and ROC-AUC 0.788955, exposing distribution shift. LoRA v1 training completed successfully with train loss 0.173604, eval loss 0.132792, and eval mean token accuracy 0.982005. Compact held-out LoRA evaluation produced a non-empty output rate of 1.0, error rate of 0.0, metadata coverage of 1.0, and JSON parse rate of 0.8289. These results show that TrustSecAI can transform IDS alerts into explainable and graph-grounded SOC reports while preserving uncertainty and evidence limitations.</w:t>
      </w:r>
    </w:p>
    <w:p>
      <w:pPr>
        <w:spacing w:before="0" w:after="120" w:line="240" w:lineRule="auto"/>
      </w:pPr>
      <w:r>
        <w:rPr>
          <w:rFonts w:ascii="Times New Roman" w:hAnsi="Times New Roman" w:cs="Times New Roman"/>
          <w:sz w:val="18"/>
          <w:szCs w:val="18"/>
          <w:i/>
        </w:rPr>
        <w:t xml:space="preserve">Keywords - Intrusion Detection, Explainable AI, SHAP, GraphRAG, Neo4j, MITRE ATT&amp;CK, CAPEC, CWE, NVD, LoRA, Llama 3.1, SOC Automation, Cybersecurity Knowledge Graph</w:t>
      </w:r>
    </w:p>
    <w:p>
      <w:pPr>
        <w:sectPr>
          <w:type w:val="continuous"/>
          <w:pgSz w:w="11906" w:h="16838"/>
          <w:pgMar w:top="720" w:right="720" w:bottom="720" w:left="720" w:header="360" w:footer="360" w:gutter="0"/>
          <w:cols w:num="2" w:space="360"/>
        </w:sectPr>
      </w:pPr>
    </w:p>
    <w:p>
      <w:pPr>
        <w:jc w:val="center"/>
        <w:spacing w:before="180" w:after="100" w:line="240" w:lineRule="auto"/>
      </w:pPr>
      <w:r>
        <w:rPr>
          <w:rFonts w:ascii="Times New Roman" w:hAnsi="Times New Roman" w:cs="Times New Roman"/>
          <w:sz w:val="20"/>
          <w:szCs w:val="20"/>
          <w:b/>
        </w:rPr>
        <w:t xml:space="preserve">I. Introduction</w:t>
      </w:r>
    </w:p>
    <w:p>
      <w:pPr>
        <w:spacing w:before="0" w:after="80" w:line="240" w:lineRule="auto"/>
      </w:pPr>
      <w:r>
        <w:rPr>
          <w:rFonts w:ascii="Times New Roman" w:hAnsi="Times New Roman" w:cs="Times New Roman"/>
          <w:sz w:val="19"/>
          <w:szCs w:val="19"/>
        </w:rPr>
        <w:t xml:space="preserve">Modern network intrusion detection systems produce high-volume alerts that require rapid interpretation by SOC analysts. Traditional IDS alerts may indicate whether traffic is benign or malicious, but they often lack the contextual intelligence needed to explain why an alert was produced, how it maps to adversary behavior, what vulnerabilities may be relevant, and what defensive response should be prioritized.</w:t>
      </w:r>
    </w:p>
    <w:p>
      <w:pPr>
        <w:spacing w:before="0" w:after="80" w:line="240" w:lineRule="auto"/>
      </w:pPr>
      <w:r>
        <w:rPr>
          <w:rFonts w:ascii="Times New Roman" w:hAnsi="Times New Roman" w:cs="Times New Roman"/>
          <w:sz w:val="19"/>
          <w:szCs w:val="19"/>
        </w:rPr>
        <w:t xml:space="preserve">TrustSecAI integrates an XGBoost-based IDS classifier, SHAP explainability, a Neo4j threat intelligence graph, deterministic GraphRAG retrieval, and a LoRA-adapted Llama 3.1 8B Instruct model. The classifier remains the primary detector, while the LLM acts as a secondary analyst that summarizes supplied evidence. The system explicitly avoids treating graph context as proof of compromise or attribution.</w:t>
      </w:r>
    </w:p>
    <w:p>
      <w:pPr>
        <w:jc w:val="center"/>
        <w:spacing w:before="180" w:after="100" w:line="240" w:lineRule="auto"/>
      </w:pPr>
      <w:r>
        <w:rPr>
          <w:rFonts w:ascii="Times New Roman" w:hAnsi="Times New Roman" w:cs="Times New Roman"/>
          <w:sz w:val="20"/>
          <w:szCs w:val="20"/>
          <w:b/>
        </w:rPr>
        <w:t xml:space="preserve">II. Literature Survey and Research Gap</w:t>
      </w:r>
    </w:p>
    <w:tbl>
      <w:tblPr>
        <w:tblStyle w:val="TableGrid"/>
        <w:tblW w:w="0" w:type="auto"/>
        <w:tblCellMar>
          <w:top w:w="50" w:type="dxa"/>
          <w:left w:w="50" w:type="dxa"/>
          <w:bottom w:w="50" w:type="dxa"/>
          <w:right w:w="50"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700"/>
        <w:gridCol w:w="2250"/>
        <w:gridCol w:w="3350"/>
      </w:tblGrid>
      <w:tr>
        <w:tc>
          <w:tcPr>
            <w:tcW w:w="1700" w:type="dxa"/>
            <w:shd w:fill="D9EAF7"/>
          </w:tcPr>
          <w:p>
            <w:pPr>
              <w:spacing w:before="0" w:after="20" w:line="210" w:lineRule="auto"/>
            </w:pPr>
            <w:r>
              <w:rPr>
                <w:rFonts w:ascii="Times New Roman" w:hAnsi="Times New Roman" w:cs="Times New Roman"/>
                <w:sz w:val="15"/>
                <w:szCs w:val="15"/>
                <w:b/>
              </w:rPr>
              <w:t xml:space="preserve">Area</w:t>
            </w:r>
          </w:p>
        </w:tc>
        <w:tc>
          <w:tcPr>
            <w:tcW w:w="2250" w:type="dxa"/>
            <w:shd w:fill="D9EAF7"/>
          </w:tcPr>
          <w:p>
            <w:pPr>
              <w:spacing w:before="0" w:after="20" w:line="210" w:lineRule="auto"/>
            </w:pPr>
            <w:r>
              <w:rPr>
                <w:rFonts w:ascii="Times New Roman" w:hAnsi="Times New Roman" w:cs="Times New Roman"/>
                <w:sz w:val="15"/>
                <w:szCs w:val="15"/>
                <w:b/>
              </w:rPr>
              <w:t xml:space="preserve">Limitation</w:t>
            </w:r>
          </w:p>
        </w:tc>
        <w:tc>
          <w:tcPr>
            <w:tcW w:w="3350" w:type="dxa"/>
            <w:shd w:fill="D9EAF7"/>
          </w:tcPr>
          <w:p>
            <w:pPr>
              <w:spacing w:before="0" w:after="20" w:line="210" w:lineRule="auto"/>
            </w:pPr>
            <w:r>
              <w:rPr>
                <w:rFonts w:ascii="Times New Roman" w:hAnsi="Times New Roman" w:cs="Times New Roman"/>
                <w:sz w:val="15"/>
                <w:szCs w:val="15"/>
                <w:b/>
              </w:rPr>
              <w:t xml:space="preserve">TrustSecAI Contribution</w:t>
            </w:r>
          </w:p>
        </w:tc>
      </w:tr>
      <w:tr>
        <w:tc>
          <w:tcPr>
            <w:tcW w:w="1700" w:type="dxa"/>
          </w:tcPr>
          <w:p>
            <w:pPr>
              <w:spacing w:before="0" w:after="20" w:line="210" w:lineRule="auto"/>
            </w:pPr>
            <w:r>
              <w:rPr>
                <w:rFonts w:ascii="Times New Roman" w:hAnsi="Times New Roman" w:cs="Times New Roman"/>
                <w:sz w:val="15"/>
                <w:szCs w:val="15"/>
              </w:rPr>
              <w:t xml:space="preserve">ML IDS</w:t>
            </w:r>
          </w:p>
        </w:tc>
        <w:tc>
          <w:tcPr>
            <w:tcW w:w="2250" w:type="dxa"/>
          </w:tcPr>
          <w:p>
            <w:pPr>
              <w:spacing w:before="0" w:after="20" w:line="210" w:lineRule="auto"/>
            </w:pPr>
            <w:r>
              <w:rPr>
                <w:rFonts w:ascii="Times New Roman" w:hAnsi="Times New Roman" w:cs="Times New Roman"/>
                <w:sz w:val="15"/>
                <w:szCs w:val="15"/>
              </w:rPr>
              <w:t xml:space="preserve">Stops at detection</w:t>
            </w:r>
          </w:p>
        </w:tc>
        <w:tc>
          <w:tcPr>
            <w:tcW w:w="3350" w:type="dxa"/>
          </w:tcPr>
          <w:p>
            <w:pPr>
              <w:spacing w:before="0" w:after="20" w:line="210" w:lineRule="auto"/>
            </w:pPr>
            <w:r>
              <w:rPr>
                <w:rFonts w:ascii="Times New Roman" w:hAnsi="Times New Roman" w:cs="Times New Roman"/>
                <w:sz w:val="15"/>
                <w:szCs w:val="15"/>
              </w:rPr>
              <w:t xml:space="preserve">XGBoost + validation</w:t>
            </w:r>
          </w:p>
        </w:tc>
      </w:tr>
      <w:tr>
        <w:tc>
          <w:tcPr>
            <w:tcW w:w="1700" w:type="dxa"/>
          </w:tcPr>
          <w:p>
            <w:pPr>
              <w:spacing w:before="0" w:after="20" w:line="210" w:lineRule="auto"/>
            </w:pPr>
            <w:r>
              <w:rPr>
                <w:rFonts w:ascii="Times New Roman" w:hAnsi="Times New Roman" w:cs="Times New Roman"/>
                <w:sz w:val="15"/>
                <w:szCs w:val="15"/>
              </w:rPr>
              <w:t xml:space="preserve">XAI</w:t>
            </w:r>
          </w:p>
        </w:tc>
        <w:tc>
          <w:tcPr>
            <w:tcW w:w="2250" w:type="dxa"/>
          </w:tcPr>
          <w:p>
            <w:pPr>
              <w:spacing w:before="0" w:after="20" w:line="210" w:lineRule="auto"/>
            </w:pPr>
            <w:r>
              <w:rPr>
                <w:rFonts w:ascii="Times New Roman" w:hAnsi="Times New Roman" w:cs="Times New Roman"/>
                <w:sz w:val="15"/>
                <w:szCs w:val="15"/>
              </w:rPr>
              <w:t xml:space="preserve">Explains but lacks context</w:t>
            </w:r>
          </w:p>
        </w:tc>
        <w:tc>
          <w:tcPr>
            <w:tcW w:w="3350" w:type="dxa"/>
          </w:tcPr>
          <w:p>
            <w:pPr>
              <w:spacing w:before="0" w:after="20" w:line="210" w:lineRule="auto"/>
            </w:pPr>
            <w:r>
              <w:rPr>
                <w:rFonts w:ascii="Times New Roman" w:hAnsi="Times New Roman" w:cs="Times New Roman"/>
                <w:sz w:val="15"/>
                <w:szCs w:val="15"/>
              </w:rPr>
              <w:t xml:space="preserve">SHAP + graph context</w:t>
            </w:r>
          </w:p>
        </w:tc>
      </w:tr>
      <w:tr>
        <w:tc>
          <w:tcPr>
            <w:tcW w:w="1700" w:type="dxa"/>
          </w:tcPr>
          <w:p>
            <w:pPr>
              <w:spacing w:before="0" w:after="20" w:line="210" w:lineRule="auto"/>
            </w:pPr>
            <w:r>
              <w:rPr>
                <w:rFonts w:ascii="Times New Roman" w:hAnsi="Times New Roman" w:cs="Times New Roman"/>
                <w:sz w:val="15"/>
                <w:szCs w:val="15"/>
              </w:rPr>
              <w:t xml:space="preserve">Threat KGs</w:t>
            </w:r>
          </w:p>
        </w:tc>
        <w:tc>
          <w:tcPr>
            <w:tcW w:w="2250" w:type="dxa"/>
          </w:tcPr>
          <w:p>
            <w:pPr>
              <w:spacing w:before="0" w:after="20" w:line="210" w:lineRule="auto"/>
            </w:pPr>
            <w:r>
              <w:rPr>
                <w:rFonts w:ascii="Times New Roman" w:hAnsi="Times New Roman" w:cs="Times New Roman"/>
                <w:sz w:val="15"/>
                <w:szCs w:val="15"/>
              </w:rPr>
              <w:t xml:space="preserve">Separate from IDS</w:t>
            </w:r>
          </w:p>
        </w:tc>
        <w:tc>
          <w:tcPr>
            <w:tcW w:w="3350" w:type="dxa"/>
          </w:tcPr>
          <w:p>
            <w:pPr>
              <w:spacing w:before="0" w:after="20" w:line="210" w:lineRule="auto"/>
            </w:pPr>
            <w:r>
              <w:rPr>
                <w:rFonts w:ascii="Times New Roman" w:hAnsi="Times New Roman" w:cs="Times New Roman"/>
                <w:sz w:val="15"/>
                <w:szCs w:val="15"/>
              </w:rPr>
              <w:t xml:space="preserve">Neo4j ATT&amp;CK/CAPEC/CWE/CVE</w:t>
            </w:r>
          </w:p>
        </w:tc>
      </w:tr>
      <w:tr>
        <w:tc>
          <w:tcPr>
            <w:tcW w:w="1700" w:type="dxa"/>
          </w:tcPr>
          <w:p>
            <w:pPr>
              <w:spacing w:before="0" w:after="20" w:line="210" w:lineRule="auto"/>
            </w:pPr>
            <w:r>
              <w:rPr>
                <w:rFonts w:ascii="Times New Roman" w:hAnsi="Times New Roman" w:cs="Times New Roman"/>
                <w:sz w:val="15"/>
                <w:szCs w:val="15"/>
              </w:rPr>
              <w:t xml:space="preserve">RAG/GraphRAG</w:t>
            </w:r>
          </w:p>
        </w:tc>
        <w:tc>
          <w:tcPr>
            <w:tcW w:w="2250" w:type="dxa"/>
          </w:tcPr>
          <w:p>
            <w:pPr>
              <w:spacing w:before="0" w:after="20" w:line="210" w:lineRule="auto"/>
            </w:pPr>
            <w:r>
              <w:rPr>
                <w:rFonts w:ascii="Times New Roman" w:hAnsi="Times New Roman" w:cs="Times New Roman"/>
                <w:sz w:val="15"/>
                <w:szCs w:val="15"/>
              </w:rPr>
              <w:t xml:space="preserve">Grounding risk</w:t>
            </w:r>
          </w:p>
        </w:tc>
        <w:tc>
          <w:tcPr>
            <w:tcW w:w="3350" w:type="dxa"/>
          </w:tcPr>
          <w:p>
            <w:pPr>
              <w:spacing w:before="0" w:after="20" w:line="210" w:lineRule="auto"/>
            </w:pPr>
            <w:r>
              <w:rPr>
                <w:rFonts w:ascii="Times New Roman" w:hAnsi="Times New Roman" w:cs="Times New Roman"/>
                <w:sz w:val="15"/>
                <w:szCs w:val="15"/>
              </w:rPr>
              <w:t xml:space="preserve">Deterministic retrieval</w:t>
            </w:r>
          </w:p>
        </w:tc>
      </w:tr>
      <w:tr>
        <w:tc>
          <w:tcPr>
            <w:tcW w:w="1700" w:type="dxa"/>
          </w:tcPr>
          <w:p>
            <w:pPr>
              <w:spacing w:before="0" w:after="20" w:line="210" w:lineRule="auto"/>
            </w:pPr>
            <w:r>
              <w:rPr>
                <w:rFonts w:ascii="Times New Roman" w:hAnsi="Times New Roman" w:cs="Times New Roman"/>
                <w:sz w:val="15"/>
                <w:szCs w:val="15"/>
              </w:rPr>
              <w:t xml:space="preserve">LLM summaries</w:t>
            </w:r>
          </w:p>
        </w:tc>
        <w:tc>
          <w:tcPr>
            <w:tcW w:w="2250" w:type="dxa"/>
          </w:tcPr>
          <w:p>
            <w:pPr>
              <w:spacing w:before="0" w:after="20" w:line="210" w:lineRule="auto"/>
            </w:pPr>
            <w:r>
              <w:rPr>
                <w:rFonts w:ascii="Times New Roman" w:hAnsi="Times New Roman" w:cs="Times New Roman"/>
                <w:sz w:val="15"/>
                <w:szCs w:val="15"/>
              </w:rPr>
              <w:t xml:space="preserve">May hallucinate</w:t>
            </w:r>
          </w:p>
        </w:tc>
        <w:tc>
          <w:tcPr>
            <w:tcW w:w="3350" w:type="dxa"/>
          </w:tcPr>
          <w:p>
            <w:pPr>
              <w:spacing w:before="0" w:after="20" w:line="210" w:lineRule="auto"/>
            </w:pPr>
            <w:r>
              <w:rPr>
                <w:rFonts w:ascii="Times New Roman" w:hAnsi="Times New Roman" w:cs="Times New Roman"/>
                <w:sz w:val="15"/>
                <w:szCs w:val="15"/>
              </w:rPr>
              <w:t xml:space="preserve">LoRA secondary assessment</w:t>
            </w:r>
          </w:p>
        </w:tc>
      </w:tr>
    </w:tbl>
    <w:p>
      <w:pPr>
        <w:spacing w:before="0" w:after="90" w:line="240" w:lineRule="auto"/>
      </w:pPr>
      <w:r>
        <w:rPr>
          <w:rFonts w:ascii="Times New Roman" w:hAnsi="Times New Roman" w:cs="Times New Roman"/>
          <w:sz w:val="20"/>
          <w:szCs w:val="20"/>
        </w:rPr>
        <w:t xml:space="preserve"/>
      </w:r>
    </w:p>
    <w:p>
      <w:pPr>
        <w:spacing w:before="0" w:after="80" w:line="240" w:lineRule="auto"/>
      </w:pPr>
      <w:r>
        <w:rPr>
          <w:rFonts w:ascii="Times New Roman" w:hAnsi="Times New Roman" w:cs="Times New Roman"/>
          <w:sz w:val="19"/>
          <w:szCs w:val="19"/>
        </w:rPr>
        <w:t xml:space="preserve">The research gap addressed by TrustSecAI is the integration of IDS detection, XAI explanations, graph-based cyber threat context, domain-adapted LLM assessment, classifier-vs-LLM agreement analysis, and defensive attack-chain prediction into a single reproducible SOC-assistance pipeline.</w:t>
      </w:r>
    </w:p>
    <w:p>
      <w:pPr>
        <w:jc w:val="center"/>
        <w:spacing w:before="180" w:after="100" w:line="240" w:lineRule="auto"/>
      </w:pPr>
      <w:r>
        <w:rPr>
          <w:rFonts w:ascii="Times New Roman" w:hAnsi="Times New Roman" w:cs="Times New Roman"/>
          <w:sz w:val="20"/>
          <w:szCs w:val="20"/>
          <w:b/>
        </w:rPr>
        <w:t xml:space="preserve">III. Problem Statement</w:t>
      </w:r>
    </w:p>
    <w:p>
      <w:pPr>
        <w:spacing w:before="0" w:after="80" w:line="240" w:lineRule="auto"/>
      </w:pPr>
      <w:r>
        <w:rPr>
          <w:rFonts w:ascii="Times New Roman" w:hAnsi="Times New Roman" w:cs="Times New Roman"/>
          <w:sz w:val="19"/>
          <w:szCs w:val="19"/>
        </w:rPr>
        <w:t xml:space="preserve">Given a network-flow IDS alert, TrustSecAI aims to generate a contextual and explainable security assessment that answers:</w:t>
      </w:r>
    </w:p>
    <w:p>
      <w:pPr>
        <w:spacing w:before="0" w:after="45" w:line="230" w:lineRule="auto"/>
      </w:pPr>
      <w:r>
        <w:rPr>
          <w:rFonts w:ascii="Times New Roman" w:hAnsi="Times New Roman" w:cs="Times New Roman"/>
          <w:sz w:val="19"/>
          <w:szCs w:val="19"/>
        </w:rPr>
        <w:t xml:space="preserve">- What did the IDS classifier predict?</w:t>
      </w:r>
    </w:p>
    <w:p>
      <w:pPr>
        <w:spacing w:before="0" w:after="45" w:line="230" w:lineRule="auto"/>
      </w:pPr>
      <w:r>
        <w:rPr>
          <w:rFonts w:ascii="Times New Roman" w:hAnsi="Times New Roman" w:cs="Times New Roman"/>
          <w:sz w:val="19"/>
          <w:szCs w:val="19"/>
        </w:rPr>
        <w:t xml:space="preserve">- Which flow features influenced the prediction?</w:t>
      </w:r>
    </w:p>
    <w:p>
      <w:pPr>
        <w:spacing w:before="0" w:after="45" w:line="230" w:lineRule="auto"/>
      </w:pPr>
      <w:r>
        <w:rPr>
          <w:rFonts w:ascii="Times New Roman" w:hAnsi="Times New Roman" w:cs="Times New Roman"/>
          <w:sz w:val="19"/>
          <w:szCs w:val="19"/>
        </w:rPr>
        <w:t xml:space="preserve">- Which ATT&amp;CK, CAPEC, CWE, CVE, or product context is relevant?</w:t>
      </w:r>
    </w:p>
    <w:p>
      <w:pPr>
        <w:spacing w:before="0" w:after="45" w:line="230" w:lineRule="auto"/>
      </w:pPr>
      <w:r>
        <w:rPr>
          <w:rFonts w:ascii="Times New Roman" w:hAnsi="Times New Roman" w:cs="Times New Roman"/>
          <w:sz w:val="19"/>
          <w:szCs w:val="19"/>
        </w:rPr>
        <w:t xml:space="preserve">- What does the LoRA-adapted LLM conclude from the supplied evidence?</w:t>
      </w:r>
    </w:p>
    <w:p>
      <w:pPr>
        <w:spacing w:before="0" w:after="45" w:line="230" w:lineRule="auto"/>
      </w:pPr>
      <w:r>
        <w:rPr>
          <w:rFonts w:ascii="Times New Roman" w:hAnsi="Times New Roman" w:cs="Times New Roman"/>
          <w:sz w:val="19"/>
          <w:szCs w:val="19"/>
        </w:rPr>
        <w:t xml:space="preserve">- Does the LLM assessment align with the classifier?</w:t>
      </w:r>
    </w:p>
    <w:p>
      <w:pPr>
        <w:spacing w:before="0" w:after="45" w:line="230" w:lineRule="auto"/>
      </w:pPr>
      <w:r>
        <w:rPr>
          <w:rFonts w:ascii="Times New Roman" w:hAnsi="Times New Roman" w:cs="Times New Roman"/>
          <w:sz w:val="19"/>
          <w:szCs w:val="19"/>
        </w:rPr>
        <w:t xml:space="preserve">- What bounded defensive investigation pivots should be considered next?</w:t>
      </w:r>
    </w:p>
    <w:p>
      <w:pPr>
        <w:spacing w:before="0" w:after="80" w:line="240" w:lineRule="auto"/>
      </w:pPr>
      <w:r>
        <w:rPr>
          <w:rFonts w:ascii="Times New Roman" w:hAnsi="Times New Roman" w:cs="Times New Roman"/>
          <w:sz w:val="19"/>
          <w:szCs w:val="19"/>
        </w:rPr>
        <w:t xml:space="preserve">The system must avoid unsupported claims. LLM output is not ground truth. Graph context is contextual intelligence, not proof of compromise or attribution. Attack-chain output is defensive investigation prioritization, not offensive guidance.</w:t>
      </w:r>
    </w:p>
    <w:p>
      <w:pPr>
        <w:jc w:val="center"/>
        <w:spacing w:before="180" w:after="100" w:line="240" w:lineRule="auto"/>
      </w:pPr>
      <w:r>
        <w:rPr>
          <w:rFonts w:ascii="Times New Roman" w:hAnsi="Times New Roman" w:cs="Times New Roman"/>
          <w:sz w:val="20"/>
          <w:szCs w:val="20"/>
          <w:b/>
        </w:rPr>
        <w:t xml:space="preserve">IV. Dataset and Preprocessing</w:t>
      </w:r>
    </w:p>
    <w:p>
      <w:pPr>
        <w:spacing w:before="0" w:after="80" w:line="240" w:lineRule="auto"/>
      </w:pPr>
      <w:r>
        <w:rPr>
          <w:rFonts w:ascii="Times New Roman" w:hAnsi="Times New Roman" w:cs="Times New Roman"/>
          <w:sz w:val="19"/>
          <w:szCs w:val="19"/>
        </w:rPr>
        <w:t xml:space="preserve">The primary IDS dataset is CICIDS2017. The preprocessing pipeline loads and concatenates all CICIDS2017 CSV files, normalizes column names, resolves duplicate columns such as Fwd Header Length, normalizes labels, converts features to numeric values, replaces infinite values with nulls, removes invalid rows, preserves multiclass labels, and creates a binary target label where BENIGN is mapped to 0 and all attacks are mapped to 1.</w:t>
      </w:r>
    </w:p>
    <w:tbl>
      <w:tblPr>
        <w:tblStyle w:val="TableGrid"/>
        <w:tblW w:w="0" w:type="auto"/>
        <w:tblCellMar>
          <w:top w:w="50" w:type="dxa"/>
          <w:left w:w="50" w:type="dxa"/>
          <w:bottom w:w="50" w:type="dxa"/>
          <w:right w:w="50"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4300"/>
      </w:tblGrid>
      <w:tr>
        <w:tc>
          <w:tcPr>
            <w:tcW w:w="3000" w:type="dxa"/>
            <w:shd w:fill="D9EAF7"/>
          </w:tcPr>
          <w:p>
            <w:pPr>
              <w:spacing w:before="0" w:after="20" w:line="210" w:lineRule="auto"/>
            </w:pPr>
            <w:r>
              <w:rPr>
                <w:rFonts w:ascii="Times New Roman" w:hAnsi="Times New Roman" w:cs="Times New Roman"/>
                <w:sz w:val="16"/>
                <w:szCs w:val="16"/>
                <w:b/>
              </w:rPr>
              <w:t xml:space="preserve">Dataset Item</w:t>
            </w:r>
          </w:p>
        </w:tc>
        <w:tc>
          <w:tcPr>
            <w:tcW w:w="4300" w:type="dxa"/>
            <w:shd w:fill="D9EAF7"/>
          </w:tcPr>
          <w:p>
            <w:pPr>
              <w:spacing w:before="0" w:after="20" w:line="210" w:lineRule="auto"/>
            </w:pPr>
            <w:r>
              <w:rPr>
                <w:rFonts w:ascii="Times New Roman" w:hAnsi="Times New Roman" w:cs="Times New Roman"/>
                <w:sz w:val="16"/>
                <w:szCs w:val="16"/>
                <w:b/>
              </w:rPr>
              <w:t xml:space="preserve">Value</w:t>
            </w:r>
          </w:p>
        </w:tc>
      </w:tr>
      <w:tr>
        <w:tc>
          <w:tcPr>
            <w:tcW w:w="3000" w:type="dxa"/>
          </w:tcPr>
          <w:p>
            <w:pPr>
              <w:spacing w:before="0" w:after="20" w:line="210" w:lineRule="auto"/>
            </w:pPr>
            <w:r>
              <w:rPr>
                <w:rFonts w:ascii="Times New Roman" w:hAnsi="Times New Roman" w:cs="Times New Roman"/>
                <w:sz w:val="16"/>
                <w:szCs w:val="16"/>
              </w:rPr>
              <w:t xml:space="preserve">Cleaned rows</w:t>
            </w:r>
          </w:p>
        </w:tc>
        <w:tc>
          <w:tcPr>
            <w:tcW w:w="4300" w:type="dxa"/>
          </w:tcPr>
          <w:p>
            <w:pPr>
              <w:spacing w:before="0" w:after="20" w:line="210" w:lineRule="auto"/>
            </w:pPr>
            <w:r>
              <w:rPr>
                <w:rFonts w:ascii="Times New Roman" w:hAnsi="Times New Roman" w:cs="Times New Roman"/>
                <w:sz w:val="16"/>
                <w:szCs w:val="16"/>
              </w:rPr>
              <w:t xml:space="preserve">2,520,798</w:t>
            </w:r>
          </w:p>
        </w:tc>
      </w:tr>
      <w:tr>
        <w:tc>
          <w:tcPr>
            <w:tcW w:w="3000" w:type="dxa"/>
          </w:tcPr>
          <w:p>
            <w:pPr>
              <w:spacing w:before="0" w:after="20" w:line="210" w:lineRule="auto"/>
            </w:pPr>
            <w:r>
              <w:rPr>
                <w:rFonts w:ascii="Times New Roman" w:hAnsi="Times New Roman" w:cs="Times New Roman"/>
                <w:sz w:val="16"/>
                <w:szCs w:val="16"/>
              </w:rPr>
              <w:t xml:space="preserve">Training features</w:t>
            </w:r>
          </w:p>
        </w:tc>
        <w:tc>
          <w:tcPr>
            <w:tcW w:w="4300" w:type="dxa"/>
          </w:tcPr>
          <w:p>
            <w:pPr>
              <w:spacing w:before="0" w:after="20" w:line="210" w:lineRule="auto"/>
            </w:pPr>
            <w:r>
              <w:rPr>
                <w:rFonts w:ascii="Times New Roman" w:hAnsi="Times New Roman" w:cs="Times New Roman"/>
                <w:sz w:val="16"/>
                <w:szCs w:val="16"/>
              </w:rPr>
              <w:t xml:space="preserve">78</w:t>
            </w:r>
          </w:p>
        </w:tc>
      </w:tr>
      <w:tr>
        <w:tc>
          <w:tcPr>
            <w:tcW w:w="3000" w:type="dxa"/>
          </w:tcPr>
          <w:p>
            <w:pPr>
              <w:spacing w:before="0" w:after="20" w:line="210" w:lineRule="auto"/>
            </w:pPr>
            <w:r>
              <w:rPr>
                <w:rFonts w:ascii="Times New Roman" w:hAnsi="Times New Roman" w:cs="Times New Roman"/>
                <w:sz w:val="16"/>
                <w:szCs w:val="16"/>
              </w:rPr>
              <w:t xml:space="preserve">Binary target</w:t>
            </w:r>
          </w:p>
        </w:tc>
        <w:tc>
          <w:tcPr>
            <w:tcW w:w="4300" w:type="dxa"/>
          </w:tcPr>
          <w:p>
            <w:pPr>
              <w:spacing w:before="0" w:after="20" w:line="210" w:lineRule="auto"/>
            </w:pPr>
            <w:r>
              <w:rPr>
                <w:rFonts w:ascii="Times New Roman" w:hAnsi="Times New Roman" w:cs="Times New Roman"/>
                <w:sz w:val="16"/>
                <w:szCs w:val="16"/>
              </w:rPr>
              <w:t xml:space="preserve">BENIGN vs ATTACK</w:t>
            </w:r>
          </w:p>
        </w:tc>
      </w:tr>
      <w:tr>
        <w:tc>
          <w:tcPr>
            <w:tcW w:w="3000" w:type="dxa"/>
          </w:tcPr>
          <w:p>
            <w:pPr>
              <w:spacing w:before="0" w:after="20" w:line="210" w:lineRule="auto"/>
            </w:pPr>
            <w:r>
              <w:rPr>
                <w:rFonts w:ascii="Times New Roman" w:hAnsi="Times New Roman" w:cs="Times New Roman"/>
                <w:sz w:val="16"/>
                <w:szCs w:val="16"/>
              </w:rPr>
              <w:t xml:space="preserve">Subtype labels</w:t>
            </w:r>
          </w:p>
        </w:tc>
        <w:tc>
          <w:tcPr>
            <w:tcW w:w="4300" w:type="dxa"/>
          </w:tcPr>
          <w:p>
            <w:pPr>
              <w:spacing w:before="0" w:after="20" w:line="210" w:lineRule="auto"/>
            </w:pPr>
            <w:r>
              <w:rPr>
                <w:rFonts w:ascii="Times New Roman" w:hAnsi="Times New Roman" w:cs="Times New Roman"/>
                <w:sz w:val="16"/>
                <w:szCs w:val="16"/>
              </w:rPr>
              <w:t xml:space="preserve">Used for retrieval/demo context</w:t>
            </w:r>
          </w:p>
        </w:tc>
      </w:tr>
    </w:tbl>
    <w:p>
      <w:pPr>
        <w:spacing w:before="0" w:after="90" w:line="240" w:lineRule="auto"/>
      </w:pPr>
      <w:r>
        <w:rPr>
          <w:rFonts w:ascii="Times New Roman" w:hAnsi="Times New Roman" w:cs="Times New Roman"/>
          <w:sz w:val="20"/>
          <w:szCs w:val="20"/>
        </w:rPr>
        <w:t xml:space="preserve"/>
      </w:r>
    </w:p>
    <w:p>
      <w:pPr>
        <w:spacing w:before="0" w:after="80" w:line="240" w:lineRule="auto"/>
      </w:pPr>
      <w:r>
        <w:rPr>
          <w:rFonts w:ascii="Times New Roman" w:hAnsi="Times New Roman" w:cs="Times New Roman"/>
          <w:sz w:val="19"/>
          <w:szCs w:val="19"/>
        </w:rPr>
        <w:t xml:space="preserve">The cybersecurity graph uses MITRE ATT&amp;CK, CAPEC, CWE, NVD/CVE, and CPE/product context. IDS label mappings connect CICIDS labels to ATT&amp;CK techniques.</w:t>
      </w:r>
    </w:p>
    <w:p>
      <w:pPr>
        <w:jc w:val="center"/>
        <w:spacing w:before="180" w:after="100" w:line="240" w:lineRule="auto"/>
      </w:pPr>
      <w:r>
        <w:rPr>
          <w:rFonts w:ascii="Times New Roman" w:hAnsi="Times New Roman" w:cs="Times New Roman"/>
          <w:sz w:val="20"/>
          <w:szCs w:val="20"/>
          <w:b/>
        </w:rPr>
        <w:t xml:space="preserve">V. Proposed Methodology</w:t>
      </w:r>
    </w:p>
    <w:p>
      <w:pPr>
        <w:spacing w:before="0" w:after="45" w:line="230" w:lineRule="auto"/>
      </w:pPr>
      <w:r>
        <w:rPr>
          <w:rFonts w:ascii="Times New Roman" w:hAnsi="Times New Roman" w:cs="Times New Roman"/>
          <w:sz w:val="19"/>
          <w:szCs w:val="19"/>
        </w:rPr>
        <w:t xml:space="preserve">- Train a binary IDS classifier on cleaned CICIDS2017 features.</w:t>
      </w:r>
    </w:p>
    <w:p>
      <w:pPr>
        <w:spacing w:before="0" w:after="45" w:line="230" w:lineRule="auto"/>
      </w:pPr>
      <w:r>
        <w:rPr>
          <w:rFonts w:ascii="Times New Roman" w:hAnsi="Times New Roman" w:cs="Times New Roman"/>
          <w:sz w:val="19"/>
          <w:szCs w:val="19"/>
        </w:rPr>
        <w:t xml:space="preserve">- Generate local SHAP explanations for classifier decisions.</w:t>
      </w:r>
    </w:p>
    <w:p>
      <w:pPr>
        <w:spacing w:before="0" w:after="45" w:line="230" w:lineRule="auto"/>
      </w:pPr>
      <w:r>
        <w:rPr>
          <w:rFonts w:ascii="Times New Roman" w:hAnsi="Times New Roman" w:cs="Times New Roman"/>
          <w:sz w:val="19"/>
          <w:szCs w:val="19"/>
        </w:rPr>
        <w:t xml:space="preserve">- Map the IDS label to ATT&amp;CK technique context.</w:t>
      </w:r>
    </w:p>
    <w:p>
      <w:pPr>
        <w:spacing w:before="0" w:after="45" w:line="230" w:lineRule="auto"/>
      </w:pPr>
      <w:r>
        <w:rPr>
          <w:rFonts w:ascii="Times New Roman" w:hAnsi="Times New Roman" w:cs="Times New Roman"/>
          <w:sz w:val="19"/>
          <w:szCs w:val="19"/>
        </w:rPr>
        <w:t xml:space="preserve">- Retrieve deterministic graph context from Neo4j.</w:t>
      </w:r>
    </w:p>
    <w:p>
      <w:pPr>
        <w:spacing w:before="0" w:after="45" w:line="230" w:lineRule="auto"/>
      </w:pPr>
      <w:r>
        <w:rPr>
          <w:rFonts w:ascii="Times New Roman" w:hAnsi="Times New Roman" w:cs="Times New Roman"/>
          <w:sz w:val="19"/>
          <w:szCs w:val="19"/>
        </w:rPr>
        <w:t xml:space="preserve">- Use a LoRA-adapted Llama 3.1 8B Instruct model for secondary assessment.</w:t>
      </w:r>
    </w:p>
    <w:p>
      <w:pPr>
        <w:spacing w:before="0" w:after="45" w:line="230" w:lineRule="auto"/>
      </w:pPr>
      <w:r>
        <w:rPr>
          <w:rFonts w:ascii="Times New Roman" w:hAnsi="Times New Roman" w:cs="Times New Roman"/>
          <w:sz w:val="19"/>
          <w:szCs w:val="19"/>
        </w:rPr>
        <w:t xml:space="preserve">- Compare classifier and LLM outputs using deterministic agreement analysis.</w:t>
      </w:r>
    </w:p>
    <w:p>
      <w:pPr>
        <w:spacing w:before="0" w:after="45" w:line="230" w:lineRule="auto"/>
      </w:pPr>
      <w:r>
        <w:rPr>
          <w:rFonts w:ascii="Times New Roman" w:hAnsi="Times New Roman" w:cs="Times New Roman"/>
          <w:sz w:val="19"/>
          <w:szCs w:val="19"/>
        </w:rPr>
        <w:t xml:space="preserve">- Generate graph-backed defensive attack-chain hypotheses with static fallback.</w:t>
      </w:r>
    </w:p>
    <w:p>
      <w:pPr>
        <w:spacing w:before="0" w:after="45" w:line="230" w:lineRule="auto"/>
      </w:pPr>
      <w:r>
        <w:rPr>
          <w:rFonts w:ascii="Times New Roman" w:hAnsi="Times New Roman" w:cs="Times New Roman"/>
          <w:sz w:val="19"/>
          <w:szCs w:val="19"/>
        </w:rPr>
        <w:t xml:space="preserve">- Produce final JSON, Markdown, and Streamlit demo outputs.</w:t>
      </w:r>
    </w:p>
    <w:p>
      <w:pPr>
        <w:jc w:val="center"/>
        <w:spacing w:before="180" w:after="100" w:line="240" w:lineRule="auto"/>
        <w:pageBreakBefore/>
      </w:pPr>
      <w:r>
        <w:rPr>
          <w:rFonts w:ascii="Times New Roman" w:hAnsi="Times New Roman" w:cs="Times New Roman"/>
          <w:sz w:val="20"/>
          <w:szCs w:val="20"/>
          <w:b/>
        </w:rPr>
        <w:t xml:space="preserve">VI. System Architecture</w:t>
      </w:r>
    </w:p>
    <w:p>
      <w:pPr>
        <w:spacing w:before="0" w:after="80" w:line="240" w:lineRule="auto"/>
      </w:pPr>
      <w:r>
        <w:rPr>
          <w:rFonts w:ascii="Times New Roman" w:hAnsi="Times New Roman" w:cs="Times New Roman"/>
          <w:sz w:val="19"/>
          <w:szCs w:val="19"/>
          <w:b/>
        </w:rPr>
        <w:t xml:space="preserve">Architecture overview:</w:t>
      </w:r>
    </w:p>
    <w:p>
      <w:pPr>
        <w:spacing w:before="0" w:after="120" w:line="240" w:lineRule="auto"/>
      </w:pPr>
      <w:r>
        <w:rPr>
          <w:rFonts w:ascii="Times New Roman" w:hAnsi="Times New Roman" w:cs="Times New Roman"/>
          <w:sz w:val="18"/>
          <w:szCs w:val="18"/>
        </w:rPr>
        <w:t xml:space="preserve">CICIDS2017 -&gt; Preprocessing -&gt; XGBoost IDS -&gt; SHAP -&gt; Neo4j Knowledge Graph -&gt; Deterministic GraphRAG Retrieval -&gt; LoRA v1 Llama 3.1 Secondary Assessment -&gt; Agreement Analysis -&gt; Graph-backed Attack-Chain Agent -&gt; Streamlit Demo / Markdown Report</w:t>
      </w:r>
    </w:p>
    <w:p>
      <w:pPr>
        <w:spacing w:before="0" w:after="80" w:line="240" w:lineRule="auto"/>
      </w:pPr>
      <w:r>
        <w:rPr>
          <w:rFonts w:ascii="Times New Roman" w:hAnsi="Times New Roman" w:cs="Times New Roman"/>
          <w:sz w:val="19"/>
          <w:szCs w:val="19"/>
        </w:rPr>
        <w:t xml:space="preserve">The architecture preserves separation of responsibilities. The classifier detects, SHAP explains, Neo4j retrieves, the LLM summarizes supplied context, agreement analysis checks consistency, and the attack-chain component proposes bounded defensive pivots.</w:t>
      </w:r>
    </w:p>
    <w:p>
      <w:pPr>
        <w:jc w:val="center"/>
        <w:spacing w:before="180" w:after="100" w:line="240" w:lineRule="auto"/>
      </w:pPr>
      <w:r>
        <w:rPr>
          <w:rFonts w:ascii="Times New Roman" w:hAnsi="Times New Roman" w:cs="Times New Roman"/>
          <w:sz w:val="20"/>
          <w:szCs w:val="20"/>
          <w:b/>
        </w:rPr>
        <w:t xml:space="preserve">VII. Implementation</w:t>
      </w:r>
    </w:p>
    <w:tbl>
      <w:tblPr>
        <w:tblStyle w:val="TableGrid"/>
        <w:tblW w:w="0" w:type="auto"/>
        <w:tblCellMar>
          <w:top w:w="50" w:type="dxa"/>
          <w:left w:w="50" w:type="dxa"/>
          <w:bottom w:w="50" w:type="dxa"/>
          <w:right w:w="50"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600"/>
        <w:gridCol w:w="4700"/>
      </w:tblGrid>
      <w:tr>
        <w:tc>
          <w:tcPr>
            <w:tcW w:w="2600" w:type="dxa"/>
            <w:shd w:fill="D9EAF7"/>
          </w:tcPr>
          <w:p>
            <w:pPr>
              <w:spacing w:before="0" w:after="20" w:line="210" w:lineRule="auto"/>
            </w:pPr>
            <w:r>
              <w:rPr>
                <w:rFonts w:ascii="Times New Roman" w:hAnsi="Times New Roman" w:cs="Times New Roman"/>
                <w:sz w:val="15"/>
                <w:szCs w:val="15"/>
                <w:b/>
              </w:rPr>
              <w:t xml:space="preserve">Module</w:t>
            </w:r>
          </w:p>
        </w:tc>
        <w:tc>
          <w:tcPr>
            <w:tcW w:w="4700" w:type="dxa"/>
            <w:shd w:fill="D9EAF7"/>
          </w:tcPr>
          <w:p>
            <w:pPr>
              <w:spacing w:before="0" w:after="20" w:line="210" w:lineRule="auto"/>
            </w:pPr>
            <w:r>
              <w:rPr>
                <w:rFonts w:ascii="Times New Roman" w:hAnsi="Times New Roman" w:cs="Times New Roman"/>
                <w:sz w:val="15"/>
                <w:szCs w:val="15"/>
                <w:b/>
              </w:rPr>
              <w:t xml:space="preserve">Purpose</w:t>
            </w:r>
          </w:p>
        </w:tc>
      </w:tr>
      <w:tr>
        <w:tc>
          <w:tcPr>
            <w:tcW w:w="2600" w:type="dxa"/>
          </w:tcPr>
          <w:p>
            <w:pPr>
              <w:spacing w:before="0" w:after="20" w:line="210" w:lineRule="auto"/>
            </w:pPr>
            <w:r>
              <w:rPr>
                <w:rFonts w:ascii="Times New Roman" w:hAnsi="Times New Roman" w:cs="Times New Roman"/>
                <w:sz w:val="15"/>
                <w:szCs w:val="15"/>
              </w:rPr>
              <w:t xml:space="preserve">src/models</w:t>
            </w:r>
          </w:p>
        </w:tc>
        <w:tc>
          <w:tcPr>
            <w:tcW w:w="4700" w:type="dxa"/>
          </w:tcPr>
          <w:p>
            <w:pPr>
              <w:spacing w:before="0" w:after="20" w:line="210" w:lineRule="auto"/>
            </w:pPr>
            <w:r>
              <w:rPr>
                <w:rFonts w:ascii="Times New Roman" w:hAnsi="Times New Roman" w:cs="Times New Roman"/>
                <w:sz w:val="15"/>
                <w:szCs w:val="15"/>
              </w:rPr>
              <w:t xml:space="preserve">XGBoost training and validation</w:t>
            </w:r>
          </w:p>
        </w:tc>
      </w:tr>
      <w:tr>
        <w:tc>
          <w:tcPr>
            <w:tcW w:w="2600" w:type="dxa"/>
          </w:tcPr>
          <w:p>
            <w:pPr>
              <w:spacing w:before="0" w:after="20" w:line="210" w:lineRule="auto"/>
            </w:pPr>
            <w:r>
              <w:rPr>
                <w:rFonts w:ascii="Times New Roman" w:hAnsi="Times New Roman" w:cs="Times New Roman"/>
                <w:sz w:val="15"/>
                <w:szCs w:val="15"/>
              </w:rPr>
              <w:t xml:space="preserve">src/explainability</w:t>
            </w:r>
          </w:p>
        </w:tc>
        <w:tc>
          <w:tcPr>
            <w:tcW w:w="4700" w:type="dxa"/>
          </w:tcPr>
          <w:p>
            <w:pPr>
              <w:spacing w:before="0" w:after="20" w:line="210" w:lineRule="auto"/>
            </w:pPr>
            <w:r>
              <w:rPr>
                <w:rFonts w:ascii="Times New Roman" w:hAnsi="Times New Roman" w:cs="Times New Roman"/>
                <w:sz w:val="15"/>
                <w:szCs w:val="15"/>
              </w:rPr>
              <w:t xml:space="preserve">SHAP explanations</w:t>
            </w:r>
          </w:p>
        </w:tc>
      </w:tr>
      <w:tr>
        <w:tc>
          <w:tcPr>
            <w:tcW w:w="2600" w:type="dxa"/>
          </w:tcPr>
          <w:p>
            <w:pPr>
              <w:spacing w:before="0" w:after="20" w:line="210" w:lineRule="auto"/>
            </w:pPr>
            <w:r>
              <w:rPr>
                <w:rFonts w:ascii="Times New Roman" w:hAnsi="Times New Roman" w:cs="Times New Roman"/>
                <w:sz w:val="15"/>
                <w:szCs w:val="15"/>
              </w:rPr>
              <w:t xml:space="preserve">src/graph</w:t>
            </w:r>
          </w:p>
        </w:tc>
        <w:tc>
          <w:tcPr>
            <w:tcW w:w="4700" w:type="dxa"/>
          </w:tcPr>
          <w:p>
            <w:pPr>
              <w:spacing w:before="0" w:after="20" w:line="210" w:lineRule="auto"/>
            </w:pPr>
            <w:r>
              <w:rPr>
                <w:rFonts w:ascii="Times New Roman" w:hAnsi="Times New Roman" w:cs="Times New Roman"/>
                <w:sz w:val="15"/>
                <w:szCs w:val="15"/>
              </w:rPr>
              <w:t xml:space="preserve">Neo4j schema and ingestion</w:t>
            </w:r>
          </w:p>
        </w:tc>
      </w:tr>
      <w:tr>
        <w:tc>
          <w:tcPr>
            <w:tcW w:w="2600" w:type="dxa"/>
          </w:tcPr>
          <w:p>
            <w:pPr>
              <w:spacing w:before="0" w:after="20" w:line="210" w:lineRule="auto"/>
            </w:pPr>
            <w:r>
              <w:rPr>
                <w:rFonts w:ascii="Times New Roman" w:hAnsi="Times New Roman" w:cs="Times New Roman"/>
                <w:sz w:val="15"/>
                <w:szCs w:val="15"/>
              </w:rPr>
              <w:t xml:space="preserve">src/retrieval</w:t>
            </w:r>
          </w:p>
        </w:tc>
        <w:tc>
          <w:tcPr>
            <w:tcW w:w="4700" w:type="dxa"/>
          </w:tcPr>
          <w:p>
            <w:pPr>
              <w:spacing w:before="0" w:after="20" w:line="210" w:lineRule="auto"/>
            </w:pPr>
            <w:r>
              <w:rPr>
                <w:rFonts w:ascii="Times New Roman" w:hAnsi="Times New Roman" w:cs="Times New Roman"/>
                <w:sz w:val="15"/>
                <w:szCs w:val="15"/>
              </w:rPr>
              <w:t xml:space="preserve">Deterministic GraphRAG context</w:t>
            </w:r>
          </w:p>
        </w:tc>
      </w:tr>
      <w:tr>
        <w:tc>
          <w:tcPr>
            <w:tcW w:w="2600" w:type="dxa"/>
          </w:tcPr>
          <w:p>
            <w:pPr>
              <w:spacing w:before="0" w:after="20" w:line="210" w:lineRule="auto"/>
            </w:pPr>
            <w:r>
              <w:rPr>
                <w:rFonts w:ascii="Times New Roman" w:hAnsi="Times New Roman" w:cs="Times New Roman"/>
                <w:sz w:val="15"/>
                <w:szCs w:val="15"/>
              </w:rPr>
              <w:t xml:space="preserve">src/llm/training</w:t>
            </w:r>
          </w:p>
        </w:tc>
        <w:tc>
          <w:tcPr>
            <w:tcW w:w="4700" w:type="dxa"/>
          </w:tcPr>
          <w:p>
            <w:pPr>
              <w:spacing w:before="0" w:after="20" w:line="210" w:lineRule="auto"/>
            </w:pPr>
            <w:r>
              <w:rPr>
                <w:rFonts w:ascii="Times New Roman" w:hAnsi="Times New Roman" w:cs="Times New Roman"/>
                <w:sz w:val="15"/>
                <w:szCs w:val="15"/>
              </w:rPr>
              <w:t xml:space="preserve">SFT and LoRA setup</w:t>
            </w:r>
          </w:p>
        </w:tc>
      </w:tr>
      <w:tr>
        <w:tc>
          <w:tcPr>
            <w:tcW w:w="2600" w:type="dxa"/>
          </w:tcPr>
          <w:p>
            <w:pPr>
              <w:spacing w:before="0" w:after="20" w:line="210" w:lineRule="auto"/>
            </w:pPr>
            <w:r>
              <w:rPr>
                <w:rFonts w:ascii="Times New Roman" w:hAnsi="Times New Roman" w:cs="Times New Roman"/>
                <w:sz w:val="15"/>
                <w:szCs w:val="15"/>
              </w:rPr>
              <w:t xml:space="preserve">src/llm/evaluation</w:t>
            </w:r>
          </w:p>
        </w:tc>
        <w:tc>
          <w:tcPr>
            <w:tcW w:w="4700" w:type="dxa"/>
          </w:tcPr>
          <w:p>
            <w:pPr>
              <w:spacing w:before="0" w:after="20" w:line="210" w:lineRule="auto"/>
            </w:pPr>
            <w:r>
              <w:rPr>
                <w:rFonts w:ascii="Times New Roman" w:hAnsi="Times New Roman" w:cs="Times New Roman"/>
                <w:sz w:val="15"/>
                <w:szCs w:val="15"/>
              </w:rPr>
              <w:t xml:space="preserve">Held-out LoRA evaluation</w:t>
            </w:r>
          </w:p>
        </w:tc>
      </w:tr>
      <w:tr>
        <w:tc>
          <w:tcPr>
            <w:tcW w:w="2600" w:type="dxa"/>
          </w:tcPr>
          <w:p>
            <w:pPr>
              <w:spacing w:before="0" w:after="20" w:line="210" w:lineRule="auto"/>
            </w:pPr>
            <w:r>
              <w:rPr>
                <w:rFonts w:ascii="Times New Roman" w:hAnsi="Times New Roman" w:cs="Times New Roman"/>
                <w:sz w:val="15"/>
                <w:szCs w:val="15"/>
              </w:rPr>
              <w:t xml:space="preserve">src/llm/integration</w:t>
            </w:r>
          </w:p>
        </w:tc>
        <w:tc>
          <w:tcPr>
            <w:tcW w:w="4700" w:type="dxa"/>
          </w:tcPr>
          <w:p>
            <w:pPr>
              <w:spacing w:before="0" w:after="20" w:line="210" w:lineRule="auto"/>
            </w:pPr>
            <w:r>
              <w:rPr>
                <w:rFonts w:ascii="Times New Roman" w:hAnsi="Times New Roman" w:cs="Times New Roman"/>
                <w:sz w:val="15"/>
                <w:szCs w:val="15"/>
              </w:rPr>
              <w:t xml:space="preserve">Offline LoRA client and parser</w:t>
            </w:r>
          </w:p>
        </w:tc>
      </w:tr>
      <w:tr>
        <w:tc>
          <w:tcPr>
            <w:tcW w:w="2600" w:type="dxa"/>
          </w:tcPr>
          <w:p>
            <w:pPr>
              <w:spacing w:before="0" w:after="20" w:line="210" w:lineRule="auto"/>
            </w:pPr>
            <w:r>
              <w:rPr>
                <w:rFonts w:ascii="Times New Roman" w:hAnsi="Times New Roman" w:cs="Times New Roman"/>
                <w:sz w:val="15"/>
                <w:szCs w:val="15"/>
              </w:rPr>
              <w:t xml:space="preserve">src/analysis</w:t>
            </w:r>
          </w:p>
        </w:tc>
        <w:tc>
          <w:tcPr>
            <w:tcW w:w="4700" w:type="dxa"/>
          </w:tcPr>
          <w:p>
            <w:pPr>
              <w:spacing w:before="0" w:after="20" w:line="210" w:lineRule="auto"/>
            </w:pPr>
            <w:r>
              <w:rPr>
                <w:rFonts w:ascii="Times New Roman" w:hAnsi="Times New Roman" w:cs="Times New Roman"/>
                <w:sz w:val="15"/>
                <w:szCs w:val="15"/>
              </w:rPr>
              <w:t xml:space="preserve">Agreement and attack-chain agent</w:t>
            </w:r>
          </w:p>
        </w:tc>
      </w:tr>
      <w:tr>
        <w:tc>
          <w:tcPr>
            <w:tcW w:w="2600" w:type="dxa"/>
          </w:tcPr>
          <w:p>
            <w:pPr>
              <w:spacing w:before="0" w:after="20" w:line="210" w:lineRule="auto"/>
            </w:pPr>
            <w:r>
              <w:rPr>
                <w:rFonts w:ascii="Times New Roman" w:hAnsi="Times New Roman" w:cs="Times New Roman"/>
                <w:sz w:val="15"/>
                <w:szCs w:val="15"/>
              </w:rPr>
              <w:t xml:space="preserve">src/pipeline, src/ui</w:t>
            </w:r>
          </w:p>
        </w:tc>
        <w:tc>
          <w:tcPr>
            <w:tcW w:w="4700" w:type="dxa"/>
          </w:tcPr>
          <w:p>
            <w:pPr>
              <w:spacing w:before="0" w:after="20" w:line="210" w:lineRule="auto"/>
            </w:pPr>
            <w:r>
              <w:rPr>
                <w:rFonts w:ascii="Times New Roman" w:hAnsi="Times New Roman" w:cs="Times New Roman"/>
                <w:sz w:val="15"/>
                <w:szCs w:val="15"/>
              </w:rPr>
              <w:t xml:space="preserve">Demo runner and Streamlit UI</w:t>
            </w:r>
          </w:p>
        </w:tc>
      </w:tr>
    </w:tbl>
    <w:p>
      <w:pPr>
        <w:spacing w:before="0" w:after="90" w:line="240" w:lineRule="auto"/>
      </w:pPr>
      <w:r>
        <w:rPr>
          <w:rFonts w:ascii="Times New Roman" w:hAnsi="Times New Roman" w:cs="Times New Roman"/>
          <w:sz w:val="20"/>
          <w:szCs w:val="20"/>
        </w:rPr>
        <w:t xml:space="preserve"/>
      </w:r>
    </w:p>
    <w:p>
      <w:pPr>
        <w:spacing w:before="0" w:after="80" w:line="240" w:lineRule="auto"/>
      </w:pPr>
      <w:r>
        <w:rPr>
          <w:rFonts w:ascii="Times New Roman" w:hAnsi="Times New Roman" w:cs="Times New Roman"/>
          <w:sz w:val="19"/>
          <w:szCs w:val="19"/>
        </w:rPr>
        <w:t xml:space="preserve">The attack-chain agent supports Neo4j traversal with static fallback. It produces candidate defensive investigation pivots and does not generate offensive procedures, exploit steps, payloads, or attacker playbooks.</w:t>
      </w:r>
    </w:p>
    <w:p>
      <w:pPr>
        <w:jc w:val="center"/>
        <w:spacing w:before="180" w:after="100" w:line="240" w:lineRule="auto"/>
        <w:pageBreakBefore/>
      </w:pPr>
      <w:r>
        <w:rPr>
          <w:rFonts w:ascii="Times New Roman" w:hAnsi="Times New Roman" w:cs="Times New Roman"/>
          <w:sz w:val="20"/>
          <w:szCs w:val="20"/>
          <w:b/>
        </w:rPr>
        <w:t xml:space="preserve">VIII. Results and Evaluation</w:t>
      </w:r>
    </w:p>
    <w:p>
      <w:pPr>
        <w:spacing w:before="120" w:after="60" w:line="230" w:lineRule="auto"/>
      </w:pPr>
      <w:r>
        <w:rPr>
          <w:rFonts w:ascii="Times New Roman" w:hAnsi="Times New Roman" w:cs="Times New Roman"/>
          <w:sz w:val="19"/>
          <w:szCs w:val="19"/>
          <w:b/>
          <w:i/>
        </w:rPr>
        <w:t xml:space="preserve">A. XGBoost IDS Evaluation</w:t>
      </w:r>
    </w:p>
    <w:tbl>
      <w:tblPr>
        <w:tblStyle w:val="TableGrid"/>
        <w:tblW w:w="0" w:type="auto"/>
        <w:tblCellMar>
          <w:top w:w="50" w:type="dxa"/>
          <w:left w:w="50" w:type="dxa"/>
          <w:bottom w:w="50" w:type="dxa"/>
          <w:right w:w="50"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100"/>
        <w:gridCol w:w="2600"/>
        <w:gridCol w:w="2600"/>
      </w:tblGrid>
      <w:tr>
        <w:tc>
          <w:tcPr>
            <w:tcW w:w="2100" w:type="dxa"/>
            <w:shd w:fill="D9EAF7"/>
          </w:tcPr>
          <w:p>
            <w:pPr>
              <w:spacing w:before="0" w:after="20" w:line="210" w:lineRule="auto"/>
            </w:pPr>
            <w:r>
              <w:rPr>
                <w:rFonts w:ascii="Times New Roman" w:hAnsi="Times New Roman" w:cs="Times New Roman"/>
                <w:sz w:val="16"/>
                <w:szCs w:val="16"/>
                <w:b/>
              </w:rPr>
              <w:t xml:space="preserve">Metric</w:t>
            </w:r>
          </w:p>
        </w:tc>
        <w:tc>
          <w:tcPr>
            <w:tcW w:w="2600" w:type="dxa"/>
            <w:shd w:fill="D9EAF7"/>
          </w:tcPr>
          <w:p>
            <w:pPr>
              <w:spacing w:before="0" w:after="20" w:line="210" w:lineRule="auto"/>
            </w:pPr>
            <w:r>
              <w:rPr>
                <w:rFonts w:ascii="Times New Roman" w:hAnsi="Times New Roman" w:cs="Times New Roman"/>
                <w:sz w:val="16"/>
                <w:szCs w:val="16"/>
                <w:b/>
              </w:rPr>
              <w:t xml:space="preserve">Random Split</w:t>
            </w:r>
          </w:p>
        </w:tc>
        <w:tc>
          <w:tcPr>
            <w:tcW w:w="2600" w:type="dxa"/>
            <w:shd w:fill="D9EAF7"/>
          </w:tcPr>
          <w:p>
            <w:pPr>
              <w:spacing w:before="0" w:after="20" w:line="210" w:lineRule="auto"/>
            </w:pPr>
            <w:r>
              <w:rPr>
                <w:rFonts w:ascii="Times New Roman" w:hAnsi="Times New Roman" w:cs="Times New Roman"/>
                <w:sz w:val="16"/>
                <w:szCs w:val="16"/>
                <w:b/>
              </w:rPr>
              <w:t xml:space="preserve">Day-aware Split</w:t>
            </w:r>
          </w:p>
        </w:tc>
      </w:tr>
      <w:tr>
        <w:tc>
          <w:tcPr>
            <w:tcW w:w="2100" w:type="dxa"/>
          </w:tcPr>
          <w:p>
            <w:pPr>
              <w:spacing w:before="0" w:after="20" w:line="210" w:lineRule="auto"/>
            </w:pPr>
            <w:r>
              <w:rPr>
                <w:rFonts w:ascii="Times New Roman" w:hAnsi="Times New Roman" w:cs="Times New Roman"/>
                <w:sz w:val="16"/>
                <w:szCs w:val="16"/>
              </w:rPr>
              <w:t xml:space="preserve">Accuracy</w:t>
            </w:r>
          </w:p>
        </w:tc>
        <w:tc>
          <w:tcPr>
            <w:tcW w:w="2600" w:type="dxa"/>
          </w:tcPr>
          <w:p>
            <w:pPr>
              <w:spacing w:before="0" w:after="20" w:line="210" w:lineRule="auto"/>
            </w:pPr>
            <w:r>
              <w:rPr>
                <w:rFonts w:ascii="Times New Roman" w:hAnsi="Times New Roman" w:cs="Times New Roman"/>
                <w:sz w:val="16"/>
                <w:szCs w:val="16"/>
              </w:rPr>
              <w:t xml:space="preserve">0.999170</w:t>
            </w:r>
          </w:p>
        </w:tc>
        <w:tc>
          <w:tcPr>
            <w:tcW w:w="2600" w:type="dxa"/>
          </w:tcPr>
          <w:p>
            <w:pPr>
              <w:spacing w:before="0" w:after="20" w:line="210" w:lineRule="auto"/>
            </w:pPr>
            <w:r>
              <w:rPr>
                <w:rFonts w:ascii="Times New Roman" w:hAnsi="Times New Roman" w:cs="Times New Roman"/>
                <w:sz w:val="16"/>
                <w:szCs w:val="16"/>
              </w:rPr>
              <w:t xml:space="preserve">0.771359</w:t>
            </w:r>
          </w:p>
        </w:tc>
      </w:tr>
      <w:tr>
        <w:tc>
          <w:tcPr>
            <w:tcW w:w="2100" w:type="dxa"/>
          </w:tcPr>
          <w:p>
            <w:pPr>
              <w:spacing w:before="0" w:after="20" w:line="210" w:lineRule="auto"/>
            </w:pPr>
            <w:r>
              <w:rPr>
                <w:rFonts w:ascii="Times New Roman" w:hAnsi="Times New Roman" w:cs="Times New Roman"/>
                <w:sz w:val="16"/>
                <w:szCs w:val="16"/>
              </w:rPr>
              <w:t xml:space="preserve">Precision</w:t>
            </w:r>
          </w:p>
        </w:tc>
        <w:tc>
          <w:tcPr>
            <w:tcW w:w="2600" w:type="dxa"/>
          </w:tcPr>
          <w:p>
            <w:pPr>
              <w:spacing w:before="0" w:after="20" w:line="210" w:lineRule="auto"/>
            </w:pPr>
            <w:r>
              <w:rPr>
                <w:rFonts w:ascii="Times New Roman" w:hAnsi="Times New Roman" w:cs="Times New Roman"/>
                <w:sz w:val="16"/>
                <w:szCs w:val="16"/>
              </w:rPr>
              <w:t xml:space="preserve">0.995601</w:t>
            </w:r>
          </w:p>
        </w:tc>
        <w:tc>
          <w:tcPr>
            <w:tcW w:w="2600" w:type="dxa"/>
          </w:tcPr>
          <w:p>
            <w:pPr>
              <w:spacing w:before="0" w:after="20" w:line="210" w:lineRule="auto"/>
            </w:pPr>
            <w:r>
              <w:rPr>
                <w:rFonts w:ascii="Times New Roman" w:hAnsi="Times New Roman" w:cs="Times New Roman"/>
                <w:sz w:val="16"/>
                <w:szCs w:val="16"/>
              </w:rPr>
              <w:t xml:space="preserve">0.999101</w:t>
            </w:r>
          </w:p>
        </w:tc>
      </w:tr>
      <w:tr>
        <w:tc>
          <w:tcPr>
            <w:tcW w:w="2100" w:type="dxa"/>
          </w:tcPr>
          <w:p>
            <w:pPr>
              <w:spacing w:before="0" w:after="20" w:line="210" w:lineRule="auto"/>
            </w:pPr>
            <w:r>
              <w:rPr>
                <w:rFonts w:ascii="Times New Roman" w:hAnsi="Times New Roman" w:cs="Times New Roman"/>
                <w:sz w:val="16"/>
                <w:szCs w:val="16"/>
              </w:rPr>
              <w:t xml:space="preserve">Recall</w:t>
            </w:r>
          </w:p>
        </w:tc>
        <w:tc>
          <w:tcPr>
            <w:tcW w:w="2600" w:type="dxa"/>
          </w:tcPr>
          <w:p>
            <w:pPr>
              <w:spacing w:before="0" w:after="20" w:line="210" w:lineRule="auto"/>
            </w:pPr>
            <w:r>
              <w:rPr>
                <w:rFonts w:ascii="Times New Roman" w:hAnsi="Times New Roman" w:cs="Times New Roman"/>
                <w:sz w:val="16"/>
                <w:szCs w:val="16"/>
              </w:rPr>
              <w:t xml:space="preserve">0.999499</w:t>
            </w:r>
          </w:p>
        </w:tc>
        <w:tc>
          <w:tcPr>
            <w:tcW w:w="2600" w:type="dxa"/>
          </w:tcPr>
          <w:p>
            <w:pPr>
              <w:spacing w:before="0" w:after="20" w:line="210" w:lineRule="auto"/>
            </w:pPr>
            <w:r>
              <w:rPr>
                <w:rFonts w:ascii="Times New Roman" w:hAnsi="Times New Roman" w:cs="Times New Roman"/>
                <w:sz w:val="16"/>
                <w:szCs w:val="16"/>
              </w:rPr>
              <w:t xml:space="preserve">0.362623</w:t>
            </w:r>
          </w:p>
        </w:tc>
      </w:tr>
      <w:tr>
        <w:tc>
          <w:tcPr>
            <w:tcW w:w="2100" w:type="dxa"/>
          </w:tcPr>
          <w:p>
            <w:pPr>
              <w:spacing w:before="0" w:after="20" w:line="210" w:lineRule="auto"/>
            </w:pPr>
            <w:r>
              <w:rPr>
                <w:rFonts w:ascii="Times New Roman" w:hAnsi="Times New Roman" w:cs="Times New Roman"/>
                <w:sz w:val="16"/>
                <w:szCs w:val="16"/>
              </w:rPr>
              <w:t xml:space="preserve">F1</w:t>
            </w:r>
          </w:p>
        </w:tc>
        <w:tc>
          <w:tcPr>
            <w:tcW w:w="2600" w:type="dxa"/>
          </w:tcPr>
          <w:p>
            <w:pPr>
              <w:spacing w:before="0" w:after="20" w:line="210" w:lineRule="auto"/>
            </w:pPr>
            <w:r>
              <w:rPr>
                <w:rFonts w:ascii="Times New Roman" w:hAnsi="Times New Roman" w:cs="Times New Roman"/>
                <w:sz w:val="16"/>
                <w:szCs w:val="16"/>
              </w:rPr>
              <w:t xml:space="preserve">0.997546</w:t>
            </w:r>
          </w:p>
        </w:tc>
        <w:tc>
          <w:tcPr>
            <w:tcW w:w="2600" w:type="dxa"/>
          </w:tcPr>
          <w:p>
            <w:pPr>
              <w:spacing w:before="0" w:after="20" w:line="210" w:lineRule="auto"/>
            </w:pPr>
            <w:r>
              <w:rPr>
                <w:rFonts w:ascii="Times New Roman" w:hAnsi="Times New Roman" w:cs="Times New Roman"/>
                <w:sz w:val="16"/>
                <w:szCs w:val="16"/>
              </w:rPr>
              <w:t xml:space="preserve">0.532115</w:t>
            </w:r>
          </w:p>
        </w:tc>
      </w:tr>
      <w:tr>
        <w:tc>
          <w:tcPr>
            <w:tcW w:w="2100" w:type="dxa"/>
          </w:tcPr>
          <w:p>
            <w:pPr>
              <w:spacing w:before="0" w:after="20" w:line="210" w:lineRule="auto"/>
            </w:pPr>
            <w:r>
              <w:rPr>
                <w:rFonts w:ascii="Times New Roman" w:hAnsi="Times New Roman" w:cs="Times New Roman"/>
                <w:sz w:val="16"/>
                <w:szCs w:val="16"/>
              </w:rPr>
              <w:t xml:space="preserve">ROC-AUC</w:t>
            </w:r>
          </w:p>
        </w:tc>
        <w:tc>
          <w:tcPr>
            <w:tcW w:w="2600" w:type="dxa"/>
          </w:tcPr>
          <w:p>
            <w:pPr>
              <w:spacing w:before="0" w:after="20" w:line="210" w:lineRule="auto"/>
            </w:pPr>
            <w:r>
              <w:rPr>
                <w:rFonts w:ascii="Times New Roman" w:hAnsi="Times New Roman" w:cs="Times New Roman"/>
                <w:sz w:val="16"/>
                <w:szCs w:val="16"/>
              </w:rPr>
              <w:t xml:space="preserve">0.999982</w:t>
            </w:r>
          </w:p>
        </w:tc>
        <w:tc>
          <w:tcPr>
            <w:tcW w:w="2600" w:type="dxa"/>
          </w:tcPr>
          <w:p>
            <w:pPr>
              <w:spacing w:before="0" w:after="20" w:line="210" w:lineRule="auto"/>
            </w:pPr>
            <w:r>
              <w:rPr>
                <w:rFonts w:ascii="Times New Roman" w:hAnsi="Times New Roman" w:cs="Times New Roman"/>
                <w:sz w:val="16"/>
                <w:szCs w:val="16"/>
              </w:rPr>
              <w:t xml:space="preserve">0.788955</w:t>
            </w:r>
          </w:p>
        </w:tc>
      </w:tr>
    </w:tbl>
    <w:p>
      <w:pPr>
        <w:spacing w:before="0" w:after="90" w:line="240" w:lineRule="auto"/>
      </w:pPr>
      <w:r>
        <w:rPr>
          <w:rFonts w:ascii="Times New Roman" w:hAnsi="Times New Roman" w:cs="Times New Roman"/>
          <w:sz w:val="20"/>
          <w:szCs w:val="20"/>
        </w:rPr>
        <w:t xml:space="preserve"/>
      </w:r>
    </w:p>
    <w:p>
      <w:pPr>
        <w:spacing w:before="0" w:after="80" w:line="240" w:lineRule="auto"/>
      </w:pPr>
      <w:r>
        <w:rPr>
          <w:rFonts w:ascii="Times New Roman" w:hAnsi="Times New Roman" w:cs="Times New Roman"/>
          <w:sz w:val="19"/>
          <w:szCs w:val="19"/>
        </w:rPr>
        <w:t xml:space="preserve">Random-split performance is extremely high, but day-aware validation exposes a major distribution shift, especially in recall. This finding supports the need for explainability and contextual assessment rather than reporting random-split metrics alone.</w:t>
      </w:r>
    </w:p>
    <w:p>
      <w:pPr>
        <w:spacing w:before="120" w:after="60" w:line="230" w:lineRule="auto"/>
      </w:pPr>
      <w:r>
        <w:rPr>
          <w:rFonts w:ascii="Times New Roman" w:hAnsi="Times New Roman" w:cs="Times New Roman"/>
          <w:sz w:val="19"/>
          <w:szCs w:val="19"/>
          <w:b/>
          <w:i/>
        </w:rPr>
        <w:t xml:space="preserve">B. Knowledge Graph</w:t>
      </w:r>
    </w:p>
    <w:tbl>
      <w:tblPr>
        <w:tblStyle w:val="TableGrid"/>
        <w:tblW w:w="0" w:type="auto"/>
        <w:tblCellMar>
          <w:top w:w="50" w:type="dxa"/>
          <w:left w:w="50" w:type="dxa"/>
          <w:bottom w:w="50" w:type="dxa"/>
          <w:right w:w="50"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4300"/>
      </w:tblGrid>
      <w:tr>
        <w:tc>
          <w:tcPr>
            <w:tcW w:w="3000" w:type="dxa"/>
            <w:shd w:fill="D9EAF7"/>
          </w:tcPr>
          <w:p>
            <w:pPr>
              <w:spacing w:before="0" w:after="20" w:line="210" w:lineRule="auto"/>
            </w:pPr>
            <w:r>
              <w:rPr>
                <w:rFonts w:ascii="Times New Roman" w:hAnsi="Times New Roman" w:cs="Times New Roman"/>
                <w:sz w:val="16"/>
                <w:szCs w:val="16"/>
                <w:b/>
              </w:rPr>
              <w:t xml:space="preserve">Metric</w:t>
            </w:r>
          </w:p>
        </w:tc>
        <w:tc>
          <w:tcPr>
            <w:tcW w:w="4300" w:type="dxa"/>
            <w:shd w:fill="D9EAF7"/>
          </w:tcPr>
          <w:p>
            <w:pPr>
              <w:spacing w:before="0" w:after="20" w:line="210" w:lineRule="auto"/>
            </w:pPr>
            <w:r>
              <w:rPr>
                <w:rFonts w:ascii="Times New Roman" w:hAnsi="Times New Roman" w:cs="Times New Roman"/>
                <w:sz w:val="16"/>
                <w:szCs w:val="16"/>
                <w:b/>
              </w:rPr>
              <w:t xml:space="preserve">Value</w:t>
            </w:r>
          </w:p>
        </w:tc>
      </w:tr>
      <w:tr>
        <w:tc>
          <w:tcPr>
            <w:tcW w:w="3000" w:type="dxa"/>
          </w:tcPr>
          <w:p>
            <w:pPr>
              <w:spacing w:before="0" w:after="20" w:line="210" w:lineRule="auto"/>
            </w:pPr>
            <w:r>
              <w:rPr>
                <w:rFonts w:ascii="Times New Roman" w:hAnsi="Times New Roman" w:cs="Times New Roman"/>
                <w:sz w:val="16"/>
                <w:szCs w:val="16"/>
              </w:rPr>
              <w:t xml:space="preserve">Nodes</w:t>
            </w:r>
          </w:p>
        </w:tc>
        <w:tc>
          <w:tcPr>
            <w:tcW w:w="4300" w:type="dxa"/>
          </w:tcPr>
          <w:p>
            <w:pPr>
              <w:spacing w:before="0" w:after="20" w:line="210" w:lineRule="auto"/>
            </w:pPr>
            <w:r>
              <w:rPr>
                <w:rFonts w:ascii="Times New Roman" w:hAnsi="Times New Roman" w:cs="Times New Roman"/>
                <w:sz w:val="16"/>
                <w:szCs w:val="16"/>
              </w:rPr>
              <w:t xml:space="preserve">10,034</w:t>
            </w:r>
          </w:p>
        </w:tc>
      </w:tr>
      <w:tr>
        <w:tc>
          <w:tcPr>
            <w:tcW w:w="3000" w:type="dxa"/>
          </w:tcPr>
          <w:p>
            <w:pPr>
              <w:spacing w:before="0" w:after="20" w:line="210" w:lineRule="auto"/>
            </w:pPr>
            <w:r>
              <w:rPr>
                <w:rFonts w:ascii="Times New Roman" w:hAnsi="Times New Roman" w:cs="Times New Roman"/>
                <w:sz w:val="16"/>
                <w:szCs w:val="16"/>
              </w:rPr>
              <w:t xml:space="preserve">Relationships</w:t>
            </w:r>
          </w:p>
        </w:tc>
        <w:tc>
          <w:tcPr>
            <w:tcW w:w="4300" w:type="dxa"/>
          </w:tcPr>
          <w:p>
            <w:pPr>
              <w:spacing w:before="0" w:after="20" w:line="210" w:lineRule="auto"/>
            </w:pPr>
            <w:r>
              <w:rPr>
                <w:rFonts w:ascii="Times New Roman" w:hAnsi="Times New Roman" w:cs="Times New Roman"/>
                <w:sz w:val="16"/>
                <w:szCs w:val="16"/>
              </w:rPr>
              <w:t xml:space="preserve">39,748</w:t>
            </w:r>
          </w:p>
        </w:tc>
      </w:tr>
    </w:tbl>
    <w:p>
      <w:pPr>
        <w:spacing w:before="0" w:after="90" w:line="240" w:lineRule="auto"/>
      </w:pPr>
      <w:r>
        <w:rPr>
          <w:rFonts w:ascii="Times New Roman" w:hAnsi="Times New Roman" w:cs="Times New Roman"/>
          <w:sz w:val="20"/>
          <w:szCs w:val="20"/>
        </w:rPr>
        <w:t xml:space="preserve"/>
      </w:r>
    </w:p>
    <w:p>
      <w:pPr>
        <w:spacing w:before="120" w:after="60" w:line="230" w:lineRule="auto"/>
      </w:pPr>
      <w:r>
        <w:rPr>
          <w:rFonts w:ascii="Times New Roman" w:hAnsi="Times New Roman" w:cs="Times New Roman"/>
          <w:sz w:val="19"/>
          <w:szCs w:val="19"/>
          <w:b/>
          <w:i/>
        </w:rPr>
        <w:t xml:space="preserve">C. LoRA Training</w:t>
      </w:r>
    </w:p>
    <w:tbl>
      <w:tblPr>
        <w:tblStyle w:val="TableGrid"/>
        <w:tblW w:w="0" w:type="auto"/>
        <w:tblCellMar>
          <w:top w:w="50" w:type="dxa"/>
          <w:left w:w="50" w:type="dxa"/>
          <w:bottom w:w="50" w:type="dxa"/>
          <w:right w:w="50"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000"/>
        <w:gridCol w:w="4300"/>
      </w:tblGrid>
      <w:tr>
        <w:tc>
          <w:tcPr>
            <w:tcW w:w="3000" w:type="dxa"/>
            <w:shd w:fill="D9EAF7"/>
          </w:tcPr>
          <w:p>
            <w:pPr>
              <w:spacing w:before="0" w:after="20" w:line="210" w:lineRule="auto"/>
            </w:pPr>
            <w:r>
              <w:rPr>
                <w:rFonts w:ascii="Times New Roman" w:hAnsi="Times New Roman" w:cs="Times New Roman"/>
                <w:sz w:val="15"/>
                <w:szCs w:val="15"/>
                <w:b/>
              </w:rPr>
              <w:t xml:space="preserve">Metric</w:t>
            </w:r>
          </w:p>
        </w:tc>
        <w:tc>
          <w:tcPr>
            <w:tcW w:w="4300" w:type="dxa"/>
            <w:shd w:fill="D9EAF7"/>
          </w:tcPr>
          <w:p>
            <w:pPr>
              <w:spacing w:before="0" w:after="20" w:line="210" w:lineRule="auto"/>
            </w:pPr>
            <w:r>
              <w:rPr>
                <w:rFonts w:ascii="Times New Roman" w:hAnsi="Times New Roman" w:cs="Times New Roman"/>
                <w:sz w:val="15"/>
                <w:szCs w:val="15"/>
                <w:b/>
              </w:rPr>
              <w:t xml:space="preserve">Value</w:t>
            </w:r>
          </w:p>
        </w:tc>
      </w:tr>
      <w:tr>
        <w:tc>
          <w:tcPr>
            <w:tcW w:w="3000" w:type="dxa"/>
          </w:tcPr>
          <w:p>
            <w:pPr>
              <w:spacing w:before="0" w:after="20" w:line="210" w:lineRule="auto"/>
            </w:pPr>
            <w:r>
              <w:rPr>
                <w:rFonts w:ascii="Times New Roman" w:hAnsi="Times New Roman" w:cs="Times New Roman"/>
                <w:sz w:val="15"/>
                <w:szCs w:val="15"/>
              </w:rPr>
              <w:t xml:space="preserve">Base model</w:t>
            </w:r>
          </w:p>
        </w:tc>
        <w:tc>
          <w:tcPr>
            <w:tcW w:w="4300" w:type="dxa"/>
          </w:tcPr>
          <w:p>
            <w:pPr>
              <w:spacing w:before="0" w:after="20" w:line="210" w:lineRule="auto"/>
            </w:pPr>
            <w:r>
              <w:rPr>
                <w:rFonts w:ascii="Times New Roman" w:hAnsi="Times New Roman" w:cs="Times New Roman"/>
                <w:sz w:val="15"/>
                <w:szCs w:val="15"/>
              </w:rPr>
              <w:t xml:space="preserve">meta-llama/Llama-3.1-8B-Instruct</w:t>
            </w:r>
          </w:p>
        </w:tc>
      </w:tr>
      <w:tr>
        <w:tc>
          <w:tcPr>
            <w:tcW w:w="3000" w:type="dxa"/>
          </w:tcPr>
          <w:p>
            <w:pPr>
              <w:spacing w:before="0" w:after="20" w:line="210" w:lineRule="auto"/>
            </w:pPr>
            <w:r>
              <w:rPr>
                <w:rFonts w:ascii="Times New Roman" w:hAnsi="Times New Roman" w:cs="Times New Roman"/>
                <w:sz w:val="15"/>
                <w:szCs w:val="15"/>
              </w:rPr>
              <w:t xml:space="preserve">Epochs</w:t>
            </w:r>
          </w:p>
        </w:tc>
        <w:tc>
          <w:tcPr>
            <w:tcW w:w="4300" w:type="dxa"/>
          </w:tcPr>
          <w:p>
            <w:pPr>
              <w:spacing w:before="0" w:after="20" w:line="210" w:lineRule="auto"/>
            </w:pPr>
            <w:r>
              <w:rPr>
                <w:rFonts w:ascii="Times New Roman" w:hAnsi="Times New Roman" w:cs="Times New Roman"/>
                <w:sz w:val="15"/>
                <w:szCs w:val="15"/>
              </w:rPr>
              <w:t xml:space="preserve">3</w:t>
            </w:r>
          </w:p>
        </w:tc>
      </w:tr>
      <w:tr>
        <w:tc>
          <w:tcPr>
            <w:tcW w:w="3000" w:type="dxa"/>
          </w:tcPr>
          <w:p>
            <w:pPr>
              <w:spacing w:before="0" w:after="20" w:line="210" w:lineRule="auto"/>
            </w:pPr>
            <w:r>
              <w:rPr>
                <w:rFonts w:ascii="Times New Roman" w:hAnsi="Times New Roman" w:cs="Times New Roman"/>
                <w:sz w:val="15"/>
                <w:szCs w:val="15"/>
              </w:rPr>
              <w:t xml:space="preserve">Train loss</w:t>
            </w:r>
          </w:p>
        </w:tc>
        <w:tc>
          <w:tcPr>
            <w:tcW w:w="4300" w:type="dxa"/>
          </w:tcPr>
          <w:p>
            <w:pPr>
              <w:spacing w:before="0" w:after="20" w:line="210" w:lineRule="auto"/>
            </w:pPr>
            <w:r>
              <w:rPr>
                <w:rFonts w:ascii="Times New Roman" w:hAnsi="Times New Roman" w:cs="Times New Roman"/>
                <w:sz w:val="15"/>
                <w:szCs w:val="15"/>
              </w:rPr>
              <w:t xml:space="preserve">0.173604</w:t>
            </w:r>
          </w:p>
        </w:tc>
      </w:tr>
      <w:tr>
        <w:tc>
          <w:tcPr>
            <w:tcW w:w="3000" w:type="dxa"/>
          </w:tcPr>
          <w:p>
            <w:pPr>
              <w:spacing w:before="0" w:after="20" w:line="210" w:lineRule="auto"/>
            </w:pPr>
            <w:r>
              <w:rPr>
                <w:rFonts w:ascii="Times New Roman" w:hAnsi="Times New Roman" w:cs="Times New Roman"/>
                <w:sz w:val="15"/>
                <w:szCs w:val="15"/>
              </w:rPr>
              <w:t xml:space="preserve">Eval loss</w:t>
            </w:r>
          </w:p>
        </w:tc>
        <w:tc>
          <w:tcPr>
            <w:tcW w:w="4300" w:type="dxa"/>
          </w:tcPr>
          <w:p>
            <w:pPr>
              <w:spacing w:before="0" w:after="20" w:line="210" w:lineRule="auto"/>
            </w:pPr>
            <w:r>
              <w:rPr>
                <w:rFonts w:ascii="Times New Roman" w:hAnsi="Times New Roman" w:cs="Times New Roman"/>
                <w:sz w:val="15"/>
                <w:szCs w:val="15"/>
              </w:rPr>
              <w:t xml:space="preserve">0.132792</w:t>
            </w:r>
          </w:p>
        </w:tc>
      </w:tr>
      <w:tr>
        <w:tc>
          <w:tcPr>
            <w:tcW w:w="3000" w:type="dxa"/>
          </w:tcPr>
          <w:p>
            <w:pPr>
              <w:spacing w:before="0" w:after="20" w:line="210" w:lineRule="auto"/>
            </w:pPr>
            <w:r>
              <w:rPr>
                <w:rFonts w:ascii="Times New Roman" w:hAnsi="Times New Roman" w:cs="Times New Roman"/>
                <w:sz w:val="15"/>
                <w:szCs w:val="15"/>
              </w:rPr>
              <w:t xml:space="preserve">Eval token accuracy</w:t>
            </w:r>
          </w:p>
        </w:tc>
        <w:tc>
          <w:tcPr>
            <w:tcW w:w="4300" w:type="dxa"/>
          </w:tcPr>
          <w:p>
            <w:pPr>
              <w:spacing w:before="0" w:after="20" w:line="210" w:lineRule="auto"/>
            </w:pPr>
            <w:r>
              <w:rPr>
                <w:rFonts w:ascii="Times New Roman" w:hAnsi="Times New Roman" w:cs="Times New Roman"/>
                <w:sz w:val="15"/>
                <w:szCs w:val="15"/>
              </w:rPr>
              <w:t xml:space="preserve">0.982005</w:t>
            </w:r>
          </w:p>
        </w:tc>
      </w:tr>
    </w:tbl>
    <w:p>
      <w:pPr>
        <w:spacing w:before="0" w:after="90" w:line="240" w:lineRule="auto"/>
      </w:pPr>
      <w:r>
        <w:rPr>
          <w:rFonts w:ascii="Times New Roman" w:hAnsi="Times New Roman" w:cs="Times New Roman"/>
          <w:sz w:val="20"/>
          <w:szCs w:val="20"/>
        </w:rPr>
        <w:t xml:space="preserve"/>
      </w:r>
    </w:p>
    <w:p>
      <w:pPr>
        <w:spacing w:before="120" w:after="60" w:line="230" w:lineRule="auto"/>
      </w:pPr>
      <w:r>
        <w:rPr>
          <w:rFonts w:ascii="Times New Roman" w:hAnsi="Times New Roman" w:cs="Times New Roman"/>
          <w:sz w:val="19"/>
          <w:szCs w:val="19"/>
          <w:b/>
          <w:i/>
        </w:rPr>
        <w:t xml:space="preserve">D. Compact LoRA Evaluation</w:t>
      </w:r>
    </w:p>
    <w:tbl>
      <w:tblPr>
        <w:tblStyle w:val="TableGrid"/>
        <w:tblW w:w="0" w:type="auto"/>
        <w:tblCellMar>
          <w:top w:w="50" w:type="dxa"/>
          <w:left w:w="50" w:type="dxa"/>
          <w:bottom w:w="50" w:type="dxa"/>
          <w:right w:w="50"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300"/>
        <w:gridCol w:w="4000"/>
      </w:tblGrid>
      <w:tr>
        <w:tc>
          <w:tcPr>
            <w:tcW w:w="3300" w:type="dxa"/>
            <w:shd w:fill="D9EAF7"/>
          </w:tcPr>
          <w:p>
            <w:pPr>
              <w:spacing w:before="0" w:after="20" w:line="210" w:lineRule="auto"/>
            </w:pPr>
            <w:r>
              <w:rPr>
                <w:rFonts w:ascii="Times New Roman" w:hAnsi="Times New Roman" w:cs="Times New Roman"/>
                <w:sz w:val="15"/>
                <w:szCs w:val="15"/>
                <w:b/>
              </w:rPr>
              <w:t xml:space="preserve">Metric</w:t>
            </w:r>
          </w:p>
        </w:tc>
        <w:tc>
          <w:tcPr>
            <w:tcW w:w="4000" w:type="dxa"/>
            <w:shd w:fill="D9EAF7"/>
          </w:tcPr>
          <w:p>
            <w:pPr>
              <w:spacing w:before="0" w:after="20" w:line="210" w:lineRule="auto"/>
            </w:pPr>
            <w:r>
              <w:rPr>
                <w:rFonts w:ascii="Times New Roman" w:hAnsi="Times New Roman" w:cs="Times New Roman"/>
                <w:sz w:val="15"/>
                <w:szCs w:val="15"/>
                <w:b/>
              </w:rPr>
              <w:t xml:space="preserve">Value</w:t>
            </w:r>
          </w:p>
        </w:tc>
      </w:tr>
      <w:tr>
        <w:tc>
          <w:tcPr>
            <w:tcW w:w="3300" w:type="dxa"/>
          </w:tcPr>
          <w:p>
            <w:pPr>
              <w:spacing w:before="0" w:after="20" w:line="210" w:lineRule="auto"/>
            </w:pPr>
            <w:r>
              <w:rPr>
                <w:rFonts w:ascii="Times New Roman" w:hAnsi="Times New Roman" w:cs="Times New Roman"/>
                <w:sz w:val="15"/>
                <w:szCs w:val="15"/>
              </w:rPr>
              <w:t xml:space="preserve">Held-out examples</w:t>
            </w:r>
          </w:p>
        </w:tc>
        <w:tc>
          <w:tcPr>
            <w:tcW w:w="4000" w:type="dxa"/>
          </w:tcPr>
          <w:p>
            <w:pPr>
              <w:spacing w:before="0" w:after="20" w:line="210" w:lineRule="auto"/>
            </w:pPr>
            <w:r>
              <w:rPr>
                <w:rFonts w:ascii="Times New Roman" w:hAnsi="Times New Roman" w:cs="Times New Roman"/>
                <w:sz w:val="15"/>
                <w:szCs w:val="15"/>
              </w:rPr>
              <w:t xml:space="preserve">76</w:t>
            </w:r>
          </w:p>
        </w:tc>
      </w:tr>
      <w:tr>
        <w:tc>
          <w:tcPr>
            <w:tcW w:w="3300" w:type="dxa"/>
          </w:tcPr>
          <w:p>
            <w:pPr>
              <w:spacing w:before="0" w:after="20" w:line="210" w:lineRule="auto"/>
            </w:pPr>
            <w:r>
              <w:rPr>
                <w:rFonts w:ascii="Times New Roman" w:hAnsi="Times New Roman" w:cs="Times New Roman"/>
                <w:sz w:val="15"/>
                <w:szCs w:val="15"/>
              </w:rPr>
              <w:t xml:space="preserve">Non-empty rate</w:t>
            </w:r>
          </w:p>
        </w:tc>
        <w:tc>
          <w:tcPr>
            <w:tcW w:w="4000" w:type="dxa"/>
          </w:tcPr>
          <w:p>
            <w:pPr>
              <w:spacing w:before="0" w:after="20" w:line="210" w:lineRule="auto"/>
            </w:pPr>
            <w:r>
              <w:rPr>
                <w:rFonts w:ascii="Times New Roman" w:hAnsi="Times New Roman" w:cs="Times New Roman"/>
                <w:sz w:val="15"/>
                <w:szCs w:val="15"/>
              </w:rPr>
              <w:t xml:space="preserve">1.0</w:t>
            </w:r>
          </w:p>
        </w:tc>
      </w:tr>
      <w:tr>
        <w:tc>
          <w:tcPr>
            <w:tcW w:w="3300" w:type="dxa"/>
          </w:tcPr>
          <w:p>
            <w:pPr>
              <w:spacing w:before="0" w:after="20" w:line="210" w:lineRule="auto"/>
            </w:pPr>
            <w:r>
              <w:rPr>
                <w:rFonts w:ascii="Times New Roman" w:hAnsi="Times New Roman" w:cs="Times New Roman"/>
                <w:sz w:val="15"/>
                <w:szCs w:val="15"/>
              </w:rPr>
              <w:t xml:space="preserve">Error rate</w:t>
            </w:r>
          </w:p>
        </w:tc>
        <w:tc>
          <w:tcPr>
            <w:tcW w:w="4000" w:type="dxa"/>
          </w:tcPr>
          <w:p>
            <w:pPr>
              <w:spacing w:before="0" w:after="20" w:line="210" w:lineRule="auto"/>
            </w:pPr>
            <w:r>
              <w:rPr>
                <w:rFonts w:ascii="Times New Roman" w:hAnsi="Times New Roman" w:cs="Times New Roman"/>
                <w:sz w:val="15"/>
                <w:szCs w:val="15"/>
              </w:rPr>
              <w:t xml:space="preserve">0.0</w:t>
            </w:r>
          </w:p>
        </w:tc>
      </w:tr>
      <w:tr>
        <w:tc>
          <w:tcPr>
            <w:tcW w:w="3300" w:type="dxa"/>
          </w:tcPr>
          <w:p>
            <w:pPr>
              <w:spacing w:before="0" w:after="20" w:line="210" w:lineRule="auto"/>
            </w:pPr>
            <w:r>
              <w:rPr>
                <w:rFonts w:ascii="Times New Roman" w:hAnsi="Times New Roman" w:cs="Times New Roman"/>
                <w:sz w:val="15"/>
                <w:szCs w:val="15"/>
              </w:rPr>
              <w:t xml:space="preserve">Token cap hit rate</w:t>
            </w:r>
          </w:p>
        </w:tc>
        <w:tc>
          <w:tcPr>
            <w:tcW w:w="4000" w:type="dxa"/>
          </w:tcPr>
          <w:p>
            <w:pPr>
              <w:spacing w:before="0" w:after="20" w:line="210" w:lineRule="auto"/>
            </w:pPr>
            <w:r>
              <w:rPr>
                <w:rFonts w:ascii="Times New Roman" w:hAnsi="Times New Roman" w:cs="Times New Roman"/>
                <w:sz w:val="15"/>
                <w:szCs w:val="15"/>
              </w:rPr>
              <w:t xml:space="preserve">0.0</w:t>
            </w:r>
          </w:p>
        </w:tc>
      </w:tr>
      <w:tr>
        <w:tc>
          <w:tcPr>
            <w:tcW w:w="3300" w:type="dxa"/>
          </w:tcPr>
          <w:p>
            <w:pPr>
              <w:spacing w:before="0" w:after="20" w:line="210" w:lineRule="auto"/>
            </w:pPr>
            <w:r>
              <w:rPr>
                <w:rFonts w:ascii="Times New Roman" w:hAnsi="Times New Roman" w:cs="Times New Roman"/>
                <w:sz w:val="15"/>
                <w:szCs w:val="15"/>
              </w:rPr>
              <w:t xml:space="preserve">JSON parse rate</w:t>
            </w:r>
          </w:p>
        </w:tc>
        <w:tc>
          <w:tcPr>
            <w:tcW w:w="4000" w:type="dxa"/>
          </w:tcPr>
          <w:p>
            <w:pPr>
              <w:spacing w:before="0" w:after="20" w:line="210" w:lineRule="auto"/>
            </w:pPr>
            <w:r>
              <w:rPr>
                <w:rFonts w:ascii="Times New Roman" w:hAnsi="Times New Roman" w:cs="Times New Roman"/>
                <w:sz w:val="15"/>
                <w:szCs w:val="15"/>
              </w:rPr>
              <w:t xml:space="preserve">0.8289</w:t>
            </w:r>
          </w:p>
        </w:tc>
      </w:tr>
      <w:tr>
        <w:tc>
          <w:tcPr>
            <w:tcW w:w="3300" w:type="dxa"/>
          </w:tcPr>
          <w:p>
            <w:pPr>
              <w:spacing w:before="0" w:after="20" w:line="210" w:lineRule="auto"/>
            </w:pPr>
            <w:r>
              <w:rPr>
                <w:rFonts w:ascii="Times New Roman" w:hAnsi="Times New Roman" w:cs="Times New Roman"/>
                <w:sz w:val="15"/>
                <w:szCs w:val="15"/>
              </w:rPr>
              <w:t xml:space="preserve">Metadata coverage</w:t>
            </w:r>
          </w:p>
        </w:tc>
        <w:tc>
          <w:tcPr>
            <w:tcW w:w="4000" w:type="dxa"/>
          </w:tcPr>
          <w:p>
            <w:pPr>
              <w:spacing w:before="0" w:after="20" w:line="210" w:lineRule="auto"/>
            </w:pPr>
            <w:r>
              <w:rPr>
                <w:rFonts w:ascii="Times New Roman" w:hAnsi="Times New Roman" w:cs="Times New Roman"/>
                <w:sz w:val="15"/>
                <w:szCs w:val="15"/>
              </w:rPr>
              <w:t xml:space="preserve">1.0</w:t>
            </w:r>
          </w:p>
        </w:tc>
      </w:tr>
      <w:tr>
        <w:tc>
          <w:tcPr>
            <w:tcW w:w="3300" w:type="dxa"/>
          </w:tcPr>
          <w:p>
            <w:pPr>
              <w:spacing w:before="0" w:after="20" w:line="210" w:lineRule="auto"/>
            </w:pPr>
            <w:r>
              <w:rPr>
                <w:rFonts w:ascii="Times New Roman" w:hAnsi="Times New Roman" w:cs="Times New Roman"/>
                <w:sz w:val="15"/>
                <w:szCs w:val="15"/>
              </w:rPr>
              <w:t xml:space="preserve">Unsupported CWE count</w:t>
            </w:r>
          </w:p>
        </w:tc>
        <w:tc>
          <w:tcPr>
            <w:tcW w:w="4000" w:type="dxa"/>
          </w:tcPr>
          <w:p>
            <w:pPr>
              <w:spacing w:before="0" w:after="20" w:line="210" w:lineRule="auto"/>
            </w:pPr>
            <w:r>
              <w:rPr>
                <w:rFonts w:ascii="Times New Roman" w:hAnsi="Times New Roman" w:cs="Times New Roman"/>
                <w:sz w:val="15"/>
                <w:szCs w:val="15"/>
              </w:rPr>
              <w:t xml:space="preserve">4</w:t>
            </w:r>
          </w:p>
        </w:tc>
      </w:tr>
      <w:tr>
        <w:tc>
          <w:tcPr>
            <w:tcW w:w="3300" w:type="dxa"/>
          </w:tcPr>
          <w:p>
            <w:pPr>
              <w:spacing w:before="0" w:after="20" w:line="210" w:lineRule="auto"/>
            </w:pPr>
            <w:r>
              <w:rPr>
                <w:rFonts w:ascii="Times New Roman" w:hAnsi="Times New Roman" w:cs="Times New Roman"/>
                <w:sz w:val="15"/>
                <w:szCs w:val="15"/>
              </w:rPr>
              <w:t xml:space="preserve">Graph proof wording count</w:t>
            </w:r>
          </w:p>
        </w:tc>
        <w:tc>
          <w:tcPr>
            <w:tcW w:w="4000" w:type="dxa"/>
          </w:tcPr>
          <w:p>
            <w:pPr>
              <w:spacing w:before="0" w:after="20" w:line="210" w:lineRule="auto"/>
            </w:pPr>
            <w:r>
              <w:rPr>
                <w:rFonts w:ascii="Times New Roman" w:hAnsi="Times New Roman" w:cs="Times New Roman"/>
                <w:sz w:val="15"/>
                <w:szCs w:val="15"/>
              </w:rPr>
              <w:t xml:space="preserve">0</w:t>
            </w:r>
          </w:p>
        </w:tc>
      </w:tr>
    </w:tbl>
    <w:p>
      <w:pPr>
        <w:spacing w:before="0" w:after="90" w:line="240" w:lineRule="auto"/>
      </w:pPr>
      <w:r>
        <w:rPr>
          <w:rFonts w:ascii="Times New Roman" w:hAnsi="Times New Roman" w:cs="Times New Roman"/>
          <w:sz w:val="20"/>
          <w:szCs w:val="20"/>
        </w:rPr>
        <w:t xml:space="preserve"/>
      </w:r>
    </w:p>
    <w:p>
      <w:pPr>
        <w:jc w:val="center"/>
        <w:spacing w:before="180" w:after="100" w:line="240" w:lineRule="auto"/>
        <w:pageBreakBefore/>
      </w:pPr>
      <w:r>
        <w:rPr>
          <w:rFonts w:ascii="Times New Roman" w:hAnsi="Times New Roman" w:cs="Times New Roman"/>
          <w:sz w:val="20"/>
          <w:szCs w:val="20"/>
          <w:b/>
        </w:rPr>
        <w:t xml:space="preserve">IX. Demo and Case Studies</w:t>
      </w:r>
    </w:p>
    <w:tbl>
      <w:tblPr>
        <w:tblStyle w:val="TableGrid"/>
        <w:tblW w:w="0" w:type="auto"/>
        <w:tblCellMar>
          <w:top w:w="50" w:type="dxa"/>
          <w:left w:w="50" w:type="dxa"/>
          <w:bottom w:w="50" w:type="dxa"/>
          <w:right w:w="50" w:type="dxa"/>
        </w:tblCellMa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100"/>
        <w:gridCol w:w="3900"/>
        <w:gridCol w:w="1300"/>
      </w:tblGrid>
      <w:tr>
        <w:tc>
          <w:tcPr>
            <w:tcW w:w="2100" w:type="dxa"/>
            <w:shd w:fill="D9EAF7"/>
          </w:tcPr>
          <w:p>
            <w:pPr>
              <w:spacing w:before="0" w:after="20" w:line="210" w:lineRule="auto"/>
            </w:pPr>
            <w:r>
              <w:rPr>
                <w:rFonts w:ascii="Times New Roman" w:hAnsi="Times New Roman" w:cs="Times New Roman"/>
                <w:sz w:val="15"/>
                <w:szCs w:val="15"/>
                <w:b/>
              </w:rPr>
              <w:t xml:space="preserve">Label</w:t>
            </w:r>
          </w:p>
        </w:tc>
        <w:tc>
          <w:tcPr>
            <w:tcW w:w="3900" w:type="dxa"/>
            <w:shd w:fill="D9EAF7"/>
          </w:tcPr>
          <w:p>
            <w:pPr>
              <w:spacing w:before="0" w:after="20" w:line="210" w:lineRule="auto"/>
            </w:pPr>
            <w:r>
              <w:rPr>
                <w:rFonts w:ascii="Times New Roman" w:hAnsi="Times New Roman" w:cs="Times New Roman"/>
                <w:sz w:val="15"/>
                <w:szCs w:val="15"/>
                <w:b/>
              </w:rPr>
              <w:t xml:space="preserve">Example ID</w:t>
            </w:r>
          </w:p>
        </w:tc>
        <w:tc>
          <w:tcPr>
            <w:tcW w:w="1300" w:type="dxa"/>
            <w:shd w:fill="D9EAF7"/>
          </w:tcPr>
          <w:p>
            <w:pPr>
              <w:spacing w:before="0" w:after="20" w:line="210" w:lineRule="auto"/>
            </w:pPr>
            <w:r>
              <w:rPr>
                <w:rFonts w:ascii="Times New Roman" w:hAnsi="Times New Roman" w:cs="Times New Roman"/>
                <w:sz w:val="15"/>
                <w:szCs w:val="15"/>
                <w:b/>
              </w:rPr>
              <w:t xml:space="preserve">Mode</w:t>
            </w:r>
          </w:p>
        </w:tc>
      </w:tr>
      <w:tr>
        <w:tc>
          <w:tcPr>
            <w:tcW w:w="2100" w:type="dxa"/>
          </w:tcPr>
          <w:p>
            <w:pPr>
              <w:spacing w:before="0" w:after="20" w:line="210" w:lineRule="auto"/>
            </w:pPr>
            <w:r>
              <w:rPr>
                <w:rFonts w:ascii="Times New Roman" w:hAnsi="Times New Roman" w:cs="Times New Roman"/>
                <w:sz w:val="15"/>
                <w:szCs w:val="15"/>
              </w:rPr>
              <w:t xml:space="preserve">SQL Injection</w:t>
            </w:r>
          </w:p>
        </w:tc>
        <w:tc>
          <w:tcPr>
            <w:tcW w:w="3900" w:type="dxa"/>
          </w:tcPr>
          <w:p>
            <w:pPr>
              <w:spacing w:before="0" w:after="20" w:line="210" w:lineRule="auto"/>
            </w:pPr>
            <w:r>
              <w:rPr>
                <w:rFonts w:ascii="Times New Roman" w:hAnsi="Times New Roman" w:cs="Times New Roman"/>
                <w:sz w:val="15"/>
                <w:szCs w:val="15"/>
              </w:rPr>
              <w:t xml:space="preserve">trustsecai-gold-v1-00575</w:t>
            </w:r>
          </w:p>
        </w:tc>
        <w:tc>
          <w:tcPr>
            <w:tcW w:w="1300" w:type="dxa"/>
          </w:tcPr>
          <w:p>
            <w:pPr>
              <w:spacing w:before="0" w:after="20" w:line="210" w:lineRule="auto"/>
            </w:pPr>
            <w:r>
              <w:rPr>
                <w:rFonts w:ascii="Times New Roman" w:hAnsi="Times New Roman" w:cs="Times New Roman"/>
                <w:sz w:val="15"/>
                <w:szCs w:val="15"/>
              </w:rPr>
              <w:t xml:space="preserve">graph</w:t>
            </w:r>
          </w:p>
        </w:tc>
      </w:tr>
      <w:tr>
        <w:tc>
          <w:tcPr>
            <w:tcW w:w="2100" w:type="dxa"/>
          </w:tcPr>
          <w:p>
            <w:pPr>
              <w:spacing w:before="0" w:after="20" w:line="210" w:lineRule="auto"/>
            </w:pPr>
            <w:r>
              <w:rPr>
                <w:rFonts w:ascii="Times New Roman" w:hAnsi="Times New Roman" w:cs="Times New Roman"/>
                <w:sz w:val="15"/>
                <w:szCs w:val="15"/>
              </w:rPr>
              <w:t xml:space="preserve">PortScan</w:t>
            </w:r>
          </w:p>
        </w:tc>
        <w:tc>
          <w:tcPr>
            <w:tcW w:w="3900" w:type="dxa"/>
          </w:tcPr>
          <w:p>
            <w:pPr>
              <w:spacing w:before="0" w:after="20" w:line="210" w:lineRule="auto"/>
            </w:pPr>
            <w:r>
              <w:rPr>
                <w:rFonts w:ascii="Times New Roman" w:hAnsi="Times New Roman" w:cs="Times New Roman"/>
                <w:sz w:val="15"/>
                <w:szCs w:val="15"/>
              </w:rPr>
              <w:t xml:space="preserve">trustsecai-gold-v1-00178</w:t>
            </w:r>
          </w:p>
        </w:tc>
        <w:tc>
          <w:tcPr>
            <w:tcW w:w="1300" w:type="dxa"/>
          </w:tcPr>
          <w:p>
            <w:pPr>
              <w:spacing w:before="0" w:after="20" w:line="210" w:lineRule="auto"/>
            </w:pPr>
            <w:r>
              <w:rPr>
                <w:rFonts w:ascii="Times New Roman" w:hAnsi="Times New Roman" w:cs="Times New Roman"/>
                <w:sz w:val="15"/>
                <w:szCs w:val="15"/>
              </w:rPr>
              <w:t xml:space="preserve">graph</w:t>
            </w:r>
          </w:p>
        </w:tc>
      </w:tr>
      <w:tr>
        <w:tc>
          <w:tcPr>
            <w:tcW w:w="2100" w:type="dxa"/>
          </w:tcPr>
          <w:p>
            <w:pPr>
              <w:spacing w:before="0" w:after="20" w:line="210" w:lineRule="auto"/>
            </w:pPr>
            <w:r>
              <w:rPr>
                <w:rFonts w:ascii="Times New Roman" w:hAnsi="Times New Roman" w:cs="Times New Roman"/>
                <w:sz w:val="15"/>
                <w:szCs w:val="15"/>
              </w:rPr>
              <w:t xml:space="preserve">FTP-Patator</w:t>
            </w:r>
          </w:p>
        </w:tc>
        <w:tc>
          <w:tcPr>
            <w:tcW w:w="3900" w:type="dxa"/>
          </w:tcPr>
          <w:p>
            <w:pPr>
              <w:spacing w:before="0" w:after="20" w:line="210" w:lineRule="auto"/>
            </w:pPr>
            <w:r>
              <w:rPr>
                <w:rFonts w:ascii="Times New Roman" w:hAnsi="Times New Roman" w:cs="Times New Roman"/>
                <w:sz w:val="15"/>
                <w:szCs w:val="15"/>
              </w:rPr>
              <w:t xml:space="preserve">trustsecai-gold-v1-00810</w:t>
            </w:r>
          </w:p>
        </w:tc>
        <w:tc>
          <w:tcPr>
            <w:tcW w:w="1300" w:type="dxa"/>
          </w:tcPr>
          <w:p>
            <w:pPr>
              <w:spacing w:before="0" w:after="20" w:line="210" w:lineRule="auto"/>
            </w:pPr>
            <w:r>
              <w:rPr>
                <w:rFonts w:ascii="Times New Roman" w:hAnsi="Times New Roman" w:cs="Times New Roman"/>
                <w:sz w:val="15"/>
                <w:szCs w:val="15"/>
              </w:rPr>
              <w:t xml:space="preserve">graph</w:t>
            </w:r>
          </w:p>
        </w:tc>
      </w:tr>
      <w:tr>
        <w:tc>
          <w:tcPr>
            <w:tcW w:w="2100" w:type="dxa"/>
          </w:tcPr>
          <w:p>
            <w:pPr>
              <w:spacing w:before="0" w:after="20" w:line="210" w:lineRule="auto"/>
            </w:pPr>
            <w:r>
              <w:rPr>
                <w:rFonts w:ascii="Times New Roman" w:hAnsi="Times New Roman" w:cs="Times New Roman"/>
                <w:sz w:val="15"/>
                <w:szCs w:val="15"/>
              </w:rPr>
              <w:t xml:space="preserve">Bot</w:t>
            </w:r>
          </w:p>
        </w:tc>
        <w:tc>
          <w:tcPr>
            <w:tcW w:w="3900" w:type="dxa"/>
          </w:tcPr>
          <w:p>
            <w:pPr>
              <w:spacing w:before="0" w:after="20" w:line="210" w:lineRule="auto"/>
            </w:pPr>
            <w:r>
              <w:rPr>
                <w:rFonts w:ascii="Times New Roman" w:hAnsi="Times New Roman" w:cs="Times New Roman"/>
                <w:sz w:val="15"/>
                <w:szCs w:val="15"/>
              </w:rPr>
              <w:t xml:space="preserve">trustsecai-gold-v1-00381</w:t>
            </w:r>
          </w:p>
        </w:tc>
        <w:tc>
          <w:tcPr>
            <w:tcW w:w="1300" w:type="dxa"/>
          </w:tcPr>
          <w:p>
            <w:pPr>
              <w:spacing w:before="0" w:after="20" w:line="210" w:lineRule="auto"/>
            </w:pPr>
            <w:r>
              <w:rPr>
                <w:rFonts w:ascii="Times New Roman" w:hAnsi="Times New Roman" w:cs="Times New Roman"/>
                <w:sz w:val="15"/>
                <w:szCs w:val="15"/>
              </w:rPr>
              <w:t xml:space="preserve">graph</w:t>
            </w:r>
          </w:p>
        </w:tc>
      </w:tr>
      <w:tr>
        <w:tc>
          <w:tcPr>
            <w:tcW w:w="2100" w:type="dxa"/>
          </w:tcPr>
          <w:p>
            <w:pPr>
              <w:spacing w:before="0" w:after="20" w:line="210" w:lineRule="auto"/>
            </w:pPr>
            <w:r>
              <w:rPr>
                <w:rFonts w:ascii="Times New Roman" w:hAnsi="Times New Roman" w:cs="Times New Roman"/>
                <w:sz w:val="15"/>
                <w:szCs w:val="15"/>
              </w:rPr>
              <w:t xml:space="preserve">DDoS</w:t>
            </w:r>
          </w:p>
        </w:tc>
        <w:tc>
          <w:tcPr>
            <w:tcW w:w="3900" w:type="dxa"/>
          </w:tcPr>
          <w:p>
            <w:pPr>
              <w:spacing w:before="0" w:after="20" w:line="210" w:lineRule="auto"/>
            </w:pPr>
            <w:r>
              <w:rPr>
                <w:rFonts w:ascii="Times New Roman" w:hAnsi="Times New Roman" w:cs="Times New Roman"/>
                <w:sz w:val="15"/>
                <w:szCs w:val="15"/>
              </w:rPr>
              <w:t xml:space="preserve">trustsecai-gold-v1-00128</w:t>
            </w:r>
          </w:p>
        </w:tc>
        <w:tc>
          <w:tcPr>
            <w:tcW w:w="1300" w:type="dxa"/>
          </w:tcPr>
          <w:p>
            <w:pPr>
              <w:spacing w:before="0" w:after="20" w:line="210" w:lineRule="auto"/>
            </w:pPr>
            <w:r>
              <w:rPr>
                <w:rFonts w:ascii="Times New Roman" w:hAnsi="Times New Roman" w:cs="Times New Roman"/>
                <w:sz w:val="15"/>
                <w:szCs w:val="15"/>
              </w:rPr>
              <w:t xml:space="preserve">graph</w:t>
            </w:r>
          </w:p>
        </w:tc>
      </w:tr>
    </w:tbl>
    <w:p>
      <w:pPr>
        <w:spacing w:before="0" w:after="90" w:line="240" w:lineRule="auto"/>
      </w:pPr>
      <w:r>
        <w:rPr>
          <w:rFonts w:ascii="Times New Roman" w:hAnsi="Times New Roman" w:cs="Times New Roman"/>
          <w:sz w:val="20"/>
          <w:szCs w:val="20"/>
        </w:rPr>
        <w:t xml:space="preserve"/>
      </w:r>
    </w:p>
    <w:p>
      <w:pPr>
        <w:spacing w:before="0" w:after="80" w:line="240" w:lineRule="auto"/>
      </w:pPr>
      <w:r>
        <w:rPr>
          <w:rFonts w:ascii="Times New Roman" w:hAnsi="Times New Roman" w:cs="Times New Roman"/>
          <w:sz w:val="19"/>
          <w:szCs w:val="19"/>
        </w:rPr>
        <w:t xml:space="preserve">The SQL Injection case highlights classifier confidence of 98.32%, ATT&amp;CK T1190, agreement category agree_attack_high_confidence, graph-backed Neo4j traversal, SHAP evidence, LoRA secondary assessment, mitigations, and caveats. The Streamlit UI reads artifacts/demo/*.json and does not require a GPU.</w:t>
      </w:r>
    </w:p>
    <w:p>
      <w:pPr>
        <w:jc w:val="center"/>
        <w:spacing w:before="180" w:after="100" w:line="240" w:lineRule="auto"/>
      </w:pPr>
      <w:r>
        <w:rPr>
          <w:rFonts w:ascii="Times New Roman" w:hAnsi="Times New Roman" w:cs="Times New Roman"/>
          <w:sz w:val="20"/>
          <w:szCs w:val="20"/>
          <w:b/>
        </w:rPr>
        <w:t xml:space="preserve">X. Limitations</w:t>
      </w:r>
    </w:p>
    <w:p>
      <w:pPr>
        <w:spacing w:before="0" w:after="45" w:line="230" w:lineRule="auto"/>
      </w:pPr>
      <w:r>
        <w:rPr>
          <w:rFonts w:ascii="Times New Roman" w:hAnsi="Times New Roman" w:cs="Times New Roman"/>
          <w:sz w:val="19"/>
          <w:szCs w:val="19"/>
        </w:rPr>
        <w:t xml:space="preserve">- Random-split IDS metrics are inflated relative to day-aware validation.</w:t>
      </w:r>
    </w:p>
    <w:p>
      <w:pPr>
        <w:spacing w:before="0" w:after="45" w:line="230" w:lineRule="auto"/>
      </w:pPr>
      <w:r>
        <w:rPr>
          <w:rFonts w:ascii="Times New Roman" w:hAnsi="Times New Roman" w:cs="Times New Roman"/>
          <w:sz w:val="19"/>
          <w:szCs w:val="19"/>
        </w:rPr>
        <w:t xml:space="preserve">- The IDS classifier is binary; IDS subtype context is taken from real CICIDS labels in the corpus and demo.</w:t>
      </w:r>
    </w:p>
    <w:p>
      <w:pPr>
        <w:spacing w:before="0" w:after="45" w:line="230" w:lineRule="auto"/>
      </w:pPr>
      <w:r>
        <w:rPr>
          <w:rFonts w:ascii="Times New Roman" w:hAnsi="Times New Roman" w:cs="Times New Roman"/>
          <w:sz w:val="19"/>
          <w:szCs w:val="19"/>
        </w:rPr>
        <w:t xml:space="preserve">- LoRA v1 compact outputs are not always valid JSON.</w:t>
      </w:r>
    </w:p>
    <w:p>
      <w:pPr>
        <w:spacing w:before="0" w:after="45" w:line="230" w:lineRule="auto"/>
      </w:pPr>
      <w:r>
        <w:rPr>
          <w:rFonts w:ascii="Times New Roman" w:hAnsi="Times New Roman" w:cs="Times New Roman"/>
          <w:sz w:val="19"/>
          <w:szCs w:val="19"/>
        </w:rPr>
        <w:t xml:space="preserve">- Four unsupported CWE mentions were detected during compact evaluation.</w:t>
      </w:r>
    </w:p>
    <w:p>
      <w:pPr>
        <w:spacing w:before="0" w:after="45" w:line="230" w:lineRule="auto"/>
      </w:pPr>
      <w:r>
        <w:rPr>
          <w:rFonts w:ascii="Times New Roman" w:hAnsi="Times New Roman" w:cs="Times New Roman"/>
          <w:sz w:val="19"/>
          <w:szCs w:val="19"/>
        </w:rPr>
        <w:t xml:space="preserve">- Offline demo mode reads frozen LoRA outputs rather than performing live inference.</w:t>
      </w:r>
    </w:p>
    <w:p>
      <w:pPr>
        <w:spacing w:before="0" w:after="45" w:line="230" w:lineRule="auto"/>
      </w:pPr>
      <w:r>
        <w:rPr>
          <w:rFonts w:ascii="Times New Roman" w:hAnsi="Times New Roman" w:cs="Times New Roman"/>
          <w:sz w:val="19"/>
          <w:szCs w:val="19"/>
        </w:rPr>
        <w:t xml:space="preserve">- CVE/CWE enrichment is candidate context and does not prove asset exposure.</w:t>
      </w:r>
    </w:p>
    <w:p>
      <w:pPr>
        <w:spacing w:before="0" w:after="45" w:line="230" w:lineRule="auto"/>
      </w:pPr>
      <w:r>
        <w:rPr>
          <w:rFonts w:ascii="Times New Roman" w:hAnsi="Times New Roman" w:cs="Times New Roman"/>
          <w:sz w:val="19"/>
          <w:szCs w:val="19"/>
        </w:rPr>
        <w:t xml:space="preserve">- Graph context is not proof of compromise or attribution.</w:t>
      </w:r>
    </w:p>
    <w:p>
      <w:pPr>
        <w:jc w:val="center"/>
        <w:spacing w:before="180" w:after="100" w:line="240" w:lineRule="auto"/>
      </w:pPr>
      <w:r>
        <w:rPr>
          <w:rFonts w:ascii="Times New Roman" w:hAnsi="Times New Roman" w:cs="Times New Roman"/>
          <w:sz w:val="20"/>
          <w:szCs w:val="20"/>
          <w:b/>
        </w:rPr>
        <w:t xml:space="preserve">XI. Conclusion and Future Work</w:t>
      </w:r>
    </w:p>
    <w:p>
      <w:pPr>
        <w:spacing w:before="0" w:after="80" w:line="240" w:lineRule="auto"/>
      </w:pPr>
      <w:r>
        <w:rPr>
          <w:rFonts w:ascii="Times New Roman" w:hAnsi="Times New Roman" w:cs="Times New Roman"/>
          <w:sz w:val="19"/>
          <w:szCs w:val="19"/>
        </w:rPr>
        <w:t xml:space="preserve">TrustSecAI demonstrates an end-to-end defensive SOC-assistance pipeline that integrates IDS classification, SHAP explainability, graph-based threat intelligence, LoRA-based secondary assessment, agreement analysis, and graph-backed defensive attack-chain prediction. The system produces explainable reports while preserving uncertainty and avoiding unsupported attribution.</w:t>
      </w:r>
    </w:p>
    <w:p>
      <w:pPr>
        <w:spacing w:before="0" w:after="80" w:line="240" w:lineRule="auto"/>
      </w:pPr>
      <w:r>
        <w:rPr>
          <w:rFonts w:ascii="Times New Roman" w:hAnsi="Times New Roman" w:cs="Times New Roman"/>
          <w:sz w:val="19"/>
          <w:szCs w:val="19"/>
        </w:rPr>
        <w:t xml:space="preserve">Future work includes improving day-aware IDS generalization, adding live GPU-backed LoRA inference, enforcing structured LLM output with constrained decoding, expanding the reviewed SFT corpus, adding temporal alert correlation, improving graph-based candidate ranking, calibrating agreement scores with analyst feedback, and extending the Streamlit UI for interactive investigation.</w:t>
      </w:r>
    </w:p>
    <w:p>
      <w:pPr>
        <w:jc w:val="center"/>
        <w:spacing w:before="180" w:after="100" w:line="240" w:lineRule="auto"/>
        <w:pageBreakBefore/>
      </w:pPr>
      <w:r>
        <w:rPr>
          <w:rFonts w:ascii="Times New Roman" w:hAnsi="Times New Roman" w:cs="Times New Roman"/>
          <w:sz w:val="20"/>
          <w:szCs w:val="20"/>
          <w:b/>
        </w:rPr>
        <w:t xml:space="preserve">References. </w:t>
      </w:r>
    </w:p>
    <w:p>
      <w:pPr>
        <w:spacing w:before="0" w:after="50" w:line="220" w:lineRule="auto"/>
      </w:pPr>
      <w:r>
        <w:rPr>
          <w:rFonts w:ascii="Times New Roman" w:hAnsi="Times New Roman" w:cs="Times New Roman"/>
          <w:sz w:val="17"/>
          <w:szCs w:val="17"/>
        </w:rPr>
        <w:t xml:space="preserve">[1] I. Sharafaldin, A. H. Lashkari, and A. A. Ghorbani, "Toward Generating a New Intrusion Detection Dataset and Intrusion Traffic Characterization," ICISSP, 2018.</w:t>
      </w:r>
    </w:p>
    <w:p>
      <w:pPr>
        <w:spacing w:before="0" w:after="50" w:line="220" w:lineRule="auto"/>
      </w:pPr>
      <w:r>
        <w:rPr>
          <w:rFonts w:ascii="Times New Roman" w:hAnsi="Times New Roman" w:cs="Times New Roman"/>
          <w:sz w:val="17"/>
          <w:szCs w:val="17"/>
        </w:rPr>
        <w:t xml:space="preserve">[2] T. Chen and C. Guestrin, "XGBoost: A Scalable Tree Boosting System," KDD, 2016.</w:t>
      </w:r>
    </w:p>
    <w:p>
      <w:pPr>
        <w:spacing w:before="0" w:after="50" w:line="220" w:lineRule="auto"/>
      </w:pPr>
      <w:r>
        <w:rPr>
          <w:rFonts w:ascii="Times New Roman" w:hAnsi="Times New Roman" w:cs="Times New Roman"/>
          <w:sz w:val="17"/>
          <w:szCs w:val="17"/>
        </w:rPr>
        <w:t xml:space="preserve">[3] S. M. Lundberg and S.-I. Lee, "A Unified Approach to Interpreting Model Predictions," NeurIPS, 2017.</w:t>
      </w:r>
    </w:p>
    <w:p>
      <w:pPr>
        <w:spacing w:before="0" w:after="50" w:line="220" w:lineRule="auto"/>
      </w:pPr>
      <w:r>
        <w:rPr>
          <w:rFonts w:ascii="Times New Roman" w:hAnsi="Times New Roman" w:cs="Times New Roman"/>
          <w:sz w:val="17"/>
          <w:szCs w:val="17"/>
        </w:rPr>
        <w:t xml:space="preserve">[4] MITRE, "MITRE ATT&amp;CK Enterprise Matrix."</w:t>
      </w:r>
    </w:p>
    <w:p>
      <w:pPr>
        <w:spacing w:before="0" w:after="50" w:line="220" w:lineRule="auto"/>
      </w:pPr>
      <w:r>
        <w:rPr>
          <w:rFonts w:ascii="Times New Roman" w:hAnsi="Times New Roman" w:cs="Times New Roman"/>
          <w:sz w:val="17"/>
          <w:szCs w:val="17"/>
        </w:rPr>
        <w:t xml:space="preserve">[5] MITRE, "Common Attack Pattern Enumeration and Classification (CAPEC)."</w:t>
      </w:r>
    </w:p>
    <w:p>
      <w:pPr>
        <w:spacing w:before="0" w:after="50" w:line="220" w:lineRule="auto"/>
      </w:pPr>
      <w:r>
        <w:rPr>
          <w:rFonts w:ascii="Times New Roman" w:hAnsi="Times New Roman" w:cs="Times New Roman"/>
          <w:sz w:val="17"/>
          <w:szCs w:val="17"/>
        </w:rPr>
        <w:t xml:space="preserve">[6] MITRE, "Common Weakness Enumeration (CWE)."</w:t>
      </w:r>
    </w:p>
    <w:p>
      <w:pPr>
        <w:spacing w:before="0" w:after="50" w:line="220" w:lineRule="auto"/>
      </w:pPr>
      <w:r>
        <w:rPr>
          <w:rFonts w:ascii="Times New Roman" w:hAnsi="Times New Roman" w:cs="Times New Roman"/>
          <w:sz w:val="17"/>
          <w:szCs w:val="17"/>
        </w:rPr>
        <w:t xml:space="preserve">[7] NIST, "National Vulnerability Database (NVD)."</w:t>
      </w:r>
    </w:p>
    <w:p>
      <w:pPr>
        <w:spacing w:before="0" w:after="50" w:line="220" w:lineRule="auto"/>
      </w:pPr>
      <w:r>
        <w:rPr>
          <w:rFonts w:ascii="Times New Roman" w:hAnsi="Times New Roman" w:cs="Times New Roman"/>
          <w:sz w:val="17"/>
          <w:szCs w:val="17"/>
        </w:rPr>
        <w:t xml:space="preserve">[8] NIST, "Common Platform Enumeration (CPE)."</w:t>
      </w:r>
    </w:p>
    <w:p>
      <w:pPr>
        <w:spacing w:before="0" w:after="50" w:line="220" w:lineRule="auto"/>
      </w:pPr>
      <w:r>
        <w:rPr>
          <w:rFonts w:ascii="Times New Roman" w:hAnsi="Times New Roman" w:cs="Times New Roman"/>
          <w:sz w:val="17"/>
          <w:szCs w:val="17"/>
        </w:rPr>
        <w:t xml:space="preserve">[9] Neo4j, "Neo4j Graph Database."</w:t>
      </w:r>
    </w:p>
    <w:p>
      <w:pPr>
        <w:spacing w:before="0" w:after="50" w:line="220" w:lineRule="auto"/>
      </w:pPr>
      <w:r>
        <w:rPr>
          <w:rFonts w:ascii="Times New Roman" w:hAnsi="Times New Roman" w:cs="Times New Roman"/>
          <w:sz w:val="17"/>
          <w:szCs w:val="17"/>
        </w:rPr>
        <w:t xml:space="preserve">[10] P. Lewis et al., "Retrieval-Augmented Generation for Knowledge-Intensive NLP Tasks," NeurIPS, 2020.</w:t>
      </w:r>
    </w:p>
    <w:p>
      <w:pPr>
        <w:spacing w:before="0" w:after="50" w:line="220" w:lineRule="auto"/>
      </w:pPr>
      <w:r>
        <w:rPr>
          <w:rFonts w:ascii="Times New Roman" w:hAnsi="Times New Roman" w:cs="Times New Roman"/>
          <w:sz w:val="17"/>
          <w:szCs w:val="17"/>
        </w:rPr>
        <w:t xml:space="preserve">[11] E. Hu et al., "LoRA: Low-Rank Adaptation of Large Language Models," ICLR, 2022.</w:t>
      </w:r>
    </w:p>
    <w:p>
      <w:pPr>
        <w:spacing w:before="0" w:after="50" w:line="220" w:lineRule="auto"/>
      </w:pPr>
      <w:r>
        <w:rPr>
          <w:rFonts w:ascii="Times New Roman" w:hAnsi="Times New Roman" w:cs="Times New Roman"/>
          <w:sz w:val="17"/>
          <w:szCs w:val="17"/>
        </w:rPr>
        <w:t xml:space="preserve">[12] Hugging Face, "PEFT: Parameter-Efficient Fine-Tuning."</w:t>
      </w:r>
    </w:p>
    <w:p>
      <w:pPr>
        <w:spacing w:before="0" w:after="50" w:line="220" w:lineRule="auto"/>
      </w:pPr>
      <w:r>
        <w:rPr>
          <w:rFonts w:ascii="Times New Roman" w:hAnsi="Times New Roman" w:cs="Times New Roman"/>
          <w:sz w:val="17"/>
          <w:szCs w:val="17"/>
        </w:rPr>
        <w:t xml:space="preserve">[13] Meta AI, "Llama 3.1 Model Family."</w:t>
      </w:r>
    </w:p>
    <w:sectPr>
      <w:pgSz w:w="11906" w:h="16838"/>
      <w:pgMar w:top="720" w:right="720" w:bottom="720" w:left="720" w:header="360" w:footer="36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roman"/>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S Mincho">
    <w:altName w:val="Segoe Print"/>
    <w:panose1 w:val="02020609040205080304"/>
    <w:charset w:val="00"/>
    <w:family w:val="modern"/>
    <w:pitch w:val="default"/>
    <w:sig w:usb0="00000000" w:usb1="00000000" w:usb2="08000012" w:usb3="00000000" w:csb0="0002009F" w:csb1="00000000"/>
  </w:font>
  <w:font w:name="ＭＳ 明朝">
    <w:altName w:val="Segoe Print"/>
    <w:panose1 w:val="00000000000000000000"/>
    <w:charset w:val="00"/>
    <w:family w:val="auto"/>
    <w:pitch w:val="default"/>
    <w:sig w:usb0="00000000" w:usb1="00000000" w:usb2="00000000" w:usb3="00000000" w:csb0="00000000" w:csb1="00000000"/>
  </w:font>
  <w:font w:name="NimbusRomNo9L-Regu">
    <w:altName w:val="Yu Gothic"/>
    <w:panose1 w:val="00000000000000000000"/>
    <w:charset w:val="00"/>
    <w:family w:val="auto"/>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E75918">
    <w:pPr>
      <w:pStyle w:val="10"/>
      <w:jc w:val="left"/>
      <w:rPr>
        <w:sz w:val="16"/>
        <w:szCs w:val="16"/>
      </w:rPr>
    </w:pPr>
    <w:r>
      <w:rPr>
        <w:sz w:val="16"/>
        <w:szCs w:val="16"/>
      </w:rPr>
      <w:t>XXX-X-XXXX-XXXX-X/XX/$XX.00 ©20XX IEEE</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6FE1FCF"/>
    <w:multiLevelType w:val="multilevel"/>
    <w:tmpl w:val="26FE1FCF"/>
    <w:lvl w:ilvl="0" w:tentative="0">
      <w:start w:val="1"/>
      <w:numFmt w:val="decimal"/>
      <w:pStyle w:val="19"/>
      <w:lvlText w:val="%1 "/>
      <w:lvlJc w:val="left"/>
      <w:pPr>
        <w:tabs>
          <w:tab w:val="left" w:pos="648"/>
        </w:tabs>
        <w:ind w:firstLine="288"/>
      </w:pPr>
      <w:rPr>
        <w:rFonts w:hint="default" w:ascii="Times New Roman" w:hAnsi="Times New Roman" w:cs="Times New Roman"/>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1">
    <w:nsid w:val="37660336"/>
    <w:multiLevelType w:val="multilevel"/>
    <w:tmpl w:val="37660336"/>
    <w:lvl w:ilvl="0" w:tentative="0">
      <w:start w:val="1"/>
      <w:numFmt w:val="bullet"/>
      <w:pStyle w:val="16"/>
      <w:lvlText w:val=""/>
      <w:lvlJc w:val="left"/>
      <w:pPr>
        <w:tabs>
          <w:tab w:val="left" w:pos="648"/>
        </w:tabs>
        <w:ind w:left="648"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
    <w:nsid w:val="4189603E"/>
    <w:multiLevelType w:val="multilevel"/>
    <w:tmpl w:val="4189603E"/>
    <w:lvl w:ilvl="0" w:tentative="0">
      <w:start w:val="1"/>
      <w:numFmt w:val="upperRoman"/>
      <w:pStyle w:val="2"/>
      <w:lvlText w:val="%1."/>
      <w:lvlJc w:val="center"/>
      <w:pPr>
        <w:tabs>
          <w:tab w:val="left" w:pos="576"/>
        </w:tabs>
        <w:ind w:firstLine="216"/>
      </w:pPr>
      <w:rPr>
        <w:rFonts w:hint="default" w:ascii="Times New Roman" w:hAnsi="Times New Roman" w:cs="Times New Roman"/>
        <w:caps w:val="0"/>
        <w:strike w:val="0"/>
        <w:dstrike w:val="0"/>
        <w:vanish w:val="0"/>
        <w:color w:val="auto"/>
        <w:sz w:val="20"/>
        <w:szCs w:val="20"/>
        <w:vertAlign w:val="baseline"/>
        <w14:shadow w14:blurRad="0" w14:dist="0" w14:dir="0" w14:sx="0" w14:sy="0" w14:kx="0" w14:ky="0" w14:algn="none">
          <w14:srgbClr w14:val="000000"/>
        </w14:shadow>
      </w:rPr>
    </w:lvl>
    <w:lvl w:ilvl="1" w:tentative="0">
      <w:start w:val="1"/>
      <w:numFmt w:val="upperLetter"/>
      <w:pStyle w:val="3"/>
      <w:lvlText w:val="%2."/>
      <w:lvlJc w:val="left"/>
      <w:pPr>
        <w:tabs>
          <w:tab w:val="left" w:pos="360"/>
        </w:tabs>
        <w:ind w:left="288" w:hanging="288"/>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tentative="0">
      <w:start w:val="1"/>
      <w:numFmt w:val="decimal"/>
      <w:pStyle w:val="4"/>
      <w:lvlText w:val="%3)"/>
      <w:lvlJc w:val="left"/>
      <w:pPr>
        <w:tabs>
          <w:tab w:val="left" w:pos="540"/>
        </w:tabs>
        <w:ind w:firstLine="180"/>
      </w:pPr>
      <w:rPr>
        <w:rFonts w:hint="default" w:ascii="Times New Roman" w:hAnsi="Times New Roman" w:cs="Times New Roman"/>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tentative="0">
      <w:start w:val="1"/>
      <w:numFmt w:val="lowerLetter"/>
      <w:pStyle w:val="5"/>
      <w:lvlText w:val="%4)"/>
      <w:lvlJc w:val="left"/>
      <w:pPr>
        <w:tabs>
          <w:tab w:val="left" w:pos="630"/>
        </w:tabs>
        <w:ind w:firstLine="360"/>
      </w:pPr>
      <w:rPr>
        <w:rFonts w:hint="default" w:ascii="Times New Roman" w:hAnsi="Times New Roman" w:cs="Times New Roman"/>
        <w:b w:val="0"/>
        <w:bCs w:val="0"/>
        <w:i/>
        <w:iCs/>
        <w:sz w:val="20"/>
        <w:szCs w:val="20"/>
      </w:rPr>
    </w:lvl>
    <w:lvl w:ilvl="4" w:tentative="0">
      <w:start w:val="1"/>
      <w:numFmt w:val="none"/>
      <w:lvlRestart w:val="0"/>
      <w:lvlText w:val=""/>
      <w:lvlJc w:val="left"/>
      <w:pPr>
        <w:tabs>
          <w:tab w:val="left" w:pos="3240"/>
        </w:tabs>
        <w:ind w:left="2880"/>
      </w:pPr>
      <w:rPr>
        <w:rFonts w:hint="default" w:cs="Times New Roman"/>
      </w:rPr>
    </w:lvl>
    <w:lvl w:ilvl="5" w:tentative="0">
      <w:start w:val="1"/>
      <w:numFmt w:val="lowerLetter"/>
      <w:lvlText w:val="(%6)"/>
      <w:lvlJc w:val="left"/>
      <w:pPr>
        <w:tabs>
          <w:tab w:val="left" w:pos="3960"/>
        </w:tabs>
        <w:ind w:left="3600"/>
      </w:pPr>
      <w:rPr>
        <w:rFonts w:hint="default" w:cs="Times New Roman"/>
      </w:rPr>
    </w:lvl>
    <w:lvl w:ilvl="6" w:tentative="0">
      <w:start w:val="1"/>
      <w:numFmt w:val="lowerRoman"/>
      <w:lvlText w:val="(%7)"/>
      <w:lvlJc w:val="left"/>
      <w:pPr>
        <w:tabs>
          <w:tab w:val="left" w:pos="4680"/>
        </w:tabs>
        <w:ind w:left="4320"/>
      </w:pPr>
      <w:rPr>
        <w:rFonts w:hint="default" w:cs="Times New Roman"/>
      </w:rPr>
    </w:lvl>
    <w:lvl w:ilvl="7" w:tentative="0">
      <w:start w:val="1"/>
      <w:numFmt w:val="lowerLetter"/>
      <w:lvlText w:val="(%8)"/>
      <w:lvlJc w:val="left"/>
      <w:pPr>
        <w:tabs>
          <w:tab w:val="left" w:pos="5400"/>
        </w:tabs>
        <w:ind w:left="5040"/>
      </w:pPr>
      <w:rPr>
        <w:rFonts w:hint="default" w:cs="Times New Roman"/>
      </w:rPr>
    </w:lvl>
    <w:lvl w:ilvl="8" w:tentative="0">
      <w:start w:val="1"/>
      <w:numFmt w:val="lowerRoman"/>
      <w:lvlText w:val="(%9)"/>
      <w:lvlJc w:val="left"/>
      <w:pPr>
        <w:tabs>
          <w:tab w:val="left" w:pos="6120"/>
        </w:tabs>
        <w:ind w:left="5760"/>
      </w:pPr>
      <w:rPr>
        <w:rFonts w:hint="default" w:cs="Times New Roman"/>
      </w:rPr>
    </w:lvl>
  </w:abstractNum>
  <w:abstractNum w:abstractNumId="3">
    <w:nsid w:val="493C3F76"/>
    <w:multiLevelType w:val="multilevel"/>
    <w:tmpl w:val="493C3F76"/>
    <w:lvl w:ilvl="0" w:tentative="0">
      <w:start w:val="1"/>
      <w:numFmt w:val="lowerLetter"/>
      <w:pStyle w:val="27"/>
      <w:lvlText w:val="%1."/>
      <w:lvlJc w:val="right"/>
      <w:pPr>
        <w:ind w:left="418" w:hanging="360"/>
      </w:pPr>
      <w:rPr>
        <w:rFonts w:hint="default" w:ascii="Times New Roman" w:hAnsi="Times New Roman"/>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52CA544A"/>
    <w:multiLevelType w:val="singleLevel"/>
    <w:tmpl w:val="52CA544A"/>
    <w:lvl w:ilvl="0" w:tentative="0">
      <w:start w:val="1"/>
      <w:numFmt w:val="decimal"/>
      <w:pStyle w:val="22"/>
      <w:lvlText w:val="[%1]"/>
      <w:lvlJc w:val="left"/>
      <w:pPr>
        <w:tabs>
          <w:tab w:val="left" w:pos="360"/>
        </w:tabs>
        <w:ind w:left="360" w:hanging="360"/>
      </w:pPr>
      <w:rPr>
        <w:rFonts w:hint="default" w:ascii="Times New Roman" w:hAnsi="Times New Roman" w:cs="Times New Roman"/>
        <w:b w:val="0"/>
        <w:bCs w:val="0"/>
        <w:i w:val="0"/>
        <w:iCs w:val="0"/>
        <w:sz w:val="16"/>
        <w:szCs w:val="16"/>
      </w:rPr>
    </w:lvl>
  </w:abstractNum>
  <w:abstractNum w:abstractNumId="5">
    <w:nsid w:val="6C402C58"/>
    <w:multiLevelType w:val="multilevel"/>
    <w:tmpl w:val="6C402C58"/>
    <w:lvl w:ilvl="0" w:tentative="0">
      <w:start w:val="1"/>
      <w:numFmt w:val="decimal"/>
      <w:pStyle w:val="18"/>
      <w:lvlText w:val="Fig. %1."/>
      <w:lvlJc w:val="left"/>
      <w:pPr>
        <w:ind w:left="360" w:hanging="360"/>
      </w:pPr>
      <w:rPr>
        <w:rFonts w:hint="default" w:ascii="Times New Roman" w:hAnsi="Times New Roman" w:cs="Times New Roman"/>
        <w:b w:val="0"/>
        <w:bCs w:val="0"/>
        <w:i w:val="0"/>
        <w:iCs w:val="0"/>
        <w:color w:val="auto"/>
        <w:sz w:val="16"/>
        <w:szCs w:val="16"/>
      </w:rPr>
    </w:lvl>
    <w:lvl w:ilvl="1" w:tentative="0">
      <w:start w:val="1"/>
      <w:numFmt w:val="lowerLetter"/>
      <w:lvlText w:val="%2."/>
      <w:lvlJc w:val="left"/>
      <w:pPr>
        <w:tabs>
          <w:tab w:val="left" w:pos="1440"/>
        </w:tabs>
        <w:ind w:left="1440" w:hanging="360"/>
      </w:pPr>
      <w:rPr>
        <w:rFonts w:cs="Times New Roman"/>
      </w:rPr>
    </w:lvl>
    <w:lvl w:ilvl="2" w:tentative="0">
      <w:start w:val="1"/>
      <w:numFmt w:val="lowerRoman"/>
      <w:lvlText w:val="%3."/>
      <w:lvlJc w:val="right"/>
      <w:pPr>
        <w:tabs>
          <w:tab w:val="left" w:pos="2160"/>
        </w:tabs>
        <w:ind w:left="2160" w:hanging="180"/>
      </w:pPr>
      <w:rPr>
        <w:rFonts w:cs="Times New Roman"/>
      </w:rPr>
    </w:lvl>
    <w:lvl w:ilvl="3" w:tentative="0">
      <w:start w:val="1"/>
      <w:numFmt w:val="decimal"/>
      <w:lvlText w:val="%4."/>
      <w:lvlJc w:val="left"/>
      <w:pPr>
        <w:tabs>
          <w:tab w:val="left" w:pos="2880"/>
        </w:tabs>
        <w:ind w:left="2880" w:hanging="360"/>
      </w:pPr>
      <w:rPr>
        <w:rFonts w:cs="Times New Roman"/>
      </w:rPr>
    </w:lvl>
    <w:lvl w:ilvl="4" w:tentative="0">
      <w:start w:val="1"/>
      <w:numFmt w:val="lowerLetter"/>
      <w:lvlText w:val="%5."/>
      <w:lvlJc w:val="left"/>
      <w:pPr>
        <w:tabs>
          <w:tab w:val="left" w:pos="3600"/>
        </w:tabs>
        <w:ind w:left="3600" w:hanging="360"/>
      </w:pPr>
      <w:rPr>
        <w:rFonts w:cs="Times New Roman"/>
      </w:rPr>
    </w:lvl>
    <w:lvl w:ilvl="5" w:tentative="0">
      <w:start w:val="1"/>
      <w:numFmt w:val="lowerRoman"/>
      <w:lvlText w:val="%6."/>
      <w:lvlJc w:val="right"/>
      <w:pPr>
        <w:tabs>
          <w:tab w:val="left" w:pos="4320"/>
        </w:tabs>
        <w:ind w:left="4320" w:hanging="180"/>
      </w:pPr>
      <w:rPr>
        <w:rFonts w:cs="Times New Roman"/>
      </w:rPr>
    </w:lvl>
    <w:lvl w:ilvl="6" w:tentative="0">
      <w:start w:val="1"/>
      <w:numFmt w:val="decimal"/>
      <w:lvlText w:val="%7."/>
      <w:lvlJc w:val="left"/>
      <w:pPr>
        <w:tabs>
          <w:tab w:val="left" w:pos="5040"/>
        </w:tabs>
        <w:ind w:left="5040" w:hanging="360"/>
      </w:pPr>
      <w:rPr>
        <w:rFonts w:cs="Times New Roman"/>
      </w:rPr>
    </w:lvl>
    <w:lvl w:ilvl="7" w:tentative="0">
      <w:start w:val="1"/>
      <w:numFmt w:val="lowerLetter"/>
      <w:lvlText w:val="%8."/>
      <w:lvlJc w:val="left"/>
      <w:pPr>
        <w:tabs>
          <w:tab w:val="left" w:pos="5760"/>
        </w:tabs>
        <w:ind w:left="5760" w:hanging="360"/>
      </w:pPr>
      <w:rPr>
        <w:rFonts w:cs="Times New Roman"/>
      </w:rPr>
    </w:lvl>
    <w:lvl w:ilvl="8" w:tentative="0">
      <w:start w:val="1"/>
      <w:numFmt w:val="lowerRoman"/>
      <w:lvlText w:val="%9."/>
      <w:lvlJc w:val="right"/>
      <w:pPr>
        <w:tabs>
          <w:tab w:val="left" w:pos="6480"/>
        </w:tabs>
        <w:ind w:left="6480" w:hanging="180"/>
      </w:pPr>
      <w:rPr>
        <w:rFonts w:cs="Times New Roman"/>
      </w:rPr>
    </w:lvl>
  </w:abstractNum>
  <w:abstractNum w:abstractNumId="6">
    <w:nsid w:val="6CD32DA8"/>
    <w:multiLevelType w:val="singleLevel"/>
    <w:tmpl w:val="6CD32DA8"/>
    <w:lvl w:ilvl="0" w:tentative="0">
      <w:start w:val="1"/>
      <w:numFmt w:val="upperRoman"/>
      <w:pStyle w:val="28"/>
      <w:lvlText w:val="TABLE %1. "/>
      <w:lvlJc w:val="left"/>
      <w:pPr>
        <w:tabs>
          <w:tab w:val="left" w:pos="1080"/>
        </w:tabs>
      </w:pPr>
      <w:rPr>
        <w:rFonts w:hint="default" w:ascii="Times New Roman" w:hAnsi="Times New Roman" w:cs="Times New Roman"/>
        <w:b w:val="0"/>
        <w:bCs w:val="0"/>
        <w:i w:val="0"/>
        <w:iCs w:val="0"/>
        <w:sz w:val="16"/>
        <w:szCs w:val="16"/>
      </w:rPr>
    </w:lvl>
  </w:abstractNum>
  <w:num w:numId="1">
    <w:abstractNumId w:val="2"/>
  </w:num>
  <w:num w:numId="2">
    <w:abstractNumId w:val="1"/>
  </w:num>
  <w:num w:numId="3">
    <w:abstractNumId w:val="5"/>
  </w:num>
  <w:num w:numId="4">
    <w:abstractNumId w:val="0"/>
  </w:num>
  <w:num w:numId="5">
    <w:abstractNumId w:val="4"/>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embedSystemFonts/>
  <w:documentProtection w:enforcement="0"/>
  <w:defaultTabStop w:val="720"/>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 w:val="34A923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center"/>
    </w:pPr>
    <w:rPr>
      <w:rFonts w:ascii="Times New Roman" w:hAnsi="Times New Roman" w:eastAsia="SimSun" w:cs="Times New Roman"/>
      <w:lang w:val="en-US" w:eastAsia="en-US" w:bidi="ar-SA"/>
    </w:rPr>
  </w:style>
  <w:style w:type="paragraph" w:styleId="2">
    <w:name w:val="heading 1"/>
    <w:basedOn w:val="1"/>
    <w:next w:val="1"/>
    <w:qFormat/>
    <w:uiPriority w:val="0"/>
    <w:pPr>
      <w:keepNext/>
      <w:keepLines/>
      <w:numPr>
        <w:ilvl w:val="0"/>
        <w:numId w:val="1"/>
      </w:numPr>
      <w:tabs>
        <w:tab w:val="left" w:pos="216"/>
      </w:tabs>
      <w:spacing w:before="160" w:after="80"/>
      <w:ind w:firstLine="0"/>
      <w:outlineLvl w:val="0"/>
    </w:pPr>
    <w:rPr>
      <w:smallCaps/>
    </w:rPr>
  </w:style>
  <w:style w:type="paragraph" w:styleId="3">
    <w:name w:val="heading 2"/>
    <w:basedOn w:val="1"/>
    <w:next w:val="1"/>
    <w:qFormat/>
    <w:uiPriority w:val="0"/>
    <w:pPr>
      <w:keepNext/>
      <w:keepLines/>
      <w:numPr>
        <w:ilvl w:val="1"/>
        <w:numId w:val="1"/>
      </w:numPr>
      <w:tabs>
        <w:tab w:val="left" w:pos="288"/>
        <w:tab w:val="clear" w:pos="360"/>
      </w:tabs>
      <w:spacing w:before="120" w:after="60"/>
      <w:jc w:val="left"/>
      <w:outlineLvl w:val="1"/>
    </w:pPr>
    <w:rPr>
      <w:i/>
      <w:iCs/>
    </w:rPr>
  </w:style>
  <w:style w:type="paragraph" w:styleId="4">
    <w:name w:val="heading 3"/>
    <w:basedOn w:val="1"/>
    <w:next w:val="1"/>
    <w:qFormat/>
    <w:uiPriority w:val="0"/>
    <w:pPr>
      <w:numPr>
        <w:ilvl w:val="2"/>
        <w:numId w:val="1"/>
      </w:numPr>
      <w:spacing w:line="240" w:lineRule="exact"/>
      <w:ind w:firstLine="288"/>
      <w:jc w:val="both"/>
      <w:outlineLvl w:val="2"/>
    </w:pPr>
    <w:rPr>
      <w:i/>
      <w:iCs/>
    </w:rPr>
  </w:style>
  <w:style w:type="paragraph" w:styleId="5">
    <w:name w:val="heading 4"/>
    <w:basedOn w:val="1"/>
    <w:next w:val="1"/>
    <w:qFormat/>
    <w:uiPriority w:val="0"/>
    <w:pPr>
      <w:numPr>
        <w:ilvl w:val="3"/>
        <w:numId w:val="1"/>
      </w:numPr>
      <w:tabs>
        <w:tab w:val="left" w:pos="720"/>
        <w:tab w:val="clear" w:pos="630"/>
      </w:tabs>
      <w:spacing w:before="40" w:after="40"/>
      <w:ind w:firstLine="504"/>
      <w:jc w:val="both"/>
      <w:outlineLvl w:val="3"/>
    </w:pPr>
    <w:rPr>
      <w:i/>
      <w:iCs/>
    </w:rPr>
  </w:style>
  <w:style w:type="paragraph" w:styleId="6">
    <w:name w:val="heading 5"/>
    <w:basedOn w:val="1"/>
    <w:next w:val="1"/>
    <w:qFormat/>
    <w:uiPriority w:val="0"/>
    <w:pPr>
      <w:tabs>
        <w:tab w:val="left" w:pos="360"/>
      </w:tabs>
      <w:spacing w:before="160" w:after="80"/>
      <w:outlineLvl w:val="4"/>
    </w:pPr>
    <w:rPr>
      <w:smallCaps/>
    </w:rPr>
  </w:style>
  <w:style w:type="character" w:default="1" w:styleId="7">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9">
    <w:name w:val="Body Text"/>
    <w:basedOn w:val="1"/>
    <w:link w:val="15"/>
    <w:uiPriority w:val="0"/>
    <w:pPr>
      <w:tabs>
        <w:tab w:val="left" w:pos="288"/>
      </w:tabs>
      <w:spacing w:after="120" w:line="228" w:lineRule="auto"/>
      <w:ind w:firstLine="288"/>
      <w:jc w:val="both"/>
    </w:pPr>
    <w:rPr>
      <w:spacing w:val="-1"/>
      <w:lang w:val="zh-CN" w:eastAsia="zh-CN"/>
    </w:rPr>
  </w:style>
  <w:style w:type="paragraph" w:styleId="10">
    <w:name w:val="footer"/>
    <w:basedOn w:val="1"/>
    <w:link w:val="31"/>
    <w:qFormat/>
    <w:uiPriority w:val="0"/>
    <w:pPr>
      <w:tabs>
        <w:tab w:val="center" w:pos="4680"/>
        <w:tab w:val="right" w:pos="9360"/>
      </w:tabs>
    </w:pPr>
  </w:style>
  <w:style w:type="paragraph" w:styleId="11">
    <w:name w:val="header"/>
    <w:basedOn w:val="1"/>
    <w:link w:val="30"/>
    <w:qFormat/>
    <w:uiPriority w:val="0"/>
    <w:pPr>
      <w:tabs>
        <w:tab w:val="center" w:pos="4680"/>
        <w:tab w:val="right" w:pos="9360"/>
      </w:tabs>
    </w:pPr>
  </w:style>
  <w:style w:type="paragraph" w:customStyle="1" w:styleId="12">
    <w:name w:val="Abstract"/>
    <w:uiPriority w:val="0"/>
    <w:pPr>
      <w:spacing w:after="200"/>
      <w:ind w:firstLine="272"/>
      <w:jc w:val="both"/>
    </w:pPr>
    <w:rPr>
      <w:rFonts w:ascii="Times New Roman" w:hAnsi="Times New Roman" w:eastAsia="SimSun" w:cs="Times New Roman"/>
      <w:b/>
      <w:bCs/>
      <w:sz w:val="18"/>
      <w:szCs w:val="18"/>
      <w:lang w:val="en-US" w:eastAsia="en-US" w:bidi="ar-SA"/>
    </w:rPr>
  </w:style>
  <w:style w:type="paragraph" w:customStyle="1" w:styleId="13">
    <w:name w:val="Affiliation"/>
    <w:uiPriority w:val="0"/>
    <w:pPr>
      <w:jc w:val="center"/>
    </w:pPr>
    <w:rPr>
      <w:rFonts w:ascii="Times New Roman" w:hAnsi="Times New Roman" w:eastAsia="SimSun" w:cs="Times New Roman"/>
      <w:lang w:val="en-US" w:eastAsia="en-US" w:bidi="ar-SA"/>
    </w:rPr>
  </w:style>
  <w:style w:type="paragraph" w:customStyle="1" w:styleId="14">
    <w:name w:val="Author"/>
    <w:uiPriority w:val="0"/>
    <w:pPr>
      <w:spacing w:before="360" w:after="40"/>
      <w:jc w:val="center"/>
    </w:pPr>
    <w:rPr>
      <w:rFonts w:ascii="Times New Roman" w:hAnsi="Times New Roman" w:eastAsia="SimSun" w:cs="Times New Roman"/>
      <w:sz w:val="22"/>
      <w:szCs w:val="22"/>
      <w:lang w:val="en-US" w:eastAsia="en-US" w:bidi="ar-SA"/>
    </w:rPr>
  </w:style>
  <w:style w:type="character" w:customStyle="1" w:styleId="15">
    <w:name w:val="Body Text Char"/>
    <w:link w:val="9"/>
    <w:uiPriority w:val="0"/>
    <w:rPr>
      <w:spacing w:val="-1"/>
      <w:lang w:val="zh-CN" w:eastAsia="zh-CN"/>
    </w:rPr>
  </w:style>
  <w:style w:type="paragraph" w:customStyle="1" w:styleId="16">
    <w:name w:val="bullet list"/>
    <w:basedOn w:val="9"/>
    <w:qFormat/>
    <w:uiPriority w:val="0"/>
    <w:pPr>
      <w:numPr>
        <w:ilvl w:val="0"/>
        <w:numId w:val="2"/>
      </w:numPr>
      <w:tabs>
        <w:tab w:val="clear" w:pos="648"/>
      </w:tabs>
      <w:ind w:left="576" w:hanging="288"/>
    </w:pPr>
  </w:style>
  <w:style w:type="paragraph" w:customStyle="1" w:styleId="17">
    <w:name w:val="equation"/>
    <w:basedOn w:val="1"/>
    <w:qFormat/>
    <w:uiPriority w:val="0"/>
    <w:pPr>
      <w:tabs>
        <w:tab w:val="center" w:pos="2520"/>
        <w:tab w:val="right" w:pos="5040"/>
      </w:tabs>
      <w:spacing w:before="240" w:after="240" w:line="216" w:lineRule="auto"/>
    </w:pPr>
    <w:rPr>
      <w:rFonts w:ascii="Symbol" w:hAnsi="Symbol" w:cs="Symbol"/>
    </w:rPr>
  </w:style>
  <w:style w:type="paragraph" w:customStyle="1" w:styleId="18">
    <w:name w:val="figure caption"/>
    <w:qFormat/>
    <w:uiPriority w:val="0"/>
    <w:pPr>
      <w:numPr>
        <w:ilvl w:val="0"/>
        <w:numId w:val="3"/>
      </w:numPr>
      <w:tabs>
        <w:tab w:val="left" w:pos="533"/>
      </w:tabs>
      <w:spacing w:before="80" w:after="200"/>
      <w:ind w:left="0" w:firstLine="0"/>
      <w:jc w:val="both"/>
    </w:pPr>
    <w:rPr>
      <w:rFonts w:ascii="Times New Roman" w:hAnsi="Times New Roman" w:eastAsia="SimSun" w:cs="Times New Roman"/>
      <w:sz w:val="16"/>
      <w:szCs w:val="16"/>
      <w:lang w:val="en-US" w:eastAsia="en-US" w:bidi="ar-SA"/>
    </w:rPr>
  </w:style>
  <w:style w:type="paragraph" w:customStyle="1" w:styleId="19">
    <w:name w:val="footnote"/>
    <w:qFormat/>
    <w:uiPriority w:val="0"/>
    <w:pPr>
      <w:framePr w:hSpace="187" w:vSpace="187" w:wrap="notBeside" w:vAnchor="text" w:hAnchor="page" w:x="6121" w:y="577"/>
      <w:numPr>
        <w:ilvl w:val="0"/>
        <w:numId w:val="4"/>
      </w:numPr>
      <w:spacing w:after="40"/>
    </w:pPr>
    <w:rPr>
      <w:rFonts w:ascii="Times New Roman" w:hAnsi="Times New Roman" w:eastAsia="SimSun" w:cs="Times New Roman"/>
      <w:sz w:val="16"/>
      <w:szCs w:val="16"/>
      <w:lang w:val="en-US" w:eastAsia="en-US" w:bidi="ar-SA"/>
    </w:rPr>
  </w:style>
  <w:style w:type="paragraph" w:customStyle="1" w:styleId="20">
    <w:name w:val="paper subtitle"/>
    <w:qFormat/>
    <w:uiPriority w:val="0"/>
    <w:pPr>
      <w:spacing w:after="120"/>
      <w:jc w:val="center"/>
    </w:pPr>
    <w:rPr>
      <w:rFonts w:ascii="Times New Roman" w:hAnsi="Times New Roman" w:eastAsia="MS Mincho" w:cs="Times New Roman"/>
      <w:sz w:val="28"/>
      <w:szCs w:val="28"/>
      <w:lang w:val="en-US" w:eastAsia="en-US" w:bidi="ar-SA"/>
    </w:rPr>
  </w:style>
  <w:style w:type="paragraph" w:customStyle="1" w:styleId="21">
    <w:name w:val="paper title"/>
    <w:qFormat/>
    <w:uiPriority w:val="0"/>
    <w:pPr>
      <w:spacing w:after="120"/>
      <w:jc w:val="center"/>
    </w:pPr>
    <w:rPr>
      <w:rFonts w:ascii="Times New Roman" w:hAnsi="Times New Roman" w:eastAsia="MS Mincho" w:cs="Times New Roman"/>
      <w:sz w:val="48"/>
      <w:szCs w:val="48"/>
      <w:lang w:val="en-US" w:eastAsia="en-US" w:bidi="ar-SA"/>
    </w:rPr>
  </w:style>
  <w:style w:type="paragraph" w:customStyle="1" w:styleId="22">
    <w:name w:val="references"/>
    <w:qFormat/>
    <w:uiPriority w:val="0"/>
    <w:pPr>
      <w:numPr>
        <w:ilvl w:val="0"/>
        <w:numId w:val="5"/>
      </w:numPr>
      <w:spacing w:after="50" w:line="180" w:lineRule="exact"/>
      <w:jc w:val="both"/>
    </w:pPr>
    <w:rPr>
      <w:rFonts w:ascii="Times New Roman" w:hAnsi="Times New Roman" w:eastAsia="MS Mincho" w:cs="Times New Roman"/>
      <w:sz w:val="16"/>
      <w:szCs w:val="16"/>
      <w:lang w:val="en-US" w:eastAsia="en-US" w:bidi="ar-SA"/>
    </w:rPr>
  </w:style>
  <w:style w:type="paragraph" w:customStyle="1" w:styleId="23">
    <w:name w:val="sponsors"/>
    <w:qFormat/>
    <w:uiPriority w:val="0"/>
    <w:pPr>
      <w:framePr w:wrap="auto" w:vAnchor="margin" w:hAnchor="text" w:x="615" w:y="2239"/>
      <w:pBdr>
        <w:top w:val="single" w:color="auto" w:sz="4" w:space="2"/>
      </w:pBdr>
      <w:ind w:firstLine="288"/>
    </w:pPr>
    <w:rPr>
      <w:rFonts w:ascii="Times New Roman" w:hAnsi="Times New Roman" w:eastAsia="SimSun" w:cs="Times New Roman"/>
      <w:sz w:val="16"/>
      <w:szCs w:val="16"/>
      <w:lang w:val="en-US" w:eastAsia="en-US" w:bidi="ar-SA"/>
    </w:rPr>
  </w:style>
  <w:style w:type="paragraph" w:customStyle="1" w:styleId="24">
    <w:name w:val="table col head"/>
    <w:basedOn w:val="1"/>
    <w:qFormat/>
    <w:uiPriority w:val="0"/>
    <w:rPr>
      <w:b/>
      <w:bCs/>
      <w:sz w:val="16"/>
      <w:szCs w:val="16"/>
    </w:rPr>
  </w:style>
  <w:style w:type="paragraph" w:customStyle="1" w:styleId="25">
    <w:name w:val="table col subhead"/>
    <w:basedOn w:val="24"/>
    <w:qFormat/>
    <w:uiPriority w:val="0"/>
    <w:rPr>
      <w:i/>
      <w:iCs/>
      <w:sz w:val="15"/>
      <w:szCs w:val="15"/>
    </w:rPr>
  </w:style>
  <w:style w:type="paragraph" w:customStyle="1" w:styleId="26">
    <w:name w:val="table copy"/>
    <w:qFormat/>
    <w:uiPriority w:val="0"/>
    <w:pPr>
      <w:jc w:val="both"/>
    </w:pPr>
    <w:rPr>
      <w:rFonts w:ascii="Times New Roman" w:hAnsi="Times New Roman" w:eastAsia="SimSun" w:cs="Times New Roman"/>
      <w:sz w:val="16"/>
      <w:szCs w:val="16"/>
      <w:lang w:val="en-US" w:eastAsia="en-US" w:bidi="ar-SA"/>
    </w:rPr>
  </w:style>
  <w:style w:type="paragraph" w:customStyle="1" w:styleId="27">
    <w:name w:val="table footnote"/>
    <w:qFormat/>
    <w:uiPriority w:val="0"/>
    <w:pPr>
      <w:numPr>
        <w:ilvl w:val="0"/>
        <w:numId w:val="6"/>
      </w:numPr>
      <w:spacing w:before="60" w:after="30"/>
      <w:ind w:left="58" w:hanging="29"/>
      <w:jc w:val="right"/>
    </w:pPr>
    <w:rPr>
      <w:rFonts w:ascii="Times New Roman" w:hAnsi="Times New Roman" w:eastAsia="SimSun" w:cs="Times New Roman"/>
      <w:sz w:val="12"/>
      <w:szCs w:val="12"/>
      <w:lang w:val="en-US" w:eastAsia="en-US" w:bidi="ar-SA"/>
    </w:rPr>
  </w:style>
  <w:style w:type="paragraph" w:customStyle="1" w:styleId="28">
    <w:name w:val="table head"/>
    <w:qFormat/>
    <w:uiPriority w:val="0"/>
    <w:pPr>
      <w:numPr>
        <w:ilvl w:val="0"/>
        <w:numId w:val="7"/>
      </w:numPr>
      <w:spacing w:before="240" w:after="120" w:line="216" w:lineRule="auto"/>
      <w:jc w:val="center"/>
    </w:pPr>
    <w:rPr>
      <w:rFonts w:ascii="Times New Roman" w:hAnsi="Times New Roman" w:eastAsia="SimSun" w:cs="Times New Roman"/>
      <w:smallCaps/>
      <w:sz w:val="16"/>
      <w:szCs w:val="16"/>
      <w:lang w:val="en-US" w:eastAsia="en-US" w:bidi="ar-SA"/>
    </w:rPr>
  </w:style>
  <w:style w:type="paragraph" w:customStyle="1" w:styleId="29">
    <w:name w:val="Keywords"/>
    <w:basedOn w:val="12"/>
    <w:qFormat/>
    <w:uiPriority w:val="0"/>
    <w:pPr>
      <w:spacing w:after="120"/>
      <w:ind w:firstLine="274"/>
    </w:pPr>
    <w:rPr>
      <w:i/>
    </w:rPr>
  </w:style>
  <w:style w:type="character" w:customStyle="1" w:styleId="30">
    <w:name w:val="Header Char"/>
    <w:basedOn w:val="7"/>
    <w:link w:val="11"/>
    <w:qFormat/>
    <w:uiPriority w:val="0"/>
  </w:style>
  <w:style w:type="character" w:customStyle="1" w:styleId="31">
    <w:name w:val="Footer Char"/>
    <w:basedOn w:val="7"/>
    <w:link w:val="10"/>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2.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E966C7F-158E-4883-86A6-4454069232BB}">
  <ds:schemaRefs/>
</ds:datastoreItem>
</file>

<file path=docProps/app.xml><?xml version="1.0" encoding="utf-8"?>
<Properties xmlns="http://schemas.openxmlformats.org/officeDocument/2006/extended-properties" xmlns:vt="http://schemas.openxmlformats.org/officeDocument/2006/docPropsVTypes">
  <Template>Normal.dotm</Template>
  <Company>IEEE</Company>
  <Pages>3</Pages>
  <Words>1834</Words>
  <Characters>9370</Characters>
  <Lines>108</Lines>
  <Paragraphs>30</Paragraphs>
  <TotalTime>1</TotalTime>
  <ScaleCrop>false</ScaleCrop>
  <LinksUpToDate>false</LinksUpToDate>
  <CharactersWithSpaces>11117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2024-07-16T13:42:00Z</dcterms:created>
  <dc:creator>IEEE</dc:creator>
  <cp:lastModifiedBy>svais</cp:lastModifiedBy>
  <dcterms:modified xsi:type="dcterms:W3CDTF">2026-07-15T08:27:29Z</dcterms:modified>
  <dc:title>Paper Title (use style: paper title)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eyJoZGlkIjoiMDY0NjExYTk4NmUzMzJmNzhiZGQ4NDUxNTVhOTdmZmIifQ==</vt:lpwstr>
  </property>
  <property fmtid="{D5CDD505-2E9C-101B-9397-08002B2CF9AE}" pid="3" name="KSOProductBuildVer">
    <vt:lpwstr>1033-12.1.0.26880</vt:lpwstr>
  </property>
  <property fmtid="{D5CDD505-2E9C-101B-9397-08002B2CF9AE}" pid="4" name="ICV">
    <vt:lpwstr>64954B27110343448150392F38A10158_12</vt:lpwstr>
  </property>
</Properties>
</file>