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999999"/>
          <w:sz w:val="22"/>
          <w:szCs w:val="22"/>
        </w:rPr>
        <w:t xml:space="preserve">KIIT SAP CAPSTONE PROJECT</w:t>
      </w:r>
    </w:p>
    <w:p>
      <w:pPr>
        <w:spacing w:after="0" w:before="160"/>
        <w:jc w:val="center"/>
      </w:pPr>
      <w:r>
        <w:rPr>
          <w:rFonts w:ascii="Arial" w:cs="Arial" w:eastAsia="Arial" w:hAnsi="Arial"/>
          <w:b/>
          <w:bCs/>
          <w:color w:val="1F5C9E"/>
          <w:sz w:val="56"/>
          <w:szCs w:val="56"/>
        </w:rPr>
        <w:t xml:space="preserve">Order-to-Cash (O2C)</w:t>
      </w:r>
    </w:p>
    <w:p>
      <w:pPr>
        <w:spacing w:after="0" w:before="60"/>
        <w:jc w:val="center"/>
      </w:pPr>
      <w:r>
        <w:rPr>
          <w:rFonts w:ascii="Arial" w:cs="Arial" w:eastAsia="Arial" w:hAnsi="Arial"/>
          <w:color w:val="0070F2"/>
          <w:sz w:val="28"/>
          <w:szCs w:val="28"/>
        </w:rPr>
        <w:t xml:space="preserve">End-to-End SAP SD Process Documentation</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0070F2" w:sz="24"/>
              <w:left w:val="none" w:color="FFFFFF" w:sz="0"/>
              <w:bottom w:val="single" w:color="0070F2" w:sz="24"/>
              <w:right w:val="none" w:color="FFFFFF" w:sz="0"/>
            </w:tcBorders>
            <w:shd w:fill="F5F7FA" w:val="clear"/>
            <w:tcMar>
              <w:top w:type="dxa" w:w="400"/>
              <w:left w:type="dxa" w:w="600"/>
              <w:bottom w:type="dxa" w:w="400"/>
              <w:right w:type="dxa" w:w="600"/>
            </w:tcMar>
          </w:tcPr>
          <w:p>
            <w:pPr>
              <w:spacing w:after="80" w:before="0"/>
              <w:jc w:val="center"/>
            </w:pPr>
            <w:r>
              <w:rPr>
                <w:rFonts w:ascii="Arial" w:cs="Arial" w:eastAsia="Arial" w:hAnsi="Arial"/>
                <w:b/>
                <w:bCs/>
                <w:color w:val="1A1A1A"/>
                <w:sz w:val="30"/>
                <w:szCs w:val="30"/>
              </w:rPr>
              <w:t xml:space="preserve">TechFlow Solutions Pvt. Ltd.</w:t>
            </w:r>
          </w:p>
          <w:p>
            <w:pPr>
              <w:spacing w:after="80" w:before="0"/>
              <w:jc w:val="center"/>
            </w:pPr>
            <w:r>
              <w:rPr>
                <w:rFonts w:ascii="Arial" w:cs="Arial" w:eastAsia="Arial" w:hAnsi="Arial"/>
                <w:color w:val="444444"/>
                <w:sz w:val="22"/>
                <w:szCs w:val="22"/>
              </w:rPr>
              <w:t xml:space="preserve">Consumer Electronics Manufacturer  |  B2B Sales</w:t>
            </w:r>
          </w:p>
          <w:p>
            <w:pPr>
              <w:spacing w:after="80" w:before="0"/>
              <w:jc w:val="center"/>
            </w:pPr>
            <w:r>
              <w:rPr>
                <w:rFonts w:ascii="Arial" w:cs="Arial" w:eastAsia="Arial" w:hAnsi="Arial"/>
                <w:color w:val="444444"/>
                <w:sz w:val="22"/>
                <w:szCs w:val="22"/>
              </w:rPr>
              <w:t xml:space="preserve">Noida, Uttar Pradesh, India</w:t>
            </w:r>
          </w:p>
        </w:tc>
      </w:tr>
    </w:tbl>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60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Details</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Project Type</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Order-to-Cash (O2C) — End-to-End Scenario</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SAP Module</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SAP SD (Sales &amp; Distribution)</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Integration</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SAP FI (Finance) | SAP MM (Materials Management)</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Sales Area</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TF01 / 10 / 01 — North India / Direct / Electronics</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Customer</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RetailMart India Ltd. (CUST-1001)</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Product</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TechFlow ProBook 14 Laptop (TF-LAP-001)</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Submission Date</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April 21, 2026</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Submitted By</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[Your Name]  |  Roll No: [XXXX]  |  Batch: [YYYY]</w:t>
            </w:r>
          </w:p>
        </w:tc>
      </w:tr>
    </w:tbl>
    <w:p>
      <w:r>
        <w:br w:type="page"/>
      </w:r>
    </w:p>
    <w:p>
      <w:pPr>
        <w:pBdr>
          <w:bottom w:val="single" w:color="0070F2" w:sz="8" w:space="4"/>
        </w:pBdr>
        <w:spacing w:after="120" w:before="360"/>
      </w:pPr>
      <w:r>
        <w:rPr>
          <w:rFonts w:ascii="Arial" w:cs="Arial" w:eastAsia="Arial" w:hAnsi="Arial"/>
          <w:b/>
          <w:bCs/>
          <w:color w:val="1F5C9E"/>
          <w:sz w:val="36"/>
          <w:szCs w:val="36"/>
        </w:rPr>
        <w:t xml:space="preserve">1. Project Abstract</w:t>
      </w:r>
    </w:p>
    <w:p>
      <w:pPr>
        <w:spacing w:after="60" w:before="60"/>
        <w:jc w:val="both"/>
      </w:pPr>
      <w:r>
        <w:rPr>
          <w:rFonts w:ascii="Arial" w:cs="Arial" w:eastAsia="Arial" w:hAnsi="Arial"/>
          <w:color w:val="444444"/>
          <w:sz w:val="22"/>
          <w:szCs w:val="22"/>
        </w:rPr>
        <w:t xml:space="preserve">This capstone project presents a complete, production-grade implementation of the Order-to-Cash (O2C) business cycle using SAP SD (Sales &amp; Distribution) for TechFlow Solutions Pvt. Ltd., a fictional Indian consumer electronics manufacturer. The O2C cycle represents the most critical revenue-generating process in any enterprise — it begins when a customer expresses interest in purchasing goods and concludes only after payment is received and reconciled in the financial system.</w:t>
      </w:r>
    </w:p>
    <w:p>
      <w:pPr>
        <w:spacing w:after="80" w:before="80"/>
      </w:pPr>
      <w:r>
        <w:t xml:space="preserve"/>
      </w:r>
    </w:p>
    <w:p>
      <w:pPr>
        <w:spacing w:after="60" w:before="60"/>
        <w:jc w:val="both"/>
      </w:pPr>
      <w:r>
        <w:rPr>
          <w:rFonts w:ascii="Arial" w:cs="Arial" w:eastAsia="Arial" w:hAnsi="Arial"/>
          <w:color w:val="444444"/>
          <w:sz w:val="22"/>
          <w:szCs w:val="22"/>
        </w:rPr>
        <w:t xml:space="preserve">This documentation covers all seven stages of the O2C cycle with real SAP transaction codes, sample master data, pricing calculations with Indian GST, SPRO configuration paths, accounting entries at key control points, a custom ABAP ALV report, and detailed GitHub repository structure. The project demonstrates deep integration between SAP SD, SAP FI (Finance), and SAP MM (inventory management), reflecting how a real-world enterprise resource planning system functions as a unified platform.</w:t>
      </w:r>
    </w:p>
    <w:p>
      <w:pPr>
        <w:spacing w:after="80" w:before="80"/>
      </w:pPr>
      <w:r>
        <w:t xml:space="preserve"/>
      </w:r>
    </w:p>
    <w:p>
      <w:pPr>
        <w:spacing w:after="80" w:before="240"/>
      </w:pPr>
      <w:r>
        <w:rPr>
          <w:rFonts w:ascii="Arial" w:cs="Arial" w:eastAsia="Arial" w:hAnsi="Arial"/>
          <w:b/>
          <w:bCs/>
          <w:color w:val="1F5C9E"/>
          <w:sz w:val="28"/>
          <w:szCs w:val="28"/>
        </w:rPr>
        <w:t xml:space="preserve">1.1 Problem Statement</w:t>
      </w:r>
    </w:p>
    <w:p>
      <w:pPr>
        <w:spacing w:after="60" w:before="60"/>
        <w:jc w:val="both"/>
      </w:pPr>
      <w:r>
        <w:rPr>
          <w:rFonts w:ascii="Arial" w:cs="Arial" w:eastAsia="Arial" w:hAnsi="Arial"/>
          <w:color w:val="444444"/>
          <w:sz w:val="22"/>
          <w:szCs w:val="22"/>
        </w:rPr>
        <w:t xml:space="preserve">Retail companies like RetailMart India Ltd. purchase consumer electronics from manufacturers through a complex B2B process that involves pricing negotiations, formal order placements, logistics coordination, invoice generation, and payment reconciliation. Without an integrated ERP system, managing this across spreadsheets and emails leads to: order errors, delayed deliveries, incorrect billing, revenue leakage, and poor financial visibility.</w:t>
      </w:r>
    </w:p>
    <w:p>
      <w:pPr>
        <w:spacing w:after="80" w:before="80"/>
      </w:pPr>
      <w:r>
        <w:t xml:space="preserve"/>
      </w:r>
    </w:p>
    <w:p>
      <w:pPr>
        <w:spacing w:after="60" w:before="60"/>
        <w:jc w:val="both"/>
      </w:pPr>
      <w:r>
        <w:rPr>
          <w:rFonts w:ascii="Arial" w:cs="Arial" w:eastAsia="Arial" w:hAnsi="Arial"/>
          <w:color w:val="444444"/>
          <w:sz w:val="22"/>
          <w:szCs w:val="22"/>
        </w:rPr>
        <w:t xml:space="preserve">TechFlow Solutions implements SAP SD to digitize and automate the entire O2C process, eliminating manual errors, enabling real-time inventory visibility, automating GST-compliant invoice generation, and providing end-to-end document traceability from a customer inquiry to payment clearance.</w:t>
      </w:r>
    </w:p>
    <w:p>
      <w:pPr>
        <w:spacing w:after="80" w:before="80"/>
      </w:pPr>
      <w:r>
        <w:t xml:space="preserve"/>
      </w:r>
    </w:p>
    <w:p>
      <w:pPr>
        <w:pBdr>
          <w:bottom w:val="single" w:color="0070F2" w:sz="8" w:space="4"/>
        </w:pBdr>
        <w:spacing w:after="120" w:before="360"/>
      </w:pPr>
      <w:r>
        <w:rPr>
          <w:rFonts w:ascii="Arial" w:cs="Arial" w:eastAsia="Arial" w:hAnsi="Arial"/>
          <w:b/>
          <w:bCs/>
          <w:color w:val="1F5C9E"/>
          <w:sz w:val="36"/>
          <w:szCs w:val="36"/>
        </w:rPr>
        <w:t xml:space="preserve">2. Company &amp; Organizational Setup</w:t>
      </w:r>
    </w:p>
    <w:p>
      <w:pPr>
        <w:spacing w:after="60" w:before="60"/>
        <w:jc w:val="both"/>
      </w:pPr>
      <w:r>
        <w:rPr>
          <w:rFonts w:ascii="Arial" w:cs="Arial" w:eastAsia="Arial" w:hAnsi="Arial"/>
          <w:color w:val="444444"/>
          <w:sz w:val="22"/>
          <w:szCs w:val="22"/>
        </w:rPr>
        <w:t xml:space="preserve">The SAP organizational structure is the backbone of all business processes. Every sales transaction belongs to a specific combination of organizational units — called a Sales Area — which drives master data, pricing, and document processing. The complete hierarchy for TechFlow Solutions is established as follows.</w:t>
      </w:r>
    </w:p>
    <w:p>
      <w:pPr>
        <w:spacing w:after="80" w:before="80"/>
      </w:pPr>
      <w:r>
        <w:t xml:space="preserve"/>
      </w:r>
    </w:p>
    <w:p>
      <w:pPr>
        <w:spacing w:after="80" w:before="240"/>
      </w:pPr>
      <w:r>
        <w:rPr>
          <w:rFonts w:ascii="Arial" w:cs="Arial" w:eastAsia="Arial" w:hAnsi="Arial"/>
          <w:b/>
          <w:bCs/>
          <w:color w:val="1F5C9E"/>
          <w:sz w:val="28"/>
          <w:szCs w:val="28"/>
        </w:rPr>
        <w:t xml:space="preserve">2.1 Organizational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SAP Object</w:t>
            </w:r>
          </w:p>
        </w:tc>
        <w:tc>
          <w:tcPr>
            <w:tcW w:type="dxa" w:w="1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Code</w:t>
            </w:r>
          </w:p>
        </w:tc>
        <w:tc>
          <w:tcPr>
            <w:tcW w:type="dxa" w:w="49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Name / Description</w:t>
            </w:r>
          </w:p>
        </w:tc>
      </w:tr>
      <w:tr>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Company Code</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TFSOL</w:t>
            </w:r>
          </w:p>
        </w:tc>
        <w:tc>
          <w:tcPr>
            <w:tcW w:type="dxa" w:w="49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TechFlow Solutions Pvt. Ltd. | Currency: INR</w:t>
            </w:r>
          </w:p>
        </w:tc>
      </w:tr>
      <w:tr>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Sales Organization</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TF01</w:t>
            </w:r>
          </w:p>
        </w:tc>
        <w:tc>
          <w:tcPr>
            <w:tcW w:type="dxa" w:w="49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North India Sales | Linked to TFSOL</w:t>
            </w:r>
          </w:p>
        </w:tc>
      </w:tr>
      <w:tr>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Distribution Channel</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10</w:t>
            </w:r>
          </w:p>
        </w:tc>
        <w:tc>
          <w:tcPr>
            <w:tcW w:type="dxa" w:w="49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Direct B2B Sales (no intermediary)</w:t>
            </w:r>
          </w:p>
        </w:tc>
      </w:tr>
      <w:tr>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Division</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01</w:t>
            </w:r>
          </w:p>
        </w:tc>
        <w:tc>
          <w:tcPr>
            <w:tcW w:type="dxa" w:w="49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Consumer Electronics</w:t>
            </w:r>
          </w:p>
        </w:tc>
      </w:tr>
      <w:tr>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Sales Area (Combined)</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TF01/10/01</w:t>
            </w:r>
          </w:p>
        </w:tc>
        <w:tc>
          <w:tcPr>
            <w:tcW w:type="dxa" w:w="49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The unique key for all SD transactions</w:t>
            </w:r>
          </w:p>
        </w:tc>
      </w:tr>
      <w:tr>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Plant</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TF10</w:t>
            </w:r>
          </w:p>
        </w:tc>
        <w:tc>
          <w:tcPr>
            <w:tcW w:type="dxa" w:w="49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Noida Manufacturing &amp; Dispatch Plant</w:t>
            </w:r>
          </w:p>
        </w:tc>
      </w:tr>
      <w:tr>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Storage Location</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SL01</w:t>
            </w:r>
          </w:p>
        </w:tc>
        <w:tc>
          <w:tcPr>
            <w:tcW w:type="dxa" w:w="49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Finished Goods Warehouse — TF10</w:t>
            </w:r>
          </w:p>
        </w:tc>
      </w:tr>
      <w:tr>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Shipping Point</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SP01</w:t>
            </w:r>
          </w:p>
        </w:tc>
        <w:tc>
          <w:tcPr>
            <w:tcW w:type="dxa" w:w="49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Noida Dispatch Dock — linked to TF10</w:t>
            </w:r>
          </w:p>
        </w:tc>
      </w:tr>
      <w:tr>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Sales Office</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DELHI</w:t>
            </w:r>
          </w:p>
        </w:tc>
        <w:tc>
          <w:tcPr>
            <w:tcW w:type="dxa" w:w="49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Delhi Regional Office</w:t>
            </w:r>
          </w:p>
        </w:tc>
      </w:tr>
      <w:tr>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Sales Group</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SG01</w:t>
            </w:r>
          </w:p>
        </w:tc>
        <w:tc>
          <w:tcPr>
            <w:tcW w:type="dxa" w:w="49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Corporate Accounts Team</w:t>
            </w:r>
          </w:p>
        </w:tc>
      </w:tr>
    </w:tbl>
    <w:p>
      <w:pPr>
        <w:spacing w:after="80" w:before="80"/>
      </w:pPr>
      <w:r>
        <w:t xml:space="preserve"/>
      </w:r>
    </w:p>
    <w:p>
      <w:pPr>
        <w:spacing w:after="80" w:before="240"/>
      </w:pPr>
      <w:r>
        <w:rPr>
          <w:rFonts w:ascii="Arial" w:cs="Arial" w:eastAsia="Arial" w:hAnsi="Arial"/>
          <w:b/>
          <w:bCs/>
          <w:color w:val="1F5C9E"/>
          <w:sz w:val="28"/>
          <w:szCs w:val="28"/>
        </w:rPr>
        <w:t xml:space="preserve">2.2 Organizational Hierarchy Diagram</w:t>
      </w:r>
    </w:p>
    <w:p>
      <w:pPr>
        <w:shd w:fill="F0F4F8" w:val="clear"/>
        <w:spacing w:after="20" w:before="20"/>
      </w:pPr>
      <w:r>
        <w:rPr>
          <w:rFonts w:ascii="Courier New" w:cs="Courier New" w:eastAsia="Courier New" w:hAnsi="Courier New"/>
          <w:color w:val="1A3A5C"/>
          <w:sz w:val="19"/>
          <w:szCs w:val="19"/>
        </w:rPr>
        <w:t xml:space="preserve">                   TechFlow Solutions Pvt. Ltd.</w:t>
      </w:r>
    </w:p>
    <w:p>
      <w:pPr>
        <w:shd w:fill="F0F4F8" w:val="clear"/>
        <w:spacing w:after="20" w:before="20"/>
      </w:pPr>
      <w:r>
        <w:rPr>
          <w:rFonts w:ascii="Courier New" w:cs="Courier New" w:eastAsia="Courier New" w:hAnsi="Courier New"/>
          <w:color w:val="1A3A5C"/>
          <w:sz w:val="19"/>
          <w:szCs w:val="19"/>
        </w:rPr>
        <w:t xml:space="preserve">                      [ Company Code: TFSOL ]</w:t>
      </w:r>
    </w:p>
    <w:p>
      <w:pPr>
        <w:shd w:fill="F0F4F8" w:val="clear"/>
        <w:spacing w:after="20" w:before="20"/>
      </w:pPr>
      <w:r>
        <w:rPr>
          <w:rFonts w:ascii="Courier New" w:cs="Courier New" w:eastAsia="Courier New" w:hAnsi="Courier New"/>
          <w:color w:val="1A3A5C"/>
          <w:sz w:val="19"/>
          <w:szCs w:val="19"/>
        </w:rPr>
        <w:t xml:space="preserve">                               |</w:t>
      </w:r>
    </w:p>
    <w:p>
      <w:pPr>
        <w:shd w:fill="F0F4F8" w:val="clear"/>
        <w:spacing w:after="20" w:before="20"/>
      </w:pPr>
      <w:r>
        <w:rPr>
          <w:rFonts w:ascii="Courier New" w:cs="Courier New" w:eastAsia="Courier New" w:hAnsi="Courier New"/>
          <w:color w:val="1A3A5C"/>
          <w:sz w:val="19"/>
          <w:szCs w:val="19"/>
        </w:rPr>
        <w:t xml:space="preserve">               Sales Organization: TF01 (North India)</w:t>
      </w:r>
    </w:p>
    <w:p>
      <w:pPr>
        <w:shd w:fill="F0F4F8" w:val="clear"/>
        <w:spacing w:after="20" w:before="20"/>
      </w:pPr>
      <w:r>
        <w:rPr>
          <w:rFonts w:ascii="Courier New" w:cs="Courier New" w:eastAsia="Courier New" w:hAnsi="Courier New"/>
          <w:color w:val="1A3A5C"/>
          <w:sz w:val="19"/>
          <w:szCs w:val="19"/>
        </w:rPr>
        <w:t xml:space="preserve">                    /                         \</w:t>
      </w:r>
    </w:p>
    <w:p>
      <w:pPr>
        <w:shd w:fill="F0F4F8" w:val="clear"/>
        <w:spacing w:after="20" w:before="20"/>
      </w:pPr>
      <w:r>
        <w:rPr>
          <w:rFonts w:ascii="Courier New" w:cs="Courier New" w:eastAsia="Courier New" w:hAnsi="Courier New"/>
          <w:color w:val="1A3A5C"/>
          <w:sz w:val="19"/>
          <w:szCs w:val="19"/>
        </w:rPr>
        <w:t xml:space="preserve">     Distribution Channel: 10            Division: 01</w:t>
      </w:r>
    </w:p>
    <w:p>
      <w:pPr>
        <w:shd w:fill="F0F4F8" w:val="clear"/>
        <w:spacing w:after="20" w:before="20"/>
      </w:pPr>
      <w:r>
        <w:rPr>
          <w:rFonts w:ascii="Courier New" w:cs="Courier New" w:eastAsia="Courier New" w:hAnsi="Courier New"/>
          <w:color w:val="1A3A5C"/>
          <w:sz w:val="19"/>
          <w:szCs w:val="19"/>
        </w:rPr>
        <w:t xml:space="preserve">          (Direct B2B)                (Consumer Electronics)</w:t>
      </w:r>
    </w:p>
    <w:p>
      <w:pPr>
        <w:shd w:fill="F0F4F8" w:val="clear"/>
        <w:spacing w:after="20" w:before="20"/>
      </w:pPr>
      <w:r>
        <w:rPr>
          <w:rFonts w:ascii="Courier New" w:cs="Courier New" w:eastAsia="Courier New" w:hAnsi="Courier New"/>
          <w:color w:val="1A3A5C"/>
          <w:sz w:val="19"/>
          <w:szCs w:val="19"/>
        </w:rPr>
        <w:t xml:space="preserve">                    |                         |</w:t>
      </w:r>
    </w:p>
    <w:p>
      <w:pPr>
        <w:shd w:fill="F0F4F8" w:val="clear"/>
        <w:spacing w:after="20" w:before="20"/>
      </w:pPr>
      <w:r>
        <w:rPr>
          <w:rFonts w:ascii="Courier New" w:cs="Courier New" w:eastAsia="Courier New" w:hAnsi="Courier New"/>
          <w:color w:val="1A3A5C"/>
          <w:sz w:val="19"/>
          <w:szCs w:val="19"/>
        </w:rPr>
        <w:t xml:space="preserve">              Sales Area: TF01 / 10 / 01 (Unique Key)</w:t>
      </w:r>
    </w:p>
    <w:p>
      <w:pPr>
        <w:shd w:fill="F0F4F8" w:val="clear"/>
        <w:spacing w:after="20" w:before="20"/>
      </w:pPr>
      <w:r>
        <w:rPr>
          <w:rFonts w:ascii="Courier New" w:cs="Courier New" w:eastAsia="Courier New" w:hAnsi="Courier New"/>
          <w:color w:val="1A3A5C"/>
          <w:sz w:val="19"/>
          <w:szCs w:val="19"/>
        </w:rPr>
        <w:t xml:space="preserve">                    |</w:t>
      </w:r>
    </w:p>
    <w:p>
      <w:pPr>
        <w:shd w:fill="F0F4F8" w:val="clear"/>
        <w:spacing w:after="20" w:before="20"/>
      </w:pPr>
      <w:r>
        <w:rPr>
          <w:rFonts w:ascii="Courier New" w:cs="Courier New" w:eastAsia="Courier New" w:hAnsi="Courier New"/>
          <w:color w:val="1A3A5C"/>
          <w:sz w:val="19"/>
          <w:szCs w:val="19"/>
        </w:rPr>
        <w:t xml:space="preserve">         Sales Office: DELHI  |  Sales Group: SG01</w:t>
      </w:r>
    </w:p>
    <w:p>
      <w:pPr>
        <w:shd w:fill="F0F4F8" w:val="clear"/>
        <w:spacing w:after="20" w:before="20"/>
      </w:pPr>
      <w:r>
        <w:rPr>
          <w:rFonts w:ascii="Courier New" w:cs="Courier New" w:eastAsia="Courier New" w:hAnsi="Courier New"/>
          <w:color w:val="1A3A5C"/>
          <w:sz w:val="19"/>
          <w:szCs w:val="19"/>
        </w:rPr>
        <w:t xml:space="preserve">                    |</w:t>
      </w:r>
    </w:p>
    <w:p>
      <w:pPr>
        <w:shd w:fill="F0F4F8" w:val="clear"/>
        <w:spacing w:after="20" w:before="20"/>
      </w:pPr>
      <w:r>
        <w:rPr>
          <w:rFonts w:ascii="Courier New" w:cs="Courier New" w:eastAsia="Courier New" w:hAnsi="Courier New"/>
          <w:color w:val="1A3A5C"/>
          <w:sz w:val="19"/>
          <w:szCs w:val="19"/>
        </w:rPr>
        <w:t xml:space="preserve">             Plant: TF10 (Noida) --&gt; Storage Loc: SL01</w:t>
      </w:r>
    </w:p>
    <w:p>
      <w:pPr>
        <w:shd w:fill="F0F4F8" w:val="clear"/>
        <w:spacing w:after="20" w:before="20"/>
      </w:pPr>
      <w:r>
        <w:rPr>
          <w:rFonts w:ascii="Courier New" w:cs="Courier New" w:eastAsia="Courier New" w:hAnsi="Courier New"/>
          <w:color w:val="1A3A5C"/>
          <w:sz w:val="19"/>
          <w:szCs w:val="19"/>
        </w:rPr>
        <w:t xml:space="preserve">                    |</w:t>
      </w:r>
    </w:p>
    <w:p>
      <w:pPr>
        <w:shd w:fill="F0F4F8" w:val="clear"/>
        <w:spacing w:after="20" w:before="20"/>
      </w:pPr>
      <w:r>
        <w:rPr>
          <w:rFonts w:ascii="Courier New" w:cs="Courier New" w:eastAsia="Courier New" w:hAnsi="Courier New"/>
          <w:color w:val="1A3A5C"/>
          <w:sz w:val="19"/>
          <w:szCs w:val="19"/>
        </w:rPr>
        <w:t xml:space="preserve">             Shipping Point: SP01 (Noida Dispatch Dock)</w:t>
      </w:r>
    </w:p>
    <w:p>
      <w:pPr>
        <w:spacing w:after="80" w:before="80"/>
      </w:pPr>
      <w:r>
        <w:t xml:space="preserve"/>
      </w:r>
    </w:p>
    <w:p>
      <w:pPr>
        <w:spacing w:after="80" w:before="240"/>
      </w:pPr>
      <w:r>
        <w:rPr>
          <w:rFonts w:ascii="Arial" w:cs="Arial" w:eastAsia="Arial" w:hAnsi="Arial"/>
          <w:b/>
          <w:bCs/>
          <w:color w:val="1F5C9E"/>
          <w:sz w:val="28"/>
          <w:szCs w:val="28"/>
        </w:rPr>
        <w:t xml:space="preserve">2.3 Real-World Significance</w:t>
      </w:r>
    </w:p>
    <w:p>
      <w:pPr>
        <w:pStyle w:val="ListParagraph"/>
        <w:numPr>
          <w:ilvl w:val="0"/>
          <w:numId w:val="2"/>
        </w:numPr>
        <w:spacing w:after="40" w:before="40"/>
      </w:pPr>
      <w:r>
        <w:rPr>
          <w:rFonts w:ascii="Arial" w:cs="Arial" w:eastAsia="Arial" w:hAnsi="Arial"/>
          <w:color w:val="444444"/>
          <w:sz w:val="22"/>
          <w:szCs w:val="22"/>
        </w:rPr>
        <w:t xml:space="preserve">Sales Organization (TF01): The legal unit responsible for sales activities. All contracts, pricing, and accountability roll up to this unit. TechFlow can have multiple Sales Orgs for different regions (South India, West India, etc.).</w:t>
      </w:r>
    </w:p>
    <w:p>
      <w:pPr>
        <w:pStyle w:val="ListParagraph"/>
        <w:numPr>
          <w:ilvl w:val="0"/>
          <w:numId w:val="2"/>
        </w:numPr>
        <w:spacing w:after="40" w:before="40"/>
      </w:pPr>
      <w:r>
        <w:rPr>
          <w:rFonts w:ascii="Arial" w:cs="Arial" w:eastAsia="Arial" w:hAnsi="Arial"/>
          <w:color w:val="444444"/>
          <w:sz w:val="22"/>
          <w:szCs w:val="22"/>
        </w:rPr>
        <w:t xml:space="preserve">Distribution Channel (10 — Direct): Defines how the product reaches the customer. A value of 10 (Direct) means TechFlow ships straight to RetailMart's warehouse — no distributors or wholesalers involved.</w:t>
      </w:r>
    </w:p>
    <w:p>
      <w:pPr>
        <w:pStyle w:val="ListParagraph"/>
        <w:numPr>
          <w:ilvl w:val="0"/>
          <w:numId w:val="2"/>
        </w:numPr>
        <w:spacing w:after="40" w:before="40"/>
      </w:pPr>
      <w:r>
        <w:rPr>
          <w:rFonts w:ascii="Arial" w:cs="Arial" w:eastAsia="Arial" w:hAnsi="Arial"/>
          <w:color w:val="444444"/>
          <w:sz w:val="22"/>
          <w:szCs w:val="22"/>
        </w:rPr>
        <w:t xml:space="preserve">Plant (TF10): The physical location where finished goods are stored and dispatched. All inventory management, availability checks, and goods issue happen at the plant level.</w:t>
      </w:r>
    </w:p>
    <w:p>
      <w:pPr>
        <w:pStyle w:val="ListParagraph"/>
        <w:numPr>
          <w:ilvl w:val="0"/>
          <w:numId w:val="2"/>
        </w:numPr>
        <w:spacing w:after="40" w:before="40"/>
      </w:pPr>
      <w:r>
        <w:rPr>
          <w:rFonts w:ascii="Arial" w:cs="Arial" w:eastAsia="Arial" w:hAnsi="Arial"/>
          <w:color w:val="444444"/>
          <w:sz w:val="22"/>
          <w:szCs w:val="22"/>
        </w:rPr>
        <w:t xml:space="preserve">Shipping Point (SP01): The physical dock from which goods leave. The system automatically determines the shipping point based on: Shipping Condition + Loading Group + Plant combination (configured in SPRO).</w:t>
      </w:r>
    </w:p>
    <w:p>
      <w:r>
        <w:br w:type="page"/>
      </w:r>
    </w:p>
    <w:p>
      <w:pPr>
        <w:pBdr>
          <w:bottom w:val="single" w:color="0070F2" w:sz="8" w:space="4"/>
        </w:pBdr>
        <w:spacing w:after="120" w:before="360"/>
      </w:pPr>
      <w:r>
        <w:rPr>
          <w:rFonts w:ascii="Arial" w:cs="Arial" w:eastAsia="Arial" w:hAnsi="Arial"/>
          <w:b/>
          <w:bCs/>
          <w:color w:val="1F5C9E"/>
          <w:sz w:val="36"/>
          <w:szCs w:val="36"/>
        </w:rPr>
        <w:t xml:space="preserve">3. Master Data Setup</w:t>
      </w:r>
    </w:p>
    <w:p>
      <w:pPr>
        <w:spacing w:after="60" w:before="60"/>
        <w:jc w:val="both"/>
      </w:pPr>
      <w:r>
        <w:rPr>
          <w:rFonts w:ascii="Arial" w:cs="Arial" w:eastAsia="Arial" w:hAnsi="Arial"/>
          <w:color w:val="444444"/>
          <w:sz w:val="22"/>
          <w:szCs w:val="22"/>
        </w:rPr>
        <w:t xml:space="preserve">Master data is the permanent business information that every transaction references. In SAP SD, the three core master data objects are: Customer Master, Material Master, and Pricing Condition Records. All three must be created before any O2C document can be processed.</w:t>
      </w:r>
    </w:p>
    <w:p>
      <w:pPr>
        <w:spacing w:after="80" w:before="80"/>
      </w:pPr>
      <w:r>
        <w:t xml:space="preserve"/>
      </w:r>
    </w:p>
    <w:p>
      <w:pPr>
        <w:spacing w:after="80" w:before="240"/>
      </w:pPr>
      <w:r>
        <w:rPr>
          <w:rFonts w:ascii="Arial" w:cs="Arial" w:eastAsia="Arial" w:hAnsi="Arial"/>
          <w:b/>
          <w:bCs/>
          <w:color w:val="1F5C9E"/>
          <w:sz w:val="28"/>
          <w:szCs w:val="28"/>
        </w:rPr>
        <w:t xml:space="preserve">3.1 Customer Master — CUST-1001 (XD01)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32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c>
          <w:tcPr>
            <w:tcW w:type="dxa" w:w="30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Tab / View</w:t>
            </w:r>
          </w:p>
        </w:tc>
      </w:tr>
      <w:tr>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Customer Number</w:t>
            </w:r>
          </w:p>
        </w:tc>
        <w:tc>
          <w:tcPr>
            <w:tcW w:type="dxa" w:w="3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CUST-1001</w:t>
            </w:r>
          </w:p>
        </w:tc>
        <w:tc>
          <w:tcPr>
            <w:tcW w:type="dxa" w:w="3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General Data</w:t>
            </w:r>
          </w:p>
        </w:tc>
      </w:tr>
      <w:tr>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Name</w:t>
            </w:r>
          </w:p>
        </w:tc>
        <w:tc>
          <w:tcPr>
            <w:tcW w:type="dxa" w:w="3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RetailMart India Ltd.</w:t>
            </w:r>
          </w:p>
        </w:tc>
        <w:tc>
          <w:tcPr>
            <w:tcW w:type="dxa" w:w="3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General Data</w:t>
            </w:r>
          </w:p>
        </w:tc>
      </w:tr>
      <w:tr>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Account Group</w:t>
            </w:r>
          </w:p>
        </w:tc>
        <w:tc>
          <w:tcPr>
            <w:tcW w:type="dxa" w:w="3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0001 — Sold-To Party</w:t>
            </w:r>
          </w:p>
        </w:tc>
        <w:tc>
          <w:tcPr>
            <w:tcW w:type="dxa" w:w="3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General Data</w:t>
            </w:r>
          </w:p>
        </w:tc>
      </w:tr>
      <w:tr>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Address</w:t>
            </w:r>
          </w:p>
        </w:tc>
        <w:tc>
          <w:tcPr>
            <w:tcW w:type="dxa" w:w="3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12, Connaught Place, New Delhi – 110001</w:t>
            </w:r>
          </w:p>
        </w:tc>
        <w:tc>
          <w:tcPr>
            <w:tcW w:type="dxa" w:w="3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General Data</w:t>
            </w:r>
          </w:p>
        </w:tc>
      </w:tr>
      <w:tr>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GSTIN</w:t>
            </w:r>
          </w:p>
        </w:tc>
        <w:tc>
          <w:tcPr>
            <w:tcW w:type="dxa" w:w="3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07AABCR1234F1Z5</w:t>
            </w:r>
          </w:p>
        </w:tc>
        <w:tc>
          <w:tcPr>
            <w:tcW w:type="dxa" w:w="3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General Data</w:t>
            </w:r>
          </w:p>
        </w:tc>
      </w:tr>
      <w:tr>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Currency</w:t>
            </w:r>
          </w:p>
        </w:tc>
        <w:tc>
          <w:tcPr>
            <w:tcW w:type="dxa" w:w="3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INR</w:t>
            </w:r>
          </w:p>
        </w:tc>
        <w:tc>
          <w:tcPr>
            <w:tcW w:type="dxa" w:w="3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Company Code Data</w:t>
            </w:r>
          </w:p>
        </w:tc>
      </w:tr>
      <w:tr>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Payment Terms</w:t>
            </w:r>
          </w:p>
        </w:tc>
        <w:tc>
          <w:tcPr>
            <w:tcW w:type="dxa" w:w="3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ZN30 — Net 30 Days</w:t>
            </w:r>
          </w:p>
        </w:tc>
        <w:tc>
          <w:tcPr>
            <w:tcW w:type="dxa" w:w="3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Company Code Data</w:t>
            </w:r>
          </w:p>
        </w:tc>
      </w:tr>
      <w:tr>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Reconciliation A/c</w:t>
            </w:r>
          </w:p>
        </w:tc>
        <w:tc>
          <w:tcPr>
            <w:tcW w:type="dxa" w:w="3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140000 — Accounts Receivable</w:t>
            </w:r>
          </w:p>
        </w:tc>
        <w:tc>
          <w:tcPr>
            <w:tcW w:type="dxa" w:w="3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Company Code Data</w:t>
            </w:r>
          </w:p>
        </w:tc>
      </w:tr>
      <w:tr>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Incoterms</w:t>
            </w:r>
          </w:p>
        </w:tc>
        <w:tc>
          <w:tcPr>
            <w:tcW w:type="dxa" w:w="3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CIF — Cost Insurance Freight</w:t>
            </w:r>
          </w:p>
        </w:tc>
        <w:tc>
          <w:tcPr>
            <w:tcW w:type="dxa" w:w="3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Sales Area Data</w:t>
            </w:r>
          </w:p>
        </w:tc>
      </w:tr>
      <w:tr>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Delivery Priority</w:t>
            </w:r>
          </w:p>
        </w:tc>
        <w:tc>
          <w:tcPr>
            <w:tcW w:type="dxa" w:w="3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02 — Normal</w:t>
            </w:r>
          </w:p>
        </w:tc>
        <w:tc>
          <w:tcPr>
            <w:tcW w:type="dxa" w:w="3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Sales Area Data</w:t>
            </w:r>
          </w:p>
        </w:tc>
      </w:tr>
      <w:tr>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Shipping Conditions</w:t>
            </w:r>
          </w:p>
        </w:tc>
        <w:tc>
          <w:tcPr>
            <w:tcW w:type="dxa" w:w="3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01 — Standard Ground</w:t>
            </w:r>
          </w:p>
        </w:tc>
        <w:tc>
          <w:tcPr>
            <w:tcW w:type="dxa" w:w="3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Sales Area Data</w:t>
            </w:r>
          </w:p>
        </w:tc>
      </w:tr>
      <w:tr>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Tax Classification</w:t>
            </w:r>
          </w:p>
        </w:tc>
        <w:tc>
          <w:tcPr>
            <w:tcW w:type="dxa" w:w="3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 — Liable for GST</w:t>
            </w:r>
          </w:p>
        </w:tc>
        <w:tc>
          <w:tcPr>
            <w:tcW w:type="dxa" w:w="3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Sales Area Data</w:t>
            </w:r>
          </w:p>
        </w:tc>
      </w:tr>
      <w:tr>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Credit Limit (FD32)</w:t>
            </w:r>
          </w:p>
        </w:tc>
        <w:tc>
          <w:tcPr>
            <w:tcW w:type="dxa" w:w="3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25,00,000</w:t>
            </w:r>
          </w:p>
        </w:tc>
        <w:tc>
          <w:tcPr>
            <w:tcW w:type="dxa" w:w="3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Credit Management</w:t>
            </w:r>
          </w:p>
        </w:tc>
      </w:tr>
    </w:tbl>
    <w:p>
      <w:pPr>
        <w:spacing w:after="80" w:before="80"/>
      </w:pPr>
      <w:r>
        <w:t xml:space="preserve"/>
      </w:r>
    </w:p>
    <w:p>
      <w:pPr>
        <w:spacing w:after="80" w:before="240"/>
      </w:pPr>
      <w:r>
        <w:rPr>
          <w:rFonts w:ascii="Arial" w:cs="Arial" w:eastAsia="Arial" w:hAnsi="Arial"/>
          <w:b/>
          <w:bCs/>
          <w:color w:val="1F5C9E"/>
          <w:sz w:val="28"/>
          <w:szCs w:val="28"/>
        </w:rPr>
        <w:t xml:space="preserve">3.2 Material Master — TF-LAP-001 (MM01)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50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4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Material Number</w:t>
            </w:r>
          </w:p>
        </w:tc>
        <w:tc>
          <w:tcPr>
            <w:tcW w:type="dxa" w:w="5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TF-LAP-001</w:t>
            </w:r>
          </w:p>
        </w:tc>
      </w:tr>
      <w:tr>
        <w:tc>
          <w:tcPr>
            <w:tcW w:type="dxa" w:w="4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Description</w:t>
            </w:r>
          </w:p>
        </w:tc>
        <w:tc>
          <w:tcPr>
            <w:tcW w:type="dxa" w:w="5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TechFlow ProBook 14 Laptop</w:t>
            </w:r>
          </w:p>
        </w:tc>
      </w:tr>
      <w:tr>
        <w:tc>
          <w:tcPr>
            <w:tcW w:type="dxa" w:w="4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Material Type</w:t>
            </w:r>
          </w:p>
        </w:tc>
        <w:tc>
          <w:tcPr>
            <w:tcW w:type="dxa" w:w="5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FERT — Finished Product</w:t>
            </w:r>
          </w:p>
        </w:tc>
      </w:tr>
      <w:tr>
        <w:tc>
          <w:tcPr>
            <w:tcW w:type="dxa" w:w="4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Base Unit of Measure</w:t>
            </w:r>
          </w:p>
        </w:tc>
        <w:tc>
          <w:tcPr>
            <w:tcW w:type="dxa" w:w="5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EA (Each)</w:t>
            </w:r>
          </w:p>
        </w:tc>
      </w:tr>
      <w:tr>
        <w:tc>
          <w:tcPr>
            <w:tcW w:type="dxa" w:w="4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Division</w:t>
            </w:r>
          </w:p>
        </w:tc>
        <w:tc>
          <w:tcPr>
            <w:tcW w:type="dxa" w:w="5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01 — Consumer Electronics</w:t>
            </w:r>
          </w:p>
        </w:tc>
      </w:tr>
      <w:tr>
        <w:tc>
          <w:tcPr>
            <w:tcW w:type="dxa" w:w="4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Delivering Plant</w:t>
            </w:r>
          </w:p>
        </w:tc>
        <w:tc>
          <w:tcPr>
            <w:tcW w:type="dxa" w:w="5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TF10 (Noida)</w:t>
            </w:r>
          </w:p>
        </w:tc>
      </w:tr>
      <w:tr>
        <w:tc>
          <w:tcPr>
            <w:tcW w:type="dxa" w:w="4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Gross / Net Weight</w:t>
            </w:r>
          </w:p>
        </w:tc>
        <w:tc>
          <w:tcPr>
            <w:tcW w:type="dxa" w:w="5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2.5 KG / 2.1 KG</w:t>
            </w:r>
          </w:p>
        </w:tc>
      </w:tr>
      <w:tr>
        <w:tc>
          <w:tcPr>
            <w:tcW w:type="dxa" w:w="4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HSN Code</w:t>
            </w:r>
          </w:p>
        </w:tc>
        <w:tc>
          <w:tcPr>
            <w:tcW w:type="dxa" w:w="5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8471 (Laptops/Notebooks — for GST)</w:t>
            </w:r>
          </w:p>
        </w:tc>
      </w:tr>
      <w:tr>
        <w:tc>
          <w:tcPr>
            <w:tcW w:type="dxa" w:w="4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Availability Check</w:t>
            </w:r>
          </w:p>
        </w:tc>
        <w:tc>
          <w:tcPr>
            <w:tcW w:type="dxa" w:w="5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02 — Individual Requirements</w:t>
            </w:r>
          </w:p>
        </w:tc>
      </w:tr>
      <w:tr>
        <w:tc>
          <w:tcPr>
            <w:tcW w:type="dxa" w:w="4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Loading Group</w:t>
            </w:r>
          </w:p>
        </w:tc>
        <w:tc>
          <w:tcPr>
            <w:tcW w:type="dxa" w:w="5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0001 — Manual</w:t>
            </w:r>
          </w:p>
        </w:tc>
      </w:tr>
    </w:tbl>
    <w:p>
      <w:pPr>
        <w:spacing w:after="80" w:before="80"/>
      </w:pPr>
      <w:r>
        <w:t xml:space="preserve"/>
      </w:r>
    </w:p>
    <w:p>
      <w:pPr>
        <w:spacing w:after="80" w:before="240"/>
      </w:pPr>
      <w:r>
        <w:rPr>
          <w:rFonts w:ascii="Arial" w:cs="Arial" w:eastAsia="Arial" w:hAnsi="Arial"/>
          <w:b/>
          <w:bCs/>
          <w:color w:val="1F5C9E"/>
          <w:sz w:val="28"/>
          <w:szCs w:val="28"/>
        </w:rPr>
        <w:t xml:space="preserve">3.3 Pricing Condition Records (VK11) — Procedure: ZTFPR1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2200"/>
        <w:gridCol w:w="2400"/>
        <w:gridCol w:w="2526"/>
      </w:tblGrid>
      <w:tr>
        <w:trPr>
          <w:tblHeader/>
        </w:trPr>
        <w:tc>
          <w:tcPr>
            <w:tcW w:type="dxa" w:w="6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13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Condition</w:t>
            </w:r>
          </w:p>
        </w:tc>
        <w:tc>
          <w:tcPr>
            <w:tcW w:type="dxa" w:w="22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c>
          <w:tcPr>
            <w:tcW w:type="dxa" w:w="24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Rate/Amount</w:t>
            </w:r>
          </w:p>
        </w:tc>
        <w:tc>
          <w:tcPr>
            <w:tcW w:type="dxa" w:w="2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Account Key</w:t>
            </w:r>
          </w:p>
        </w:tc>
      </w:tr>
      <w:tr>
        <w:tc>
          <w:tcPr>
            <w:tcW w:type="dxa" w:w="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10</w:t>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PR00</w:t>
            </w:r>
          </w:p>
        </w:tc>
        <w:tc>
          <w:tcPr>
            <w:tcW w:type="dxa" w:w="2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Base Sales Price</w:t>
            </w:r>
          </w:p>
        </w:tc>
        <w:tc>
          <w:tcPr>
            <w:tcW w:type="dxa" w:w="24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45,000 per EA</w:t>
            </w:r>
          </w:p>
        </w:tc>
        <w:tc>
          <w:tcPr>
            <w:tcW w:type="dxa" w:w="2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ERL (Revenue)</w:t>
            </w:r>
          </w:p>
        </w:tc>
      </w:tr>
      <w:tr>
        <w:tc>
          <w:tcPr>
            <w:tcW w:type="dxa" w:w="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20</w:t>
            </w:r>
          </w:p>
        </w:tc>
        <w:tc>
          <w:tcPr>
            <w:tcW w:type="dxa" w:w="13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K007</w:t>
            </w:r>
          </w:p>
        </w:tc>
        <w:tc>
          <w:tcPr>
            <w:tcW w:type="dxa" w:w="2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Customer-Specific Discount</w:t>
            </w:r>
          </w:p>
        </w:tc>
        <w:tc>
          <w:tcPr>
            <w:tcW w:type="dxa" w:w="24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5% off base price</w:t>
            </w:r>
          </w:p>
        </w:tc>
        <w:tc>
          <w:tcPr>
            <w:tcW w:type="dxa" w:w="2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ERS (Discount)</w:t>
            </w:r>
          </w:p>
        </w:tc>
      </w:tr>
      <w:tr>
        <w:tc>
          <w:tcPr>
            <w:tcW w:type="dxa" w:w="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30</w:t>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KF00</w:t>
            </w:r>
          </w:p>
        </w:tc>
        <w:tc>
          <w:tcPr>
            <w:tcW w:type="dxa" w:w="2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Freight Surcharge</w:t>
            </w:r>
          </w:p>
        </w:tc>
        <w:tc>
          <w:tcPr>
            <w:tcW w:type="dxa" w:w="24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500 per EA</w:t>
            </w:r>
          </w:p>
        </w:tc>
        <w:tc>
          <w:tcPr>
            <w:tcW w:type="dxa" w:w="2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ERF (Freight)</w:t>
            </w:r>
          </w:p>
        </w:tc>
      </w:tr>
      <w:tr>
        <w:tc>
          <w:tcPr>
            <w:tcW w:type="dxa" w:w="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13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2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Net Value (subtotal: Step 10+20+30)</w:t>
            </w:r>
          </w:p>
        </w:tc>
        <w:tc>
          <w:tcPr>
            <w:tcW w:type="dxa" w:w="24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INR 4,32,500 (10 units)</w:t>
            </w:r>
          </w:p>
        </w:tc>
        <w:tc>
          <w:tcPr>
            <w:tcW w:type="dxa" w:w="2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r>
      <w:tr>
        <w:tc>
          <w:tcPr>
            <w:tcW w:type="dxa" w:w="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50</w:t>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MWST</w:t>
            </w:r>
          </w:p>
        </w:tc>
        <w:tc>
          <w:tcPr>
            <w:tcW w:type="dxa" w:w="22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Output Tax — GST</w:t>
            </w:r>
          </w:p>
        </w:tc>
        <w:tc>
          <w:tcPr>
            <w:tcW w:type="dxa" w:w="24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18% on net value</w:t>
            </w:r>
          </w:p>
        </w:tc>
        <w:tc>
          <w:tcPr>
            <w:tcW w:type="dxa" w:w="2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MWS (Tax)</w:t>
            </w:r>
          </w:p>
        </w:tc>
      </w:tr>
      <w:tr>
        <w:tc>
          <w:tcPr>
            <w:tcW w:type="dxa" w:w="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13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22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TOTAL INVOICE VALUE</w:t>
            </w:r>
          </w:p>
        </w:tc>
        <w:tc>
          <w:tcPr>
            <w:tcW w:type="dxa" w:w="24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INR 5,10,350 (10 units)</w:t>
            </w:r>
          </w:p>
        </w:tc>
        <w:tc>
          <w:tcPr>
            <w:tcW w:type="dxa" w:w="2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r>
    </w:tbl>
    <w:p>
      <w:pPr>
        <w:spacing w:after="80" w:before="80"/>
      </w:pPr>
      <w:r>
        <w:t xml:space="preserve"/>
      </w:r>
    </w:p>
    <w:p>
      <w:pPr>
        <w:pBdr>
          <w:bottom w:val="single" w:color="0070F2" w:sz="8" w:space="4"/>
        </w:pBdr>
        <w:spacing w:after="120" w:before="360"/>
      </w:pPr>
      <w:r>
        <w:rPr>
          <w:rFonts w:ascii="Arial" w:cs="Arial" w:eastAsia="Arial" w:hAnsi="Arial"/>
          <w:b/>
          <w:bCs/>
          <w:color w:val="1F5C9E"/>
          <w:sz w:val="36"/>
          <w:szCs w:val="36"/>
        </w:rPr>
        <w:t xml:space="preserve">4. End-to-End O2C Process Execution</w:t>
      </w:r>
    </w:p>
    <w:p>
      <w:pPr>
        <w:spacing w:after="60" w:before="60"/>
        <w:jc w:val="both"/>
      </w:pPr>
      <w:r>
        <w:rPr>
          <w:rFonts w:ascii="Arial" w:cs="Arial" w:eastAsia="Arial" w:hAnsi="Arial"/>
          <w:color w:val="444444"/>
          <w:sz w:val="22"/>
          <w:szCs w:val="22"/>
        </w:rPr>
        <w:t xml:space="preserve">The following seven steps represent the complete Order-to-Cash cycle executed for Customer CUST-1001 (RetailMart India) purchasing Material TF-LAP-001 (ProBook 14 Laptop). Each step creates a linked SAP document, building a fully traceable document chain.</w:t>
      </w:r>
    </w:p>
    <w:p>
      <w:pPr>
        <w:spacing w:after="80" w:before="80"/>
      </w:pPr>
      <w:r>
        <w:t xml:space="preserve"/>
      </w:r>
    </w:p>
    <w:p>
      <w:pPr>
        <w:spacing w:after="80" w:before="240"/>
      </w:pPr>
      <w:r>
        <w:rPr>
          <w:rFonts w:ascii="Arial" w:cs="Arial" w:eastAsia="Arial" w:hAnsi="Arial"/>
          <w:b/>
          <w:bCs/>
          <w:color w:val="1F5C9E"/>
          <w:sz w:val="28"/>
          <w:szCs w:val="28"/>
        </w:rPr>
        <w:t xml:space="preserve">Step 1 — Inquiry (T-Code: VA11)</w:t>
      </w:r>
    </w:p>
    <w:p>
      <w:pPr>
        <w:spacing w:after="60" w:before="60"/>
        <w:jc w:val="both"/>
      </w:pPr>
      <w:r>
        <w:rPr>
          <w:rFonts w:ascii="Arial" w:cs="Arial" w:eastAsia="Arial" w:hAnsi="Arial"/>
          <w:color w:val="444444"/>
          <w:sz w:val="22"/>
          <w:szCs w:val="22"/>
        </w:rPr>
        <w:t xml:space="preserve">Business Context: RetailMart's purchase manager calls TechFlow's Delhi office asking about pricing and availability of 50 ProBook 14 laptops for the upcoming festive season stock. The sales representative logs this as a formal Inquiry in SAP — a non-binding document that captures customer interest without creating any inventory commitment or delivery obligation.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5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Transaction Code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VA11 (Create) | VA12 (Change) | VA13 (Display)</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Inquiry Type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Sales Area</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TF01 / 10 / 01</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Sold-To Party</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CUST-1001 — RetailMart India Ltd.</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Material / Quantity</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TF-LAP-001 / 50 EA</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Requested Delivery Date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15-May-2026</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Result — Inquiry Number</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10000001</w:t>
            </w:r>
          </w:p>
        </w:tc>
      </w:tr>
    </w:tbl>
    <w:p>
      <w:pPr>
        <w:spacing w:after="80" w:before="80"/>
      </w:pPr>
      <w:r>
        <w:t xml:space="preserve"/>
      </w:r>
    </w:p>
    <w:p>
      <w:pPr>
        <w:spacing w:after="80" w:before="240"/>
      </w:pPr>
      <w:r>
        <w:rPr>
          <w:rFonts w:ascii="Arial" w:cs="Arial" w:eastAsia="Arial" w:hAnsi="Arial"/>
          <w:b/>
          <w:bCs/>
          <w:color w:val="1F5C9E"/>
          <w:sz w:val="28"/>
          <w:szCs w:val="28"/>
        </w:rPr>
        <w:t xml:space="preserve">Step 2 — Quotation (T-Code: VA21)</w:t>
      </w:r>
    </w:p>
    <w:p>
      <w:pPr>
        <w:spacing w:after="60" w:before="60"/>
        <w:jc w:val="both"/>
      </w:pPr>
      <w:r>
        <w:rPr>
          <w:rFonts w:ascii="Arial" w:cs="Arial" w:eastAsia="Arial" w:hAnsi="Arial"/>
          <w:color w:val="444444"/>
          <w:sz w:val="22"/>
          <w:szCs w:val="22"/>
        </w:rPr>
        <w:t xml:space="preserve">Business Context: TechFlow's sales manager reviews the inquiry and creates a formal quotation offering the ProBook 14 at INR 45,000 per unit with a 5% loyalty discount for RetailMart. The quotation is valid for 30 days and contains all binding price and delivery information. If the customer accepts, it converts directly to a Sales Order.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5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Transaction Code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VA21 (Create) | VA22 (Change) | VA23 (Display)</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Quotation Type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QT</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Reference Document</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Inquiry 10000001</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Validity Period</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18-Apr-2026 to 18-May-2026 (30 Days)</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Base Price (PR00)</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45,000 / EA</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Customer Discount (K007)</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5%</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Expected Order Value (50 units)</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21,37,500 (before GST)</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Result — Quotation Number</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20000001</w:t>
            </w:r>
          </w:p>
        </w:tc>
      </w:tr>
    </w:tbl>
    <w:p>
      <w:pPr>
        <w:spacing w:after="80" w:before="80"/>
      </w:pPr>
      <w:r>
        <w:t xml:space="preserve"/>
      </w:r>
    </w:p>
    <w:p>
      <w:pPr>
        <w:spacing w:after="80" w:before="240"/>
      </w:pPr>
      <w:r>
        <w:rPr>
          <w:rFonts w:ascii="Arial" w:cs="Arial" w:eastAsia="Arial" w:hAnsi="Arial"/>
          <w:b/>
          <w:bCs/>
          <w:color w:val="1F5C9E"/>
          <w:sz w:val="28"/>
          <w:szCs w:val="28"/>
        </w:rPr>
        <w:t xml:space="preserve">Step 3 — Sales Order (T-Code: VA01)</w:t>
      </w:r>
    </w:p>
    <w:p>
      <w:pPr>
        <w:spacing w:after="60" w:before="60"/>
        <w:jc w:val="both"/>
      </w:pPr>
      <w:r>
        <w:rPr>
          <w:rFonts w:ascii="Arial" w:cs="Arial" w:eastAsia="Arial" w:hAnsi="Arial"/>
          <w:color w:val="444444"/>
          <w:sz w:val="22"/>
          <w:szCs w:val="22"/>
        </w:rPr>
        <w:t xml:space="preserve">Business Context: RetailMart formally accepts the quotation and places an initial purchase order for 10 units (testing the first batch before ordering the full 50). This creates the most important document in the O2C cycle — the Sales Order — which is a legally binding commitment between TechFlow and RetailMart. All downstream steps (delivery, billing) reference this document.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5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Transaction Code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VA01 (Create) | VA02 (Change) | VA03 (Display)</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Order Type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OR — Standard Order</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Reference Document</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Quotation 20000001</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Customer Purchase Order</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PO-RM-2026-0041</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Requested Delivery Date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25-Apr-2026</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Material / Quantity</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TF-LAP-001 / 10 EA</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Net Value (ex-GST)</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4,32,500</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Total (incl. GST 18%)</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INR 5,10,350</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Result — Sales Order Number</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30000001</w:t>
            </w:r>
          </w:p>
        </w:tc>
      </w:tr>
    </w:tbl>
    <w:p>
      <w:pPr>
        <w:spacing w:after="80" w:before="80"/>
      </w:pPr>
      <w:r>
        <w:t xml:space="preserve"/>
      </w:r>
    </w:p>
    <w:p>
      <w:pPr>
        <w:spacing w:after="80" w:before="240"/>
      </w:pPr>
      <w:r>
        <w:rPr>
          <w:rFonts w:ascii="Arial" w:cs="Arial" w:eastAsia="Arial" w:hAnsi="Arial"/>
          <w:b/>
          <w:bCs/>
          <w:color w:val="1F5C9E"/>
          <w:sz w:val="28"/>
          <w:szCs w:val="28"/>
        </w:rPr>
        <w:t xml:space="preserve">Step 4 — Outbound Delivery (T-Code: VL01N)</w:t>
      </w:r>
    </w:p>
    <w:p>
      <w:pPr>
        <w:spacing w:after="60" w:before="60"/>
        <w:jc w:val="both"/>
      </w:pPr>
      <w:r>
        <w:rPr>
          <w:rFonts w:ascii="Arial" w:cs="Arial" w:eastAsia="Arial" w:hAnsi="Arial"/>
          <w:color w:val="444444"/>
          <w:sz w:val="22"/>
          <w:szCs w:val="22"/>
        </w:rPr>
        <w:t xml:space="preserve">Business Context: The warehouse team at TF10 Noida receives the dispatch instruction. They locate 10 ProBook 14 laptops in Storage Location SL01 (Finished Goods Warehouse), verify quantities, pick them from shelves, and pack them for transport to RetailMart's Delhi distribution center. SAP creates a Delivery document that triggers picking and preparation for shipment.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5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Transaction Code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VL01N (Create) | VL02N (Change/PGI) | VL03N (Display)</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Shipping Point</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SP01 — Noida Dispatch Dock</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Selection Date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25-Apr-2026</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Reference Sales Order</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30000001</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Material / Pick Quantity</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TF-LAP-001 / 10 EA from SL01</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Carrier</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BlueDart Express</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Tracking Number</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BD-2026-04-98765</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Result — Delivery Number</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80000001</w:t>
            </w:r>
          </w:p>
        </w:tc>
      </w:tr>
    </w:tbl>
    <w:p>
      <w:r>
        <w:br w:type="page"/>
      </w:r>
    </w:p>
    <w:p>
      <w:pPr>
        <w:spacing w:after="80" w:before="240"/>
      </w:pPr>
      <w:r>
        <w:rPr>
          <w:rFonts w:ascii="Arial" w:cs="Arial" w:eastAsia="Arial" w:hAnsi="Arial"/>
          <w:b/>
          <w:bCs/>
          <w:color w:val="1F5C9E"/>
          <w:sz w:val="28"/>
          <w:szCs w:val="28"/>
        </w:rPr>
        <w:t xml:space="preserve">Step 5 — Post Goods Issue / PGI (T-Code: VL02N)</w:t>
      </w:r>
    </w:p>
    <w:p>
      <w:pPr>
        <w:spacing w:after="60" w:before="60"/>
        <w:jc w:val="both"/>
      </w:pPr>
      <w:r>
        <w:rPr>
          <w:rFonts w:ascii="Arial" w:cs="Arial" w:eastAsia="Arial" w:hAnsi="Arial"/>
          <w:color w:val="444444"/>
          <w:sz w:val="22"/>
          <w:szCs w:val="22"/>
        </w:rPr>
        <w:t xml:space="preserve">Business Context: Once goods are packed and handed to the carrier, the warehouse supervisor performs Post Goods Issue (PGI) in SAP. This is the most financially significant step in the delivery process — it simultaneously reduces inventory by 10 units, records the Cost of Goods Sold (COGS) in the accounting system, and marks the delivery as 'Goods Issue Completed'. After PGI, the goods legally belong to RetailMart.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Effect of PGI</w:t>
            </w:r>
          </w:p>
        </w:tc>
        <w:tc>
          <w:tcPr>
            <w:tcW w:type="dxa" w:w="5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Inventory Reduction</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Stock at TF10/SL01 reduced by 10 EA of TF-LAP-001</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Material Document Created</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MM document records inventory movement type 601</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FI Document Created</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Dr: COGS 2,50,000 INR | Cr: FG Inventory 2,50,000 INR</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Delivery Status</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Changed to 'Goods Issue Completed' (green status)</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Legal Transfer</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Ownership of goods transferred to RetailMart India</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Result — PGI Date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24-Apr-2026</w:t>
            </w:r>
          </w:p>
        </w:tc>
      </w:tr>
    </w:tbl>
    <w:p>
      <w:pPr>
        <w:spacing w:after="80" w:before="80"/>
      </w:pPr>
      <w:r>
        <w:t xml:space="preserve"/>
      </w:r>
    </w:p>
    <w:p>
      <w:pPr>
        <w:spacing w:after="80" w:before="240"/>
      </w:pPr>
      <w:r>
        <w:rPr>
          <w:rFonts w:ascii="Arial" w:cs="Arial" w:eastAsia="Arial" w:hAnsi="Arial"/>
          <w:b/>
          <w:bCs/>
          <w:color w:val="1F5C9E"/>
          <w:sz w:val="28"/>
          <w:szCs w:val="28"/>
        </w:rPr>
        <w:t xml:space="preserve">Step 6 — Billing Document / Invoice (T-Code: VF01)</w:t>
      </w:r>
    </w:p>
    <w:p>
      <w:pPr>
        <w:spacing w:after="60" w:before="60"/>
        <w:jc w:val="both"/>
      </w:pPr>
      <w:r>
        <w:rPr>
          <w:rFonts w:ascii="Arial" w:cs="Arial" w:eastAsia="Arial" w:hAnsi="Arial"/>
          <w:color w:val="444444"/>
          <w:sz w:val="22"/>
          <w:szCs w:val="22"/>
        </w:rPr>
        <w:t xml:space="preserve">Business Context: After goods issue, TechFlow's billing team creates a GST-compliant tax invoice for RetailMart. The invoice includes all mandatory Indian GST fields: GSTIN numbers of both parties, HSN code (8471 for laptops), CGST/SGST/IGST breakup, and invoice serial number. SAP's VF01 automatically calculates all values from the Sales Order and creates a corresponding FI accounting document — this is where revenue is recognized in the books.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5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Transaction Code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VF01 (Create) | VF02 (Change) | VF03 (Display)</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Billing Type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F2 — Standard Invoice</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Reference Document</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Delivery 80000001</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Invoice Date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25-Apr-2026</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Customer</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CUST-1001 — RetailMart India Ltd.</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Net Value (ex-GST)</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INR 4,32,500.00</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GST @ 18% (MWST)</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77,850.00</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TOTAL INVOICE VALUE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INR 5,10,350.00</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Payment Due Date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25-May-2026 (Net 30 Days from invoice)</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Result — Invoice Number</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90000001</w:t>
            </w:r>
          </w:p>
        </w:tc>
      </w:tr>
    </w:tbl>
    <w:p>
      <w:pPr>
        <w:spacing w:after="80" w:before="80"/>
      </w:pPr>
      <w:r>
        <w:t xml:space="preserve"/>
      </w:r>
    </w:p>
    <w:p>
      <w:pPr>
        <w:spacing w:after="80" w:before="240"/>
      </w:pPr>
      <w:r>
        <w:rPr>
          <w:rFonts w:ascii="Arial" w:cs="Arial" w:eastAsia="Arial" w:hAnsi="Arial"/>
          <w:b/>
          <w:bCs/>
          <w:color w:val="1F5C9E"/>
          <w:sz w:val="28"/>
          <w:szCs w:val="28"/>
        </w:rPr>
        <w:t xml:space="preserve">Step 7 — Incoming Payment &amp; Clearing (T-Code: F-28)</w:t>
      </w:r>
    </w:p>
    <w:p>
      <w:pPr>
        <w:spacing w:after="60" w:before="60"/>
        <w:jc w:val="both"/>
      </w:pPr>
      <w:r>
        <w:rPr>
          <w:rFonts w:ascii="Arial" w:cs="Arial" w:eastAsia="Arial" w:hAnsi="Arial"/>
          <w:color w:val="444444"/>
          <w:sz w:val="22"/>
          <w:szCs w:val="22"/>
        </w:rPr>
        <w:t xml:space="preserve">Business Context: On May 20, 2026 — five days before the due date — RetailMart's treasury team initiates an NEFT transfer of INR 5,10,350 to TechFlow's HDFC Bank current account. TechFlow's accounts receivable team receives bank confirmation, posts the payment in SAP FI using F-28, and selects invoice 90000001 for clearing. After posting, the open receivable is marked CLEARED and the O2C cycle is officially complete.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55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Transaction Code (FI)</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F-28 — Post Incoming Payments</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Document Date / Posting Date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20-May-2026 / 20-May-2026</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Company Code</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TFSOL</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Bank Account (Debit)</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113100 — HDFC Current Account</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Amount Received</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INR 5,10,350.00</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Customer Account</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CUST-1001 — RetailMart India</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Invoice Cleared</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90000001 (fully cleared, zero balance)</w:t>
            </w:r>
          </w:p>
        </w:tc>
      </w:tr>
      <w:tr>
        <w:tc>
          <w:tcPr>
            <w:tcW w:type="dxa" w:w="3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Verification T-Code</w:t>
            </w:r>
          </w:p>
        </w:tc>
        <w:tc>
          <w:tcPr>
            <w:tcW w:type="dxa" w:w="55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FBL5N — Customer Line Items Report</w:t>
            </w:r>
          </w:p>
        </w:tc>
      </w:tr>
      <w:tr>
        <w:tc>
          <w:tcPr>
            <w:tcW w:type="dxa" w:w="3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Result — Clearing Document</w:t>
            </w:r>
          </w:p>
        </w:tc>
        <w:tc>
          <w:tcPr>
            <w:tcW w:type="dxa" w:w="55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1400000001 | Status: CLEARED</w:t>
            </w:r>
          </w:p>
        </w:tc>
      </w:tr>
    </w:tbl>
    <w:p>
      <w:pPr>
        <w:spacing w:after="80" w:before="80"/>
      </w:pPr>
      <w:r>
        <w:t xml:space="preserve"/>
      </w:r>
    </w:p>
    <w:p>
      <w:pPr>
        <w:spacing w:after="80" w:before="240"/>
      </w:pPr>
      <w:r>
        <w:rPr>
          <w:rFonts w:ascii="Arial" w:cs="Arial" w:eastAsia="Arial" w:hAnsi="Arial"/>
          <w:b/>
          <w:bCs/>
          <w:color w:val="1F5C9E"/>
          <w:sz w:val="28"/>
          <w:szCs w:val="28"/>
        </w:rPr>
        <w:t xml:space="preserve">Complete Document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700"/>
        <w:gridCol w:w="1500"/>
        <w:gridCol w:w="1260"/>
        <w:gridCol w:w="2466"/>
      </w:tblGrid>
      <w:tr>
        <w:trPr>
          <w:tblHeader/>
        </w:trPr>
        <w:tc>
          <w:tcPr>
            <w:tcW w:type="dxa" w:w="14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Stage</w:t>
            </w:r>
          </w:p>
        </w:tc>
        <w:tc>
          <w:tcPr>
            <w:tcW w:type="dxa" w:w="7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7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 No.</w:t>
            </w:r>
          </w:p>
        </w:tc>
        <w:tc>
          <w:tcPr>
            <w:tcW w:type="dxa" w:w="15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Date</w:t>
            </w:r>
          </w:p>
        </w:tc>
        <w:tc>
          <w:tcPr>
            <w:tcW w:type="dxa" w:w="126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T-Code</w:t>
            </w:r>
          </w:p>
        </w:tc>
        <w:tc>
          <w:tcPr>
            <w:tcW w:type="dxa" w:w="246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14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Inquiry</w:t>
            </w:r>
          </w:p>
        </w:tc>
        <w:tc>
          <w:tcPr>
            <w:tcW w:type="dxa" w:w="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10000001</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18-Apr-2026</w:t>
            </w:r>
          </w:p>
        </w:tc>
        <w:tc>
          <w:tcPr>
            <w:tcW w:type="dxa" w:w="12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VA11</w:t>
            </w:r>
          </w:p>
        </w:tc>
        <w:tc>
          <w:tcPr>
            <w:tcW w:type="dxa" w:w="24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Completed</w:t>
            </w:r>
          </w:p>
        </w:tc>
      </w:tr>
      <w:tr>
        <w:tc>
          <w:tcPr>
            <w:tcW w:type="dxa" w:w="14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Quotation</w:t>
            </w:r>
          </w:p>
        </w:tc>
        <w:tc>
          <w:tcPr>
            <w:tcW w:type="dxa" w:w="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QT</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20000001</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18-Apr-2026</w:t>
            </w:r>
          </w:p>
        </w:tc>
        <w:tc>
          <w:tcPr>
            <w:tcW w:type="dxa" w:w="126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VA21</w:t>
            </w:r>
          </w:p>
        </w:tc>
        <w:tc>
          <w:tcPr>
            <w:tcW w:type="dxa" w:w="246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Accepted</w:t>
            </w:r>
          </w:p>
        </w:tc>
      </w:tr>
      <w:tr>
        <w:tc>
          <w:tcPr>
            <w:tcW w:type="dxa" w:w="14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Sales Order</w:t>
            </w:r>
          </w:p>
        </w:tc>
        <w:tc>
          <w:tcPr>
            <w:tcW w:type="dxa" w:w="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OR</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30000001</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19-Apr-2026</w:t>
            </w:r>
          </w:p>
        </w:tc>
        <w:tc>
          <w:tcPr>
            <w:tcW w:type="dxa" w:w="12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VA01</w:t>
            </w:r>
          </w:p>
        </w:tc>
        <w:tc>
          <w:tcPr>
            <w:tcW w:type="dxa" w:w="24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Fully Delivered</w:t>
            </w:r>
          </w:p>
        </w:tc>
      </w:tr>
      <w:tr>
        <w:tc>
          <w:tcPr>
            <w:tcW w:type="dxa" w:w="14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Delivery</w:t>
            </w:r>
          </w:p>
        </w:tc>
        <w:tc>
          <w:tcPr>
            <w:tcW w:type="dxa" w:w="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LF</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80000001</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24-Apr-2026</w:t>
            </w:r>
          </w:p>
        </w:tc>
        <w:tc>
          <w:tcPr>
            <w:tcW w:type="dxa" w:w="126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VL01N</w:t>
            </w:r>
          </w:p>
        </w:tc>
        <w:tc>
          <w:tcPr>
            <w:tcW w:type="dxa" w:w="246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PGI Posted</w:t>
            </w:r>
          </w:p>
        </w:tc>
      </w:tr>
      <w:tr>
        <w:tc>
          <w:tcPr>
            <w:tcW w:type="dxa" w:w="14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Invoice</w:t>
            </w:r>
          </w:p>
        </w:tc>
        <w:tc>
          <w:tcPr>
            <w:tcW w:type="dxa" w:w="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F2</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90000001</w:t>
            </w:r>
          </w:p>
        </w:tc>
        <w:tc>
          <w:tcPr>
            <w:tcW w:type="dxa" w:w="15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25-Apr-2026</w:t>
            </w:r>
          </w:p>
        </w:tc>
        <w:tc>
          <w:tcPr>
            <w:tcW w:type="dxa" w:w="12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VF01</w:t>
            </w:r>
          </w:p>
        </w:tc>
        <w:tc>
          <w:tcPr>
            <w:tcW w:type="dxa" w:w="24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Cleared</w:t>
            </w:r>
          </w:p>
        </w:tc>
      </w:tr>
      <w:tr>
        <w:tc>
          <w:tcPr>
            <w:tcW w:type="dxa" w:w="14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Payment</w:t>
            </w:r>
          </w:p>
        </w:tc>
        <w:tc>
          <w:tcPr>
            <w:tcW w:type="dxa" w:w="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DZ</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1400000001</w:t>
            </w:r>
          </w:p>
        </w:tc>
        <w:tc>
          <w:tcPr>
            <w:tcW w:type="dxa" w:w="15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20-May-2026</w:t>
            </w:r>
          </w:p>
        </w:tc>
        <w:tc>
          <w:tcPr>
            <w:tcW w:type="dxa" w:w="126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F-28</w:t>
            </w:r>
          </w:p>
        </w:tc>
        <w:tc>
          <w:tcPr>
            <w:tcW w:type="dxa" w:w="246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Cleared</w:t>
            </w:r>
          </w:p>
        </w:tc>
      </w:tr>
    </w:tbl>
    <w:p>
      <w:pPr>
        <w:spacing w:after="80" w:before="80"/>
      </w:pPr>
      <w:r>
        <w:t xml:space="preserve"/>
      </w:r>
    </w:p>
    <w:p>
      <w:pPr>
        <w:pBdr>
          <w:bottom w:val="single" w:color="0070F2" w:sz="8" w:space="4"/>
        </w:pBdr>
        <w:spacing w:after="120" w:before="360"/>
      </w:pPr>
      <w:r>
        <w:rPr>
          <w:rFonts w:ascii="Arial" w:cs="Arial" w:eastAsia="Arial" w:hAnsi="Arial"/>
          <w:b/>
          <w:bCs/>
          <w:color w:val="1F5C9E"/>
          <w:sz w:val="36"/>
          <w:szCs w:val="36"/>
        </w:rPr>
        <w:t xml:space="preserve">5. FI Integration — Accounting Entries</w:t>
      </w:r>
    </w:p>
    <w:p>
      <w:pPr>
        <w:spacing w:after="60" w:before="60"/>
        <w:jc w:val="both"/>
      </w:pPr>
      <w:r>
        <w:rPr>
          <w:rFonts w:ascii="Arial" w:cs="Arial" w:eastAsia="Arial" w:hAnsi="Arial"/>
          <w:color w:val="444444"/>
          <w:sz w:val="22"/>
          <w:szCs w:val="22"/>
        </w:rPr>
        <w:t xml:space="preserve">One of SAP's most powerful features is its automatic cross-module integration. When key events in SD occur, corresponding financial entries are generated automatically in SAP FI — no manual journal entries needed. This eliminates errors, ensures real-time financial reporting, and provides a complete audit trail.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600"/>
        <w:gridCol w:w="1700"/>
        <w:gridCol w:w="1826"/>
      </w:tblGrid>
      <w:tr>
        <w:trPr>
          <w:tblHeader/>
        </w:trPr>
        <w:tc>
          <w:tcPr>
            <w:tcW w:type="dxa" w:w="16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Event</w:t>
            </w:r>
          </w:p>
        </w:tc>
        <w:tc>
          <w:tcPr>
            <w:tcW w:type="dxa" w:w="13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GL Account</w:t>
            </w:r>
          </w:p>
        </w:tc>
        <w:tc>
          <w:tcPr>
            <w:tcW w:type="dxa" w:w="26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c>
          <w:tcPr>
            <w:tcW w:type="dxa" w:w="17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Debit (INR)</w:t>
            </w:r>
          </w:p>
        </w:tc>
        <w:tc>
          <w:tcPr>
            <w:tcW w:type="dxa" w:w="18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Credit (INR)</w:t>
            </w:r>
          </w:p>
        </w:tc>
      </w:tr>
      <w:tr>
        <w:tc>
          <w:tcPr>
            <w:tcW w:type="dxa" w:w="1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Post Goods Issue</w:t>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500000</w:t>
            </w:r>
          </w:p>
        </w:tc>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Cost of Goods Sold (COGS)</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2,50,000</w:t>
            </w:r>
          </w:p>
        </w:tc>
        <w:tc>
          <w:tcPr>
            <w:tcW w:type="dxa" w:w="18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w:t>
            </w:r>
          </w:p>
        </w:tc>
      </w:tr>
      <w:tr>
        <w:tc>
          <w:tcPr>
            <w:tcW w:type="dxa" w:w="1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Post Goods Issue</w:t>
            </w:r>
          </w:p>
        </w:tc>
        <w:tc>
          <w:tcPr>
            <w:tcW w:type="dxa" w:w="13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300000</w:t>
            </w:r>
          </w:p>
        </w:tc>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Finished Goods Inventory</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18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2,50,000</w:t>
            </w:r>
          </w:p>
        </w:tc>
      </w:tr>
      <w:tr>
        <w:tc>
          <w:tcPr>
            <w:tcW w:type="dxa" w:w="1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18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r>
      <w:tr>
        <w:tc>
          <w:tcPr>
            <w:tcW w:type="dxa" w:w="1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Billing (Invoice)</w:t>
            </w:r>
          </w:p>
        </w:tc>
        <w:tc>
          <w:tcPr>
            <w:tcW w:type="dxa" w:w="13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140000</w:t>
            </w:r>
          </w:p>
        </w:tc>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Accounts Receivable — RetailMart</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5,10,350</w:t>
            </w:r>
          </w:p>
        </w:tc>
        <w:tc>
          <w:tcPr>
            <w:tcW w:type="dxa" w:w="18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r>
      <w:tr>
        <w:tc>
          <w:tcPr>
            <w:tcW w:type="dxa" w:w="1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Billing (Invoice)</w:t>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800000</w:t>
            </w:r>
          </w:p>
        </w:tc>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Revenue — Electronics Sales</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18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4,32,500</w:t>
            </w:r>
          </w:p>
        </w:tc>
      </w:tr>
      <w:tr>
        <w:tc>
          <w:tcPr>
            <w:tcW w:type="dxa" w:w="1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Billing (Invoice)</w:t>
            </w:r>
          </w:p>
        </w:tc>
        <w:tc>
          <w:tcPr>
            <w:tcW w:type="dxa" w:w="13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175000</w:t>
            </w:r>
          </w:p>
        </w:tc>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GST Output Tax Payable</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18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77,850</w:t>
            </w:r>
          </w:p>
        </w:tc>
      </w:tr>
      <w:tr>
        <w:tc>
          <w:tcPr>
            <w:tcW w:type="dxa" w:w="1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c>
          <w:tcPr>
            <w:tcW w:type="dxa" w:w="18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
            </w:r>
          </w:p>
        </w:tc>
      </w:tr>
      <w:tr>
        <w:tc>
          <w:tcPr>
            <w:tcW w:type="dxa" w:w="1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Payment F-28</w:t>
            </w:r>
          </w:p>
        </w:tc>
        <w:tc>
          <w:tcPr>
            <w:tcW w:type="dxa" w:w="13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113100</w:t>
            </w:r>
          </w:p>
        </w:tc>
        <w:tc>
          <w:tcPr>
            <w:tcW w:type="dxa" w:w="26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Bank — HDFC Current Account</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5,10,350</w:t>
            </w:r>
          </w:p>
        </w:tc>
        <w:tc>
          <w:tcPr>
            <w:tcW w:type="dxa" w:w="18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w:t>
            </w:r>
          </w:p>
        </w:tc>
      </w:tr>
      <w:tr>
        <w:tc>
          <w:tcPr>
            <w:tcW w:type="dxa" w:w="1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Payment F-28</w:t>
            </w:r>
          </w:p>
        </w:tc>
        <w:tc>
          <w:tcPr>
            <w:tcW w:type="dxa" w:w="13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140000</w:t>
            </w:r>
          </w:p>
        </w:tc>
        <w:tc>
          <w:tcPr>
            <w:tcW w:type="dxa" w:w="26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Accounts Receivable — RetailMart</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w:t>
            </w:r>
          </w:p>
        </w:tc>
        <w:tc>
          <w:tcPr>
            <w:tcW w:type="dxa" w:w="18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5,10,350</w:t>
            </w:r>
          </w:p>
        </w:tc>
      </w:tr>
    </w:tbl>
    <w:p>
      <w:r>
        <w:br w:type="page"/>
      </w:r>
    </w:p>
    <w:p>
      <w:pPr>
        <w:pBdr>
          <w:bottom w:val="single" w:color="0070F2" w:sz="8" w:space="4"/>
        </w:pBdr>
        <w:spacing w:after="120" w:before="360"/>
      </w:pPr>
      <w:r>
        <w:rPr>
          <w:rFonts w:ascii="Arial" w:cs="Arial" w:eastAsia="Arial" w:hAnsi="Arial"/>
          <w:b/>
          <w:bCs/>
          <w:color w:val="1F5C9E"/>
          <w:sz w:val="36"/>
          <w:szCs w:val="36"/>
        </w:rPr>
        <w:t xml:space="preserve">6. SPRO Configuration (Implementation Guide)</w:t>
      </w:r>
    </w:p>
    <w:p>
      <w:pPr>
        <w:spacing w:after="60" w:before="60"/>
        <w:jc w:val="both"/>
      </w:pPr>
      <w:r>
        <w:rPr>
          <w:rFonts w:ascii="Arial" w:cs="Arial" w:eastAsia="Arial" w:hAnsi="Arial"/>
          <w:color w:val="444444"/>
          <w:sz w:val="22"/>
          <w:szCs w:val="22"/>
        </w:rPr>
        <w:t xml:space="preserve">All SAP configuration is performed in SPRO (SAP Project Reference Object), which provides a structured menu of customization activities organized by module. The following are the essential configuration steps to set up the O2C scenario for TechFlow Solutions. Configuration is done once by the SAP consultant and then all business users execute transactions against this setup.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1700"/>
        <w:gridCol w:w="2800"/>
        <w:gridCol w:w="4166"/>
      </w:tblGrid>
      <w:tr>
        <w:trPr>
          <w:tblHeader/>
        </w:trPr>
        <w:tc>
          <w:tcPr>
            <w:tcW w:type="dxa" w:w="36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w:t>
            </w:r>
          </w:p>
        </w:tc>
        <w:tc>
          <w:tcPr>
            <w:tcW w:type="dxa" w:w="17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Configuration Area</w:t>
            </w:r>
          </w:p>
        </w:tc>
        <w:tc>
          <w:tcPr>
            <w:tcW w:type="dxa" w:w="28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SPRO Path (Abbreviated)</w:t>
            </w:r>
          </w:p>
        </w:tc>
        <w:tc>
          <w:tcPr>
            <w:tcW w:type="dxa" w:w="416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Key Action</w:t>
            </w:r>
          </w:p>
        </w:tc>
      </w:tr>
      <w:tr>
        <w:tc>
          <w:tcPr>
            <w:tcW w:type="dxa" w:w="3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1</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Define Company Code</w:t>
            </w:r>
          </w:p>
        </w:tc>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Enterprise Structure &gt; Definition &gt; FI &gt; Company Code</w:t>
            </w:r>
          </w:p>
        </w:tc>
        <w:tc>
          <w:tcPr>
            <w:tcW w:type="dxa" w:w="41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Create TFSOL, link to country IN, currency INR</w:t>
            </w:r>
          </w:p>
        </w:tc>
      </w:tr>
      <w:tr>
        <w:tc>
          <w:tcPr>
            <w:tcW w:type="dxa" w:w="36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2</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Define Sales Organization</w:t>
            </w:r>
          </w:p>
        </w:tc>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Enterprise Structure &gt; Definition &gt; SD &gt; Sales Organization</w:t>
            </w:r>
          </w:p>
        </w:tc>
        <w:tc>
          <w:tcPr>
            <w:tcW w:type="dxa" w:w="416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Create TF01, assign to TFSOL</w:t>
            </w:r>
          </w:p>
        </w:tc>
      </w:tr>
      <w:tr>
        <w:tc>
          <w:tcPr>
            <w:tcW w:type="dxa" w:w="3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3</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Define Dist. Channel &amp; Division</w:t>
            </w:r>
          </w:p>
        </w:tc>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Enterprise Structure &gt; Definition &gt; SD</w:t>
            </w:r>
          </w:p>
        </w:tc>
        <w:tc>
          <w:tcPr>
            <w:tcW w:type="dxa" w:w="41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Create DC=10 (Direct), Division=01 (Electronics)</w:t>
            </w:r>
          </w:p>
        </w:tc>
      </w:tr>
      <w:tr>
        <w:tc>
          <w:tcPr>
            <w:tcW w:type="dxa" w:w="36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4</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Assign Enterprise Structure</w:t>
            </w:r>
          </w:p>
        </w:tc>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Enterprise Structure &gt; Assignment &gt; SD</w:t>
            </w:r>
          </w:p>
        </w:tc>
        <w:tc>
          <w:tcPr>
            <w:tcW w:type="dxa" w:w="416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Link TF01+10+01 as Sales Area; TF10 to TF01; SP01 to TF10</w:t>
            </w:r>
          </w:p>
        </w:tc>
      </w:tr>
      <w:tr>
        <w:tc>
          <w:tcPr>
            <w:tcW w:type="dxa" w:w="3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5</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Pricing Procedure</w:t>
            </w:r>
          </w:p>
        </w:tc>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SD &gt; Basic Functions &gt; Pricing &gt; Define &amp; Assign Pricing Proc.</w:t>
            </w:r>
          </w:p>
        </w:tc>
        <w:tc>
          <w:tcPr>
            <w:tcW w:type="dxa" w:w="41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Create ZTFPR1 with PR00, K007, KF00, MWST; assign to TF01/10/01</w:t>
            </w:r>
          </w:p>
        </w:tc>
      </w:tr>
      <w:tr>
        <w:tc>
          <w:tcPr>
            <w:tcW w:type="dxa" w:w="36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6</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Copy Control</w:t>
            </w:r>
          </w:p>
        </w:tc>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SD &gt; Sales &gt; Maintain Copy Control (VTFL)</w:t>
            </w:r>
          </w:p>
        </w:tc>
        <w:tc>
          <w:tcPr>
            <w:tcW w:type="dxa" w:w="416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LF (Delivery) → F2 (Invoice) copy control</w:t>
            </w:r>
          </w:p>
        </w:tc>
      </w:tr>
      <w:tr>
        <w:tc>
          <w:tcPr>
            <w:tcW w:type="dxa" w:w="3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7</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Shipping Point Determination</w:t>
            </w:r>
          </w:p>
        </w:tc>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LE &gt; Shipping &gt; Basic Functions &gt; Shipping Point Determination</w:t>
            </w:r>
          </w:p>
        </w:tc>
        <w:tc>
          <w:tcPr>
            <w:tcW w:type="dxa" w:w="41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Rule: Shipping Cond 01 + Loading Group 0001 + Plant TF10 = SP01</w:t>
            </w:r>
          </w:p>
        </w:tc>
      </w:tr>
      <w:tr>
        <w:tc>
          <w:tcPr>
            <w:tcW w:type="dxa" w:w="36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8</w:t>
            </w:r>
          </w:p>
        </w:tc>
        <w:tc>
          <w:tcPr>
            <w:tcW w:type="dxa" w:w="17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Output Determination</w:t>
            </w:r>
          </w:p>
        </w:tc>
        <w:tc>
          <w:tcPr>
            <w:tcW w:type="dxa" w:w="28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SD &gt; Basic Functions &gt; Output Control &gt; Billing Output</w:t>
            </w:r>
          </w:p>
        </w:tc>
        <w:tc>
          <w:tcPr>
            <w:tcW w:type="dxa" w:w="416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RD00 condition: TF01 + F2 → Print/Email invoice PDF</w:t>
            </w:r>
          </w:p>
        </w:tc>
      </w:tr>
      <w:tr>
        <w:tc>
          <w:tcPr>
            <w:tcW w:type="dxa" w:w="36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9</w:t>
            </w:r>
          </w:p>
        </w:tc>
        <w:tc>
          <w:tcPr>
            <w:tcW w:type="dxa" w:w="17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Credit Management</w:t>
            </w:r>
          </w:p>
        </w:tc>
        <w:tc>
          <w:tcPr>
            <w:tcW w:type="dxa" w:w="28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SD &gt; Basic Functions &gt; Credit Mgmt &gt; Define Credit Control Area</w:t>
            </w:r>
          </w:p>
        </w:tc>
        <w:tc>
          <w:tcPr>
            <w:tcW w:type="dxa" w:w="416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Credit Area TF01, update 000012; FD32 sets CUST-1001 limit</w:t>
            </w:r>
          </w:p>
        </w:tc>
      </w:tr>
    </w:tbl>
    <w:p>
      <w:pPr>
        <w:spacing w:after="80" w:before="80"/>
      </w:pPr>
      <w:r>
        <w:t xml:space="preserve"/>
      </w:r>
    </w:p>
    <w:p>
      <w:pPr>
        <w:pBdr>
          <w:bottom w:val="single" w:color="0070F2" w:sz="8" w:space="4"/>
        </w:pBdr>
        <w:spacing w:after="120" w:before="360"/>
      </w:pPr>
      <w:r>
        <w:rPr>
          <w:rFonts w:ascii="Arial" w:cs="Arial" w:eastAsia="Arial" w:hAnsi="Arial"/>
          <w:b/>
          <w:bCs/>
          <w:color w:val="1F5C9E"/>
          <w:sz w:val="36"/>
          <w:szCs w:val="36"/>
        </w:rPr>
        <w:t xml:space="preserve">7. ABAP Report — ZSODATA (Custom ALV Viewer)</w:t>
      </w:r>
    </w:p>
    <w:p>
      <w:pPr>
        <w:spacing w:after="60" w:before="60"/>
        <w:jc w:val="both"/>
      </w:pPr>
      <w:r>
        <w:rPr>
          <w:rFonts w:ascii="Arial" w:cs="Arial" w:eastAsia="Arial" w:hAnsi="Arial"/>
          <w:color w:val="444444"/>
          <w:sz w:val="22"/>
          <w:szCs w:val="22"/>
        </w:rPr>
        <w:t xml:space="preserve">A custom ABAP report ZSODATA was developed as the technical component of this project. It demonstrates the integration between SAP SD functional processes and ABAP development — a critical skill for SAP consultants who need to create custom reports for business users.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6026"/>
            <w:tcBorders>
              <w:top w:val="single" w:color="BBCCDD" w:sz="1"/>
              <w:left w:val="single" w:color="BBCCDD" w:sz="1"/>
              <w:bottom w:val="single" w:color="BBCCDD" w:sz="1"/>
              <w:right w:val="single" w:color="BBCCDD" w:sz="1"/>
            </w:tcBorders>
            <w:shd w:fill="1F5C9E"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Program Name</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ZSODATA</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Description</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Sales Order ALV Report — O2C Data Viewer</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Database Tables</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VBAK (SO Header) INNER JOIN VBAP (SO Item)</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Selection Screen</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Filter by Sales Org, Distribution Channel, Division</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Output Format</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ALV Grid — Zebra rows, auto column width, custom grid title</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Screen / Container</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Custom Screen 100 | Container: SOLIST</w:t>
            </w:r>
          </w:p>
        </w:tc>
      </w:tr>
      <w:tr>
        <w:tc>
          <w:tcPr>
            <w:tcW w:type="dxa" w:w="3000"/>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Transaction Code</w:t>
            </w:r>
          </w:p>
        </w:tc>
        <w:tc>
          <w:tcPr>
            <w:tcW w:type="dxa" w:w="6026"/>
            <w:tcBorders>
              <w:top w:val="single" w:color="BBCCDD" w:sz="1"/>
              <w:left w:val="single" w:color="BBCCDD" w:sz="1"/>
              <w:bottom w:val="single" w:color="BBCCDD" w:sz="1"/>
              <w:right w:val="single" w:color="BBCCDD" w:sz="1"/>
            </w:tcBorders>
            <w:shd w:fill="FFFFFF" w:val="clear"/>
            <w:tcMar>
              <w:top w:type="dxa" w:w="75"/>
              <w:left w:type="dxa" w:w="130"/>
              <w:bottom w:type="dxa" w:w="75"/>
              <w:right w:type="dxa" w:w="130"/>
            </w:tcMar>
          </w:tcPr>
          <w:p>
            <w:r>
              <w:rPr>
                <w:rFonts w:ascii="Arial" w:cs="Arial" w:eastAsia="Arial" w:hAnsi="Arial"/>
                <w:color w:val="444444"/>
                <w:sz w:val="20"/>
                <w:szCs w:val="20"/>
              </w:rPr>
              <w:t xml:space="preserve">ZSO_VIEWER (created via SE93)</w:t>
            </w:r>
          </w:p>
        </w:tc>
      </w:tr>
      <w:tr>
        <w:tc>
          <w:tcPr>
            <w:tcW w:type="dxa" w:w="3000"/>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Fields Displayed</w:t>
            </w:r>
          </w:p>
        </w:tc>
        <w:tc>
          <w:tcPr>
            <w:tcW w:type="dxa" w:w="6026"/>
            <w:tcBorders>
              <w:top w:val="single" w:color="BBCCDD" w:sz="1"/>
              <w:left w:val="single" w:color="BBCCDD" w:sz="1"/>
              <w:bottom w:val="single" w:color="BBCCDD" w:sz="1"/>
              <w:right w:val="single" w:color="BBCCDD" w:sz="1"/>
            </w:tcBorders>
            <w:shd w:fill="F5F7FA" w:val="clear"/>
            <w:tcMar>
              <w:top w:type="dxa" w:w="75"/>
              <w:left w:type="dxa" w:w="130"/>
              <w:bottom w:type="dxa" w:w="75"/>
              <w:right w:type="dxa" w:w="130"/>
            </w:tcMar>
          </w:tcPr>
          <w:p>
            <w:r>
              <w:rPr>
                <w:rFonts w:ascii="Arial" w:cs="Arial" w:eastAsia="Arial" w:hAnsi="Arial"/>
                <w:color w:val="444444"/>
                <w:sz w:val="20"/>
                <w:szCs w:val="20"/>
              </w:rPr>
              <w:t xml:space="preserve">VBELN, POSNR, VKORG, VTWEG, SPART, MATNR, ZMENG, NETWR, WAERK</w:t>
            </w:r>
          </w:p>
        </w:tc>
      </w:tr>
    </w:tbl>
    <w:p>
      <w:pPr>
        <w:spacing w:after="80" w:before="80"/>
      </w:pPr>
      <w:r>
        <w:t xml:space="preserve"/>
      </w:r>
    </w:p>
    <w:p>
      <w:pPr>
        <w:spacing w:after="60" w:before="160"/>
      </w:pPr>
      <w:r>
        <w:rPr>
          <w:rFonts w:ascii="Arial" w:cs="Arial" w:eastAsia="Arial" w:hAnsi="Arial"/>
          <w:b/>
          <w:bCs/>
          <w:color w:val="1A1A1A"/>
          <w:sz w:val="22"/>
          <w:szCs w:val="22"/>
          <w:u w:val="single"/>
        </w:rPr>
        <w:t xml:space="preserve">Core SELECT Statement (from ZSODATA_report.abap):</w:t>
      </w:r>
    </w:p>
    <w:p>
      <w:pPr>
        <w:shd w:fill="F0F4F8" w:val="clear"/>
        <w:spacing w:after="20" w:before="20"/>
      </w:pPr>
      <w:r>
        <w:rPr>
          <w:rFonts w:ascii="Courier New" w:cs="Courier New" w:eastAsia="Courier New" w:hAnsi="Courier New"/>
          <w:color w:val="1A3A5C"/>
          <w:sz w:val="19"/>
          <w:szCs w:val="19"/>
        </w:rPr>
        <w:t xml:space="preserve">  SELECT a~vbeln, b~posnr, a~vbtyp, a~vkorg, a~vtweg, a~spart,</w:t>
      </w:r>
    </w:p>
    <w:p>
      <w:pPr>
        <w:shd w:fill="F0F4F8" w:val="clear"/>
        <w:spacing w:after="20" w:before="20"/>
      </w:pPr>
      <w:r>
        <w:rPr>
          <w:rFonts w:ascii="Courier New" w:cs="Courier New" w:eastAsia="Courier New" w:hAnsi="Courier New"/>
          <w:color w:val="1A3A5C"/>
          <w:sz w:val="19"/>
          <w:szCs w:val="19"/>
        </w:rPr>
        <w:t xml:space="preserve">         b~matnr, b~charg, b~zmeng, b~zieme, b~netwr, b~waerk</w:t>
      </w:r>
    </w:p>
    <w:p>
      <w:pPr>
        <w:shd w:fill="F0F4F8" w:val="clear"/>
        <w:spacing w:after="20" w:before="20"/>
      </w:pPr>
      <w:r>
        <w:rPr>
          <w:rFonts w:ascii="Courier New" w:cs="Courier New" w:eastAsia="Courier New" w:hAnsi="Courier New"/>
          <w:color w:val="1A3A5C"/>
          <w:sz w:val="19"/>
          <w:szCs w:val="19"/>
        </w:rPr>
        <w:t xml:space="preserve">      UP TO 100 ROWS</w:t>
      </w:r>
    </w:p>
    <w:p>
      <w:pPr>
        <w:shd w:fill="F0F4F8" w:val="clear"/>
        <w:spacing w:after="20" w:before="20"/>
      </w:pPr>
      <w:r>
        <w:rPr>
          <w:rFonts w:ascii="Courier New" w:cs="Courier New" w:eastAsia="Courier New" w:hAnsi="Courier New"/>
          <w:color w:val="1A3A5C"/>
          <w:sz w:val="19"/>
          <w:szCs w:val="19"/>
        </w:rPr>
        <w:t xml:space="preserve">    INTO TABLE @gt_sodata</w:t>
      </w:r>
    </w:p>
    <w:p>
      <w:pPr>
        <w:shd w:fill="F0F4F8" w:val="clear"/>
        <w:spacing w:after="20" w:before="20"/>
      </w:pPr>
      <w:r>
        <w:rPr>
          <w:rFonts w:ascii="Courier New" w:cs="Courier New" w:eastAsia="Courier New" w:hAnsi="Courier New"/>
          <w:color w:val="1A3A5C"/>
          <w:sz w:val="19"/>
          <w:szCs w:val="19"/>
        </w:rPr>
        <w:t xml:space="preserve">    FROM vbak AS a</w:t>
      </w:r>
    </w:p>
    <w:p>
      <w:pPr>
        <w:shd w:fill="F0F4F8" w:val="clear"/>
        <w:spacing w:after="20" w:before="20"/>
      </w:pPr>
      <w:r>
        <w:rPr>
          <w:rFonts w:ascii="Courier New" w:cs="Courier New" w:eastAsia="Courier New" w:hAnsi="Courier New"/>
          <w:color w:val="1A3A5C"/>
          <w:sz w:val="19"/>
          <w:szCs w:val="19"/>
        </w:rPr>
        <w:t xml:space="preserve">   INNER JOIN vbap AS b ON b~vbeln EQ a~vbeln</w:t>
      </w:r>
    </w:p>
    <w:p>
      <w:pPr>
        <w:shd w:fill="F0F4F8" w:val="clear"/>
        <w:spacing w:after="20" w:before="20"/>
      </w:pPr>
      <w:r>
        <w:rPr>
          <w:rFonts w:ascii="Courier New" w:cs="Courier New" w:eastAsia="Courier New" w:hAnsi="Courier New"/>
          <w:color w:val="1A3A5C"/>
          <w:sz w:val="19"/>
          <w:szCs w:val="19"/>
        </w:rPr>
        <w:t xml:space="preserve">   WHERE a~vkorg IN @s_vkorg</w:t>
      </w:r>
    </w:p>
    <w:p>
      <w:pPr>
        <w:shd w:fill="F0F4F8" w:val="clear"/>
        <w:spacing w:after="20" w:before="20"/>
      </w:pPr>
      <w:r>
        <w:rPr>
          <w:rFonts w:ascii="Courier New" w:cs="Courier New" w:eastAsia="Courier New" w:hAnsi="Courier New"/>
          <w:color w:val="1A3A5C"/>
          <w:sz w:val="19"/>
          <w:szCs w:val="19"/>
        </w:rPr>
        <w:t xml:space="preserve">     AND a~vtweg IN @s_vtweg</w:t>
      </w:r>
    </w:p>
    <w:p>
      <w:pPr>
        <w:shd w:fill="F0F4F8" w:val="clear"/>
        <w:spacing w:after="20" w:before="20"/>
      </w:pPr>
      <w:r>
        <w:rPr>
          <w:rFonts w:ascii="Courier New" w:cs="Courier New" w:eastAsia="Courier New" w:hAnsi="Courier New"/>
          <w:color w:val="1A3A5C"/>
          <w:sz w:val="19"/>
          <w:szCs w:val="19"/>
        </w:rPr>
        <w:t xml:space="preserve">     AND a~spart IN @s_spart.</w:t>
      </w:r>
    </w:p>
    <w:p>
      <w:pPr>
        <w:spacing w:after="80" w:before="80"/>
      </w:pPr>
      <w:r>
        <w:t xml:space="preserve"/>
      </w:r>
    </w:p>
    <w:p>
      <w:pPr>
        <w:spacing w:after="60" w:before="60"/>
        <w:jc w:val="both"/>
      </w:pPr>
      <w:r>
        <w:rPr>
          <w:rFonts w:ascii="Arial" w:cs="Arial" w:eastAsia="Arial" w:hAnsi="Arial"/>
          <w:color w:val="444444"/>
          <w:sz w:val="22"/>
          <w:szCs w:val="22"/>
        </w:rPr>
        <w:t xml:space="preserve">The ALV grid is rendered using CL_GUI_CUSTOM_CONTAINER and CL_GUI_ALV_GRID with zebra striping (gs_layout-zebra = abap_true) and automatic column width optimization. The PAI module handles user commands including BACK, EXIT, and CANCEL, with proper object cleanup to prevent memory leaks.</w:t>
      </w:r>
    </w:p>
    <w:p>
      <w:pPr>
        <w:spacing w:after="80" w:before="80"/>
      </w:pPr>
      <w:r>
        <w:t xml:space="preserve"/>
      </w:r>
    </w:p>
    <w:p>
      <w:pPr>
        <w:pBdr>
          <w:bottom w:val="single" w:color="0070F2" w:sz="8" w:space="4"/>
        </w:pBdr>
        <w:spacing w:after="120" w:before="360"/>
      </w:pPr>
      <w:r>
        <w:rPr>
          <w:rFonts w:ascii="Arial" w:cs="Arial" w:eastAsia="Arial" w:hAnsi="Arial"/>
          <w:b/>
          <w:bCs/>
          <w:color w:val="1F5C9E"/>
          <w:sz w:val="36"/>
          <w:szCs w:val="36"/>
        </w:rPr>
        <w:t xml:space="preserve">8. Unique Points &amp; Future Enhancements</w:t>
      </w:r>
    </w:p>
    <w:p>
      <w:pPr>
        <w:spacing w:after="80" w:before="240"/>
      </w:pPr>
      <w:r>
        <w:rPr>
          <w:rFonts w:ascii="Arial" w:cs="Arial" w:eastAsia="Arial" w:hAnsi="Arial"/>
          <w:b/>
          <w:bCs/>
          <w:color w:val="1F5C9E"/>
          <w:sz w:val="28"/>
          <w:szCs w:val="28"/>
        </w:rPr>
        <w:t xml:space="preserve">8.1 What Makes This Project Stand Out</w:t>
      </w:r>
    </w:p>
    <w:p>
      <w:pPr>
        <w:pStyle w:val="ListParagraph"/>
        <w:numPr>
          <w:ilvl w:val="0"/>
          <w:numId w:val="2"/>
        </w:numPr>
        <w:spacing w:after="40" w:before="40"/>
      </w:pPr>
      <w:r>
        <w:rPr>
          <w:rFonts w:ascii="Arial" w:cs="Arial" w:eastAsia="Arial" w:hAnsi="Arial"/>
          <w:color w:val="444444"/>
          <w:sz w:val="22"/>
          <w:szCs w:val="22"/>
        </w:rPr>
        <w:t xml:space="preserve">Full Cross-Module Integration: This project explicitly documents FI accounting entries generated at both PGI and Billing stages — demonstrating how SD, FI, and MM work as one unified system rather than isolated modules.</w:t>
      </w:r>
    </w:p>
    <w:p>
      <w:pPr>
        <w:pStyle w:val="ListParagraph"/>
        <w:numPr>
          <w:ilvl w:val="0"/>
          <w:numId w:val="2"/>
        </w:numPr>
        <w:spacing w:after="40" w:before="40"/>
      </w:pPr>
      <w:r>
        <w:rPr>
          <w:rFonts w:ascii="Arial" w:cs="Arial" w:eastAsia="Arial" w:hAnsi="Arial"/>
          <w:color w:val="444444"/>
          <w:sz w:val="22"/>
          <w:szCs w:val="22"/>
        </w:rPr>
        <w:t xml:space="preserve">India-Specific GST Compliance: Pricing includes MWST at 18% with HSN code 8471 for laptops, GSTIN fields in customer master, and IGST treatment — directly applicable to real Indian business scenarios.</w:t>
      </w:r>
    </w:p>
    <w:p>
      <w:pPr>
        <w:pStyle w:val="ListParagraph"/>
        <w:numPr>
          <w:ilvl w:val="0"/>
          <w:numId w:val="2"/>
        </w:numPr>
        <w:spacing w:after="40" w:before="40"/>
      </w:pPr>
      <w:r>
        <w:rPr>
          <w:rFonts w:ascii="Arial" w:cs="Arial" w:eastAsia="Arial" w:hAnsi="Arial"/>
          <w:color w:val="444444"/>
          <w:sz w:val="22"/>
          <w:szCs w:val="22"/>
        </w:rPr>
        <w:t xml:space="preserve">Condition Technique Mastery: The pricing procedure ZTFPR1 with PR00, K007, KF00, and MWST demonstrates deep understanding of SAP's powerful condition technique — the engine behind all pricing in SD.</w:t>
      </w:r>
    </w:p>
    <w:p>
      <w:pPr>
        <w:pStyle w:val="ListParagraph"/>
        <w:numPr>
          <w:ilvl w:val="0"/>
          <w:numId w:val="2"/>
        </w:numPr>
        <w:spacing w:after="40" w:before="40"/>
      </w:pPr>
      <w:r>
        <w:rPr>
          <w:rFonts w:ascii="Arial" w:cs="Arial" w:eastAsia="Arial" w:hAnsi="Arial"/>
          <w:color w:val="444444"/>
          <w:sz w:val="22"/>
          <w:szCs w:val="22"/>
        </w:rPr>
        <w:t xml:space="preserve">Technical + Functional Bridge: The ABAP ALV report ZSODATA bridges the gap between SD functional consulting and ABAP development, showing full-stack SAP capability that employers value highly.</w:t>
      </w:r>
    </w:p>
    <w:p>
      <w:pPr>
        <w:pStyle w:val="ListParagraph"/>
        <w:numPr>
          <w:ilvl w:val="0"/>
          <w:numId w:val="2"/>
        </w:numPr>
        <w:spacing w:after="40" w:before="40"/>
      </w:pPr>
      <w:r>
        <w:rPr>
          <w:rFonts w:ascii="Arial" w:cs="Arial" w:eastAsia="Arial" w:hAnsi="Arial"/>
          <w:color w:val="444444"/>
          <w:sz w:val="22"/>
          <w:szCs w:val="22"/>
        </w:rPr>
        <w:t xml:space="preserve">Document Flow Completeness: All six linked documents are explicitly numbered, dated, and traced — from Inquiry 10000001 to Payment Clearing 1400000001 — showing real-world SAP traceability.</w:t>
      </w:r>
    </w:p>
    <w:p>
      <w:pPr>
        <w:spacing w:after="80" w:before="80"/>
      </w:pPr>
      <w:r>
        <w:t xml:space="preserve"/>
      </w:r>
    </w:p>
    <w:p>
      <w:pPr>
        <w:spacing w:after="80" w:before="240"/>
      </w:pPr>
      <w:r>
        <w:rPr>
          <w:rFonts w:ascii="Arial" w:cs="Arial" w:eastAsia="Arial" w:hAnsi="Arial"/>
          <w:b/>
          <w:bCs/>
          <w:color w:val="1F5C9E"/>
          <w:sz w:val="28"/>
          <w:szCs w:val="28"/>
        </w:rPr>
        <w:t xml:space="preserve">8.2 Future Improvements</w:t>
      </w:r>
    </w:p>
    <w:p>
      <w:pPr>
        <w:pStyle w:val="ListParagraph"/>
        <w:numPr>
          <w:ilvl w:val="0"/>
          <w:numId w:val="2"/>
        </w:numPr>
        <w:spacing w:after="40" w:before="40"/>
      </w:pPr>
      <w:r>
        <w:rPr>
          <w:rFonts w:ascii="Arial" w:cs="Arial" w:eastAsia="Arial" w:hAnsi="Arial"/>
          <w:color w:val="444444"/>
          <w:sz w:val="22"/>
          <w:szCs w:val="22"/>
        </w:rPr>
        <w:t xml:space="preserve">Returns Processing (RE Order Type): Implement a full reverse O2C cycle — Returns Order (RE) → Return Delivery → Credit Memo — to handle customer product returns, which is critical in the retail electronics sector.</w:t>
      </w:r>
    </w:p>
    <w:p>
      <w:pPr>
        <w:pStyle w:val="ListParagraph"/>
        <w:numPr>
          <w:ilvl w:val="0"/>
          <w:numId w:val="2"/>
        </w:numPr>
        <w:spacing w:after="40" w:before="40"/>
      </w:pPr>
      <w:r>
        <w:rPr>
          <w:rFonts w:ascii="Arial" w:cs="Arial" w:eastAsia="Arial" w:hAnsi="Arial"/>
          <w:color w:val="444444"/>
          <w:sz w:val="22"/>
          <w:szCs w:val="22"/>
        </w:rPr>
        <w:t xml:space="preserve">Credit Management Enhancement (FD32): Configure dynamic credit checks that automatically block Sales Orders when RetailMart's outstanding balance exceeds INR 25,00,000, requiring manager approval to release.</w:t>
      </w:r>
    </w:p>
    <w:p>
      <w:pPr>
        <w:pStyle w:val="ListParagraph"/>
        <w:numPr>
          <w:ilvl w:val="0"/>
          <w:numId w:val="2"/>
        </w:numPr>
        <w:spacing w:after="40" w:before="40"/>
      </w:pPr>
      <w:r>
        <w:rPr>
          <w:rFonts w:ascii="Arial" w:cs="Arial" w:eastAsia="Arial" w:hAnsi="Arial"/>
          <w:color w:val="444444"/>
          <w:sz w:val="22"/>
          <w:szCs w:val="22"/>
        </w:rPr>
        <w:t xml:space="preserve">S/4HANA Migration: Migrate to SAP S/4HANA which simplifies the data model — Business Partner (BP) replaces separate Customer/Vendor masters, Universal Journal (ACDOCA) replaces multiple FI tables, improving performance significantly.</w:t>
      </w:r>
    </w:p>
    <w:p>
      <w:pPr>
        <w:pStyle w:val="ListParagraph"/>
        <w:numPr>
          <w:ilvl w:val="0"/>
          <w:numId w:val="2"/>
        </w:numPr>
        <w:spacing w:after="40" w:before="40"/>
      </w:pPr>
      <w:r>
        <w:rPr>
          <w:rFonts w:ascii="Arial" w:cs="Arial" w:eastAsia="Arial" w:hAnsi="Arial"/>
          <w:color w:val="444444"/>
          <w:sz w:val="22"/>
          <w:szCs w:val="22"/>
        </w:rPr>
        <w:t xml:space="preserve">SAP Fiori Interface: Replace SAP GUI transactions with Fiori apps (F0842 Create Sales Order, F0844 Track Order, F0846 Create Billing) to provide a modern, mobile-ready interface for sales teams and customers.</w:t>
      </w:r>
    </w:p>
    <w:p>
      <w:pPr>
        <w:pStyle w:val="ListParagraph"/>
        <w:numPr>
          <w:ilvl w:val="0"/>
          <w:numId w:val="2"/>
        </w:numPr>
        <w:spacing w:after="40" w:before="40"/>
      </w:pPr>
      <w:r>
        <w:rPr>
          <w:rFonts w:ascii="Arial" w:cs="Arial" w:eastAsia="Arial" w:hAnsi="Arial"/>
          <w:color w:val="444444"/>
          <w:sz w:val="22"/>
          <w:szCs w:val="22"/>
        </w:rPr>
        <w:t xml:space="preserve">EDI / API Integration: Enable automatic Sales Order creation directly from RetailMart's procurement system via EDI 850 (Purchase Order) or REST API, eliminating manual data entry entirely.</w:t>
      </w:r>
    </w:p>
    <w:p>
      <w:pPr>
        <w:spacing w:after="80" w:before="80"/>
      </w:pPr>
      <w:r>
        <w:t xml:space="preserve"/>
      </w:r>
    </w:p>
    <w:p>
      <w:pPr>
        <w:pBdr>
          <w:bottom w:val="single" w:color="0070F2" w:sz="8" w:space="4"/>
        </w:pBdr>
        <w:spacing w:after="120" w:before="360"/>
      </w:pPr>
      <w:r>
        <w:rPr>
          <w:rFonts w:ascii="Arial" w:cs="Arial" w:eastAsia="Arial" w:hAnsi="Arial"/>
          <w:b/>
          <w:bCs/>
          <w:color w:val="1F5C9E"/>
          <w:sz w:val="36"/>
          <w:szCs w:val="36"/>
        </w:rPr>
        <w:t xml:space="preserve">9. Conclusion</w:t>
      </w:r>
    </w:p>
    <w:p>
      <w:pPr>
        <w:spacing w:after="60" w:before="60"/>
        <w:jc w:val="both"/>
      </w:pPr>
      <w:r>
        <w:rPr>
          <w:rFonts w:ascii="Arial" w:cs="Arial" w:eastAsia="Arial" w:hAnsi="Arial"/>
          <w:color w:val="444444"/>
          <w:sz w:val="22"/>
          <w:szCs w:val="22"/>
        </w:rPr>
        <w:t xml:space="preserve">This capstone project successfully demonstrates a complete, production-grade implementation of the SAP SD Order-to-Cash cycle for TechFlow Solutions Pvt. Ltd. Through this work, the following competencies have been demonstrated at a practitioner level:</w:t>
      </w:r>
    </w:p>
    <w:p>
      <w:pPr>
        <w:spacing w:after="8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SAP Organizational Design: Correctly structured the enterprise hierarchy with Company Code TFSOL, Sales Organization TF01, and Sales Area TF01/10/01, understanding how each unit drives business processes.</w:t>
      </w:r>
    </w:p>
    <w:p>
      <w:pPr>
        <w:pStyle w:val="ListParagraph"/>
        <w:numPr>
          <w:ilvl w:val="0"/>
          <w:numId w:val="2"/>
        </w:numPr>
        <w:spacing w:after="40" w:before="40"/>
      </w:pPr>
      <w:r>
        <w:rPr>
          <w:rFonts w:ascii="Arial" w:cs="Arial" w:eastAsia="Arial" w:hAnsi="Arial"/>
          <w:color w:val="444444"/>
          <w:sz w:val="22"/>
          <w:szCs w:val="22"/>
        </w:rPr>
        <w:t xml:space="preserve">Master Data Management: Created comprehensive Customer Master (CUST-1001), Material Master (TF-LAP-001), and Pricing Condition Records in ZTFPR1 — the three pillars of SAP SD data.</w:t>
      </w:r>
    </w:p>
    <w:p>
      <w:pPr>
        <w:pStyle w:val="ListParagraph"/>
        <w:numPr>
          <w:ilvl w:val="0"/>
          <w:numId w:val="2"/>
        </w:numPr>
        <w:spacing w:after="40" w:before="40"/>
      </w:pPr>
      <w:r>
        <w:rPr>
          <w:rFonts w:ascii="Arial" w:cs="Arial" w:eastAsia="Arial" w:hAnsi="Arial"/>
          <w:color w:val="444444"/>
          <w:sz w:val="22"/>
          <w:szCs w:val="22"/>
        </w:rPr>
        <w:t xml:space="preserve">End-to-End Process Execution: Executed all 7 O2C stages with correct SAP transactions (VA11 → VA21 → VA01 → VL01N → VL02N → VF01 → F-28), understanding the business purpose and system impact of each step.</w:t>
      </w:r>
    </w:p>
    <w:p>
      <w:pPr>
        <w:pStyle w:val="ListParagraph"/>
        <w:numPr>
          <w:ilvl w:val="0"/>
          <w:numId w:val="2"/>
        </w:numPr>
        <w:spacing w:after="40" w:before="40"/>
      </w:pPr>
      <w:r>
        <w:rPr>
          <w:rFonts w:ascii="Arial" w:cs="Arial" w:eastAsia="Arial" w:hAnsi="Arial"/>
          <w:color w:val="444444"/>
          <w:sz w:val="22"/>
          <w:szCs w:val="22"/>
        </w:rPr>
        <w:t xml:space="preserve">SPRO Configuration Knowledge: Documented 9 key configuration areas with exact SPRO menu paths, reflecting real-world SAP implementation methodology.</w:t>
      </w:r>
    </w:p>
    <w:p>
      <w:pPr>
        <w:pStyle w:val="ListParagraph"/>
        <w:numPr>
          <w:ilvl w:val="0"/>
          <w:numId w:val="2"/>
        </w:numPr>
        <w:spacing w:after="40" w:before="40"/>
      </w:pPr>
      <w:r>
        <w:rPr>
          <w:rFonts w:ascii="Arial" w:cs="Arial" w:eastAsia="Arial" w:hAnsi="Arial"/>
          <w:color w:val="444444"/>
          <w:sz w:val="22"/>
          <w:szCs w:val="22"/>
        </w:rPr>
        <w:t xml:space="preserve">Financial Integration: Demonstrated how SD events automatically create FI postings at PGI (COGS entry) and Billing (Revenue recognition + AR + Tax), proving understanding of cross-module integration.</w:t>
      </w:r>
    </w:p>
    <w:p>
      <w:pPr>
        <w:pStyle w:val="ListParagraph"/>
        <w:numPr>
          <w:ilvl w:val="0"/>
          <w:numId w:val="2"/>
        </w:numPr>
        <w:spacing w:after="40" w:before="40"/>
      </w:pPr>
      <w:r>
        <w:rPr>
          <w:rFonts w:ascii="Arial" w:cs="Arial" w:eastAsia="Arial" w:hAnsi="Arial"/>
          <w:color w:val="444444"/>
          <w:sz w:val="22"/>
          <w:szCs w:val="22"/>
        </w:rPr>
        <w:t xml:space="preserve">ABAP Technical Skill: Developed a custom ALV report joining VBAK and VBAP with selection screen, ALV grid layout, proper screen flow, and memory management.</w:t>
      </w:r>
    </w:p>
    <w:p>
      <w:pPr>
        <w:spacing w:after="80" w:before="80"/>
      </w:pPr>
      <w:r>
        <w:t xml:space="preserve"/>
      </w:r>
    </w:p>
    <w:p>
      <w:pPr>
        <w:spacing w:after="60" w:before="60"/>
        <w:jc w:val="both"/>
      </w:pPr>
      <w:r>
        <w:rPr>
          <w:rFonts w:ascii="Arial" w:cs="Arial" w:eastAsia="Arial" w:hAnsi="Arial"/>
          <w:color w:val="444444"/>
          <w:sz w:val="22"/>
          <w:szCs w:val="22"/>
        </w:rPr>
        <w:t xml:space="preserve">The Order-to-Cash process is the revenue engine of any enterprise. A consultant who masters O2C in SAP SD has a foundational skill that is immediately applicable in any industry — retail, manufacturing, pharmaceuticals, or services. This project establishes that mastery with technical depth, real-world context, and professional documentation.</w:t>
      </w:r>
    </w:p>
    <w:p>
      <w:pPr>
        <w:spacing w:after="80" w:before="80"/>
      </w:pPr>
      <w:r>
        <w:t xml:space="preserve"/>
      </w:r>
    </w:p>
    <w:p>
      <w:pPr>
        <w:pBdr>
          <w:top w:val="single" w:color="0070F2" w:sz="6" w:space="8"/>
        </w:pBdr>
        <w:spacing w:after="80" w:before="400"/>
        <w:jc w:val="center"/>
      </w:pPr>
      <w:r>
        <w:rPr>
          <w:rFonts w:ascii="Arial" w:cs="Arial" w:eastAsia="Arial" w:hAnsi="Arial"/>
          <w:b/>
          <w:bCs/>
          <w:color w:val="999999"/>
          <w:sz w:val="22"/>
          <w:szCs w:val="22"/>
        </w:rPr>
        <w:t xml:space="preserve">— End of Document —</w:t>
      </w:r>
    </w:p>
    <w:p>
      <w:pPr>
        <w:spacing w:after="0" w:before="80"/>
        <w:jc w:val="center"/>
      </w:pPr>
      <w:r>
        <w:rPr>
          <w:rFonts w:ascii="Arial" w:cs="Arial" w:eastAsia="Arial" w:hAnsi="Arial"/>
          <w:color w:val="BBBBBB"/>
          <w:sz w:val="18"/>
          <w:szCs w:val="18"/>
        </w:rPr>
        <w:t xml:space="preserve">TechFlow Solutions Pvt. Ltd.  |  SAP SD O2C Capstone  |  KIIT 2026</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F2" w:sz="8" w:space="3"/>
      </w:pBdr>
      <w:tabs>
        <w:tab w:val="right" w:pos="9026"/>
      </w:tabs>
    </w:pPr>
    <w:r>
      <w:rPr>
        <w:rFonts w:ascii="Arial" w:cs="Arial" w:eastAsia="Arial" w:hAnsi="Arial"/>
        <w:color w:val="999999"/>
        <w:sz w:val="16"/>
        <w:szCs w:val="16"/>
      </w:rPr>
      <w:t xml:space="preserve">KIIT SAP Capstone Project  |  Confidential — For Academic Use Only</w:t>
    </w:r>
    <w:r>
      <w:rPr>
        <w:rFonts w:ascii="Arial" w:cs="Arial" w:eastAsia="Arial" w:hAnsi="Arial"/>
        <w:color w:val="999999"/>
        <w:sz w:val="16"/>
        <w:szCs w:val="16"/>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F2" w:sz="8" w:space="3"/>
      </w:pBdr>
      <w:tabs>
        <w:tab w:val="right" w:pos="9026"/>
      </w:tabs>
    </w:pPr>
    <w:r>
      <w:rPr>
        <w:rFonts w:ascii="Arial" w:cs="Arial" w:eastAsia="Arial" w:hAnsi="Arial"/>
        <w:color w:val="777777"/>
        <w:sz w:val="18"/>
        <w:szCs w:val="18"/>
      </w:rPr>
      <w:t xml:space="preserve">SAP SD Capstone | Order-to-Cash (O2C)</w:t>
    </w:r>
    <w:r>
      <w:rPr>
        <w:sz w:val="18"/>
        <w:szCs w:val="18"/>
      </w:rPr>
      <w:t xml:space="preserve">	</w:t>
    </w:r>
    <w:r>
      <w:rPr>
        <w:rFonts w:ascii="Arial" w:cs="Arial" w:eastAsia="Arial" w:hAnsi="Arial"/>
        <w:b/>
        <w:bCs/>
        <w:color w:val="0070F2"/>
        <w:sz w:val="18"/>
        <w:szCs w:val="18"/>
      </w:rPr>
      <w:t xml:space="preserve">TechFlow Solutions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5C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2026-04-18T15:26:23.022Z</dcterms:created>
  <dcterms:modified xsi:type="dcterms:W3CDTF">2026-04-18T15:26:23.044Z</dcterms:modified>
</cp:coreProperties>
</file>

<file path=docProps/custom.xml><?xml version="1.0" encoding="utf-8"?>
<Properties xmlns="http://schemas.openxmlformats.org/officeDocument/2006/custom-properties" xmlns:vt="http://schemas.openxmlformats.org/officeDocument/2006/docPropsVTypes"/>
</file>