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HW2.5 — GPU Assignment I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Precision, Bandwidth, and the Cost of Attention</w:t>
      </w:r>
    </w:p>
    <w:p>
      <w:pPr>
        <w:spacing w:after="120"/>
      </w:pPr>
      <w:r>
        <w:rPr>
          <w:b/>
          <w:bCs/>
        </w:rPr>
        <w:t xml:space="preserve">GPU: </w:t>
      </w:r>
      <w:r>
        <w:t xml:space="preserve">NVIDIA GeForce RTX 4090</w:t>
      </w:r>
    </w:p>
    <w:p>
      <w:pPr>
        <w:spacing w:after="120"/>
      </w:pPr>
      <w:r>
        <w:rPr>
          <w:b/>
          <w:bCs/>
        </w:rPr>
        <w:t xml:space="preserve">UUID: </w:t>
      </w:r>
      <w:r>
        <w:t xml:space="preserve">GPU-5b052ad1-4272-40db-4b25-c930bf32b547</w:t>
      </w:r>
    </w:p>
    <w:p>
      <w:pPr>
        <w:spacing w:after="120"/>
      </w:pPr>
      <w:r>
        <w:rPr>
          <w:b/>
          <w:bCs/>
        </w:rPr>
        <w:t xml:space="preserve">Driver / CUDA: </w:t>
      </w:r>
      <w:r>
        <w:t xml:space="preserve">595.95 / 13.2</w:t>
      </w:r>
    </w:p>
    <w:p>
      <w:pPr>
        <w:spacing w:after="120"/>
      </w:pPr>
      <w:r>
        <w:rPr>
          <w:b/>
          <w:bCs/>
        </w:rPr>
        <w:t xml:space="preserve">Vendor specs (NVIDIA Ada GPU Architecture whitepaper): </w:t>
      </w:r>
      <w:r>
        <w:t xml:space="preserve">Ada Lovelace / AD102, TSMC 4N, GDDR6X 384-bit, ~1008 GB/s peak bandwidth, 512 4th-gen Tensor Cores (FP16/BF16/TF32/INT8/FP8), 82.6 TFLOPS FP32, 450 W TDP.</w:t>
      </w:r>
    </w:p>
    <w:p>
      <w:pPr>
        <w:pStyle w:val="Heading1"/>
        <w:spacing w:after="150" w:before="300"/>
      </w:pPr>
      <w:r>
        <w:t xml:space="preserve">Table HW2.5.1 — Summary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4520"/>
      </w:tblGrid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Measurement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</w:rPr>
              <w:t xml:space="preserve">Your GPU</w:t>
            </w:r>
          </w:p>
        </w:tc>
        <w:tc>
          <w:tcPr>
            <w:tcW w:type="dxa" w:w="4520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Peak achieved TFLOPS (BF16)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164.37</w:t>
            </w:r>
          </w:p>
        </w:tc>
        <w:tc>
          <w:tcPr>
            <w:tcW w:type="dxa" w:w="4520"/>
          </w:tcPr>
          <w:p>
            <w:r>
              <w:rPr>
                <w:b w:val="false"/>
                <w:bCs w:val="false"/>
              </w:rPr>
              <w:t xml:space="preserve">N=8192, 30 reps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% of theoretical peak (BF16)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~99.6%</w:t>
            </w:r>
          </w:p>
        </w:tc>
        <w:tc>
          <w:tcPr>
            <w:tcW w:type="dxa" w:w="4520"/>
          </w:tcPr>
          <w:p>
            <w:r>
              <w:rPr>
                <w:b w:val="false"/>
                <w:bCs w:val="false"/>
              </w:rPr>
              <w:t xml:space="preserve">vs. ~165 TFLOPS dense FP16 tensor spec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Effective bandwidth (GB/s)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910.63 (90.3%)</w:t>
            </w:r>
          </w:p>
        </w:tc>
        <w:tc>
          <w:tcPr>
            <w:tcW w:type="dxa" w:w="4520"/>
          </w:tcPr>
          <w:p>
            <w:r>
              <w:rPr>
                <w:b w:val="false"/>
                <w:bCs w:val="false"/>
              </w:rPr>
              <w:t xml:space="preserve">elementwise copy, 1 GiB/buffer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Naive attention OOM length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26832 OK / 26833 OOM</w:t>
            </w:r>
          </w:p>
        </w:tc>
        <w:tc>
          <w:tcPr>
            <w:tcW w:type="dxa" w:w="4520"/>
          </w:tcPr>
          <w:p>
            <w:r>
              <w:rPr>
                <w:b w:val="false"/>
                <w:bCs w:val="false"/>
              </w:rPr>
              <w:t xml:space="preserve">mem-fraction 0.9 cap; single-token resolution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Fused attention OOM length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not reached (tested to 32768)</w:t>
            </w:r>
          </w:p>
        </w:tc>
        <w:tc>
          <w:tcPr>
            <w:tcW w:type="dxa" w:w="4520"/>
          </w:tcPr>
          <w:p>
            <w:r>
              <w:rPr>
                <w:b w:val="false"/>
                <w:bCs w:val="false"/>
              </w:rPr>
              <w:t xml:space="preserve">SDPA scales ~linearly, not quadratically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Steady-state / peak throughput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100.0%</w:t>
            </w:r>
          </w:p>
        </w:tc>
        <w:tc>
          <w:tcPr>
            <w:tcW w:type="dxa" w:w="4520"/>
          </w:tcPr>
          <w:p>
            <w:r>
              <w:rPr>
                <w:b w:val="false"/>
                <w:bCs w:val="false"/>
              </w:rPr>
              <w:t xml:space="preserve">48.457 / 48.467 calls/s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Throttle onset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~5 s (power-limit)</w:t>
            </w:r>
          </w:p>
        </w:tc>
        <w:tc>
          <w:tcPr>
            <w:tcW w:type="dxa" w:w="4520"/>
          </w:tcPr>
          <w:p>
            <w:r>
              <w:rPr>
                <w:b w:val="false"/>
                <w:bCs w:val="false"/>
              </w:rPr>
              <w:t xml:space="preserve">not thermal; temp plateaued at 75-76C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Part A — Provenance</w:t>
      </w:r>
    </w:p>
    <w:p>
      <w:pPr>
        <w:spacing w:after="120"/>
      </w:pPr>
      <w:r>
        <w:t xml:space="preserve">Captured via nvidia-smi -q on the lab machine (rtx4090_nvidia_smi_q.txt). UUID, driver, CUDA version, VRAM, and power limit were auto-parsed into rtx4090_provenance_auto.json. Vendor-doc fields are cited from NVIDIA's own Ada GPU Architecture whitepaper (https://images.nvidia.com/aem-dam/Solutions/geforce/ada/nvidia-ada-gpu-architecture.pdf).</w:t>
      </w:r>
    </w:p>
    <w:p>
      <w:pPr>
        <w:pStyle w:val="Heading1"/>
        <w:spacing w:after="150" w:before="300"/>
      </w:pPr>
      <w:r>
        <w:t xml:space="preserve">Part B — Precision and Achieved Throughput</w:t>
      </w:r>
    </w:p>
    <w:p>
      <w:pPr>
        <w:spacing w:after="120"/>
      </w:pPr>
      <w:r>
        <w:t xml:space="preserve">30 repetitions per (N, precision) configuration, timed with CUDA events after a 10-call warmup.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80"/>
        <w:gridCol w:w="1880"/>
        <w:gridCol w:w="1880"/>
        <w:gridCol w:w="1880"/>
      </w:tblGrid>
      <w:tr>
        <w:tc>
          <w:tcPr>
            <w:tcW w:type="dxa" w:w="1800"/>
            <w:shd w:fill="D9E2F3" w:val="clear"/>
          </w:tcPr>
          <w:p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1880"/>
            <w:shd w:fill="D9E2F3" w:val="clear"/>
          </w:tcPr>
          <w:p>
            <w:r>
              <w:rPr>
                <w:b/>
                <w:bCs/>
              </w:rPr>
              <w:t xml:space="preserve">FP32</w:t>
            </w:r>
          </w:p>
        </w:tc>
        <w:tc>
          <w:tcPr>
            <w:tcW w:type="dxa" w:w="1880"/>
            <w:shd w:fill="D9E2F3" w:val="clear"/>
          </w:tcPr>
          <w:p>
            <w:r>
              <w:rPr>
                <w:b/>
                <w:bCs/>
              </w:rPr>
              <w:t xml:space="preserve">TF32</w:t>
            </w:r>
          </w:p>
        </w:tc>
        <w:tc>
          <w:tcPr>
            <w:tcW w:type="dxa" w:w="1880"/>
            <w:shd w:fill="D9E2F3" w:val="clear"/>
          </w:tcPr>
          <w:p>
            <w:r>
              <w:rPr>
                <w:b/>
                <w:bCs/>
              </w:rPr>
              <w:t xml:space="preserve">FP16</w:t>
            </w:r>
          </w:p>
        </w:tc>
        <w:tc>
          <w:tcPr>
            <w:tcW w:type="dxa" w:w="1880"/>
            <w:shd w:fill="D9E2F3" w:val="clear"/>
          </w:tcPr>
          <w:p>
            <w:r>
              <w:rPr>
                <w:b/>
                <w:bCs/>
              </w:rPr>
              <w:t xml:space="preserve">BF16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1024</w:t>
            </w:r>
          </w:p>
        </w:tc>
        <w:tc>
          <w:tcPr>
            <w:tcW w:type="dxa" w:w="1880"/>
          </w:tcPr>
          <w:p>
            <w:r>
              <w:rPr>
                <w:b w:val="false"/>
                <w:bCs w:val="false"/>
              </w:rPr>
              <w:t xml:space="preserve">44.72</w:t>
            </w:r>
          </w:p>
        </w:tc>
        <w:tc>
          <w:tcPr>
            <w:tcW w:type="dxa" w:w="1880"/>
          </w:tcPr>
          <w:p>
            <w:r>
              <w:rPr>
                <w:b w:val="false"/>
                <w:bCs w:val="false"/>
              </w:rPr>
              <w:t xml:space="preserve">65.14</w:t>
            </w:r>
          </w:p>
        </w:tc>
        <w:tc>
          <w:tcPr>
            <w:tcW w:type="dxa" w:w="1880"/>
          </w:tcPr>
          <w:p>
            <w:r>
              <w:rPr>
                <w:b w:val="false"/>
                <w:bCs w:val="false"/>
              </w:rPr>
              <w:t xml:space="preserve">98.46</w:t>
            </w:r>
          </w:p>
        </w:tc>
        <w:tc>
          <w:tcPr>
            <w:tcW w:type="dxa" w:w="1880"/>
          </w:tcPr>
          <w:p>
            <w:r>
              <w:rPr>
                <w:b w:val="false"/>
                <w:bCs w:val="false"/>
              </w:rPr>
              <w:t xml:space="preserve">120.07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4096</w:t>
            </w:r>
          </w:p>
        </w:tc>
        <w:tc>
          <w:tcPr>
            <w:tcW w:type="dxa" w:w="1880"/>
          </w:tcPr>
          <w:p>
            <w:r>
              <w:rPr>
                <w:b w:val="false"/>
                <w:bCs w:val="false"/>
              </w:rPr>
              <w:t xml:space="preserve">52.98</w:t>
            </w:r>
          </w:p>
        </w:tc>
        <w:tc>
          <w:tcPr>
            <w:tcW w:type="dxa" w:w="1880"/>
          </w:tcPr>
          <w:p>
            <w:r>
              <w:rPr>
                <w:b w:val="false"/>
                <w:bCs w:val="false"/>
              </w:rPr>
              <w:t xml:space="preserve">79.03</w:t>
            </w:r>
          </w:p>
        </w:tc>
        <w:tc>
          <w:tcPr>
            <w:tcW w:type="dxa" w:w="1880"/>
          </w:tcPr>
          <w:p>
            <w:r>
              <w:rPr>
                <w:b w:val="false"/>
                <w:bCs w:val="false"/>
              </w:rPr>
              <w:t xml:space="preserve">167.09</w:t>
            </w:r>
          </w:p>
        </w:tc>
        <w:tc>
          <w:tcPr>
            <w:tcW w:type="dxa" w:w="1880"/>
          </w:tcPr>
          <w:p>
            <w:r>
              <w:rPr>
                <w:b w:val="false"/>
                <w:bCs w:val="false"/>
              </w:rPr>
              <w:t xml:space="preserve">157.91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8192</w:t>
            </w:r>
          </w:p>
        </w:tc>
        <w:tc>
          <w:tcPr>
            <w:tcW w:type="dxa" w:w="1880"/>
          </w:tcPr>
          <w:p>
            <w:r>
              <w:rPr>
                <w:b w:val="false"/>
                <w:bCs w:val="false"/>
              </w:rPr>
              <w:t xml:space="preserve">52.31</w:t>
            </w:r>
          </w:p>
        </w:tc>
        <w:tc>
          <w:tcPr>
            <w:tcW w:type="dxa" w:w="1880"/>
          </w:tcPr>
          <w:p>
            <w:r>
              <w:rPr>
                <w:b w:val="false"/>
                <w:bCs w:val="false"/>
              </w:rPr>
              <w:t xml:space="preserve">86.41</w:t>
            </w:r>
          </w:p>
        </w:tc>
        <w:tc>
          <w:tcPr>
            <w:tcW w:type="dxa" w:w="1880"/>
          </w:tcPr>
          <w:p>
            <w:r>
              <w:rPr>
                <w:b w:val="false"/>
                <w:bCs w:val="false"/>
              </w:rPr>
              <w:t xml:space="preserve">162.89</w:t>
            </w:r>
          </w:p>
        </w:tc>
        <w:tc>
          <w:tcPr>
            <w:tcW w:type="dxa" w:w="1880"/>
          </w:tcPr>
          <w:p>
            <w:r>
              <w:rPr>
                <w:b w:val="false"/>
                <w:bCs w:val="false"/>
              </w:rPr>
              <w:t xml:space="preserve">164.37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16384</w:t>
            </w:r>
          </w:p>
        </w:tc>
        <w:tc>
          <w:tcPr>
            <w:tcW w:type="dxa" w:w="1880"/>
          </w:tcPr>
          <w:p>
            <w:r>
              <w:rPr>
                <w:b w:val="false"/>
                <w:bCs w:val="false"/>
              </w:rPr>
              <w:t xml:space="preserve">50.25</w:t>
            </w:r>
          </w:p>
        </w:tc>
        <w:tc>
          <w:tcPr>
            <w:tcW w:type="dxa" w:w="1880"/>
          </w:tcPr>
          <w:p>
            <w:r>
              <w:rPr>
                <w:b w:val="false"/>
                <w:bCs w:val="false"/>
              </w:rPr>
              <w:t xml:space="preserve">86.95</w:t>
            </w:r>
          </w:p>
        </w:tc>
        <w:tc>
          <w:tcPr>
            <w:tcW w:type="dxa" w:w="1880"/>
          </w:tcPr>
          <w:p>
            <w:r>
              <w:rPr>
                <w:b w:val="false"/>
                <w:bCs w:val="false"/>
              </w:rPr>
              <w:t xml:space="preserve">157.91</w:t>
            </w:r>
          </w:p>
        </w:tc>
        <w:tc>
          <w:tcPr>
            <w:tcW w:type="dxa" w:w="1880"/>
          </w:tcPr>
          <w:p>
            <w:r>
              <w:rPr>
                <w:b w:val="false"/>
                <w:bCs w:val="false"/>
              </w:rPr>
              <w:t xml:space="preserve">160.57</w:t>
            </w:r>
          </w:p>
        </w:tc>
      </w:tr>
    </w:tbl>
    <w:p>
      <w:pPr>
        <w:spacing w:after="120"/>
      </w:pPr>
      <w:r>
        <w:t xml:space="preserve">(Achieved TFLOPS; see rtx4090_part_b_throughput.csv)</w:t>
      </w:r>
    </w:p>
    <w:p>
      <w:pPr>
        <w:jc w:val="center"/>
      </w:pPr>
      <w:r>
        <w:drawing>
          <wp:inline distT="0" distB="0" distL="0" distR="0">
            <wp:extent cx="64008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Figure 1. Achieved TFLOPS vs. matrix size, by precision.</w:t>
      </w:r>
    </w:p>
    <w:p>
      <w:pPr>
        <w:pStyle w:val="Heading2"/>
        <w:spacing w:after="120" w:before="240"/>
      </w:pPr>
      <w:r>
        <w:t xml:space="preserve">Plateau behavior</w:t>
      </w:r>
    </w:p>
    <w:p>
      <w:pPr>
        <w:spacing w:after="120"/>
      </w:pPr>
      <w:r>
        <w:t xml:space="preserve">FP32 and TF32 are already near their plateau by N=4096 and stay flat (within ~5%) through N=16384 — FP32 doesn't use tensor cores on Ada, so its ceiling is the CUDA-core FMA rate, reached once N is large enough to keep the SMs fully occupied. FP16/BF16 (tensor core paths) peak earliest at N=4096 (167.09/157.91) and settle slightly lower at N=8192-16384 (~160-165); small matrices (N=1024) never reach the plateau because the matmul is too short to amortize kernel-launch overhead and fill all SMs — at N=1024, tensor-core throughput is only ~73-75% of its N&gt;=4096 value.</w:t>
      </w:r>
    </w:p>
    <w:p>
      <w:pPr>
        <w:spacing w:after="120"/>
      </w:pPr>
      <w:r>
        <w:t xml:space="preserve">Achieved FP32 (~50-53 TFLOPS) sits well below the 82.6 TFLOPS FP32 spec peak; this is expected, since that spec figure assumes ideal occupancy rarely reached by a single unfused matmul call at these sizes — a ~60-64% peak-utilization figure is reasonable for measured throughput.</w:t>
      </w:r>
    </w:p>
    <w:p>
      <w:pPr>
        <w:pStyle w:val="Heading1"/>
        <w:spacing w:after="150" w:before="300"/>
      </w:pPr>
      <w:r>
        <w:t xml:space="preserve">Part C — Bandwidth-Bound vs. Compute-Bound</w:t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1620"/>
      </w:tblGrid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Operation</w:t>
            </w:r>
          </w:p>
        </w:tc>
        <w:tc>
          <w:tcPr>
            <w:tcW w:type="dxa" w:w="3500"/>
            <w:shd w:fill="D9E2F3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1620"/>
            <w:shd w:fill="D9E2F3" w:val="clear"/>
          </w:tcPr>
          <w:p>
            <w:r>
              <w:rPr>
                <w:b/>
                <w:bCs/>
              </w:rPr>
              <w:t xml:space="preserve">Arithmetic Intensity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Memory-bound (copy, 1 GiB/buffer)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910.63 GB/s (90.3% of ~1008 GB/s spec)</w:t>
            </w:r>
          </w:p>
        </w:tc>
        <w:tc>
          <w:tcPr>
            <w:tcW w:type="dxa" w:w="1620"/>
          </w:tcPr>
          <w:p>
            <w:r>
              <w:rPr>
                <w:b w:val="false"/>
                <w:bCs w:val="false"/>
              </w:rPr>
              <w:t xml:space="preserve">0 FLOPs/byte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Compute-bound (matmul, N=8192, FP32)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54.54 TFLOPS achieved</w:t>
            </w:r>
          </w:p>
        </w:tc>
        <w:tc>
          <w:tcPr>
            <w:tcW w:type="dxa" w:w="1620"/>
          </w:tcPr>
          <w:p>
            <w:r>
              <w:rPr>
                <w:b w:val="false"/>
                <w:bCs w:val="false"/>
              </w:rPr>
              <w:t xml:space="preserve">1365.33 FLOPs/byte (=N/6)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Roofline classification: ridge point = peak_TFLOPS / peak_bandwidth = 165e12 / 1008e9 ~= 164 FLOPs/byte (using measured BF16 peak as the compute ceiling). The matmul's AI (1365) is roughly 8x past the ridge point — solidly compute-bound, consistent with it reaching near-peak TFLOPS in Part B. The copy sits at AI=0, deep on the memory-bound side, and achieves 90% of peak bandwidth, close to the practical ceiling for a simple copy kernel.</w:t>
      </w:r>
    </w:p>
    <w:p>
      <w:pPr>
        <w:pStyle w:val="Heading1"/>
        <w:spacing w:after="150" w:before="300"/>
      </w:pPr>
      <w:r>
        <w:t xml:space="preserve">Part D — The Cost of Attention</w:t>
      </w:r>
    </w:p>
    <w:p>
      <w:pPr>
        <w:spacing w:after="120"/>
      </w:pPr>
      <w:r>
        <w:t xml:space="preserve">Config: batch=1, heads=8, head_dim=64, dtype=float16.</w:t>
      </w:r>
    </w:p>
    <w:tbl>
      <w:tblPr>
        <w:tblW w:type="dxa" w:w="8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800"/>
        <w:gridCol w:w="1900"/>
        <w:gridCol w:w="1520"/>
      </w:tblGrid>
      <w:tr>
        <w:tc>
          <w:tcPr>
            <w:tcW w:type="dxa" w:w="900"/>
            <w:shd w:fill="D9E2F3" w:val="clear"/>
          </w:tcPr>
          <w:p>
            <w:r>
              <w:rPr>
                <w:b/>
                <w:bCs/>
              </w:rPr>
              <w:t xml:space="preserve">S</w:t>
            </w:r>
          </w:p>
        </w:tc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Naive latency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</w:rPr>
              <w:t xml:space="preserve">Naive peak mem</w:t>
            </w:r>
          </w:p>
        </w:tc>
        <w:tc>
          <w:tcPr>
            <w:tcW w:type="dxa" w:w="1900"/>
            <w:shd w:fill="D9E2F3" w:val="clear"/>
          </w:tcPr>
          <w:p>
            <w:r>
              <w:rPr>
                <w:b/>
                <w:bCs/>
              </w:rPr>
              <w:t xml:space="preserve">Fused latency</w:t>
            </w:r>
          </w:p>
        </w:tc>
        <w:tc>
          <w:tcPr>
            <w:tcW w:type="dxa" w:w="1520"/>
            <w:shd w:fill="D9E2F3" w:val="clear"/>
          </w:tcPr>
          <w:p>
            <w:r>
              <w:rPr>
                <w:b/>
                <w:bCs/>
              </w:rPr>
              <w:t xml:space="preserve">Fused peak mem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512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0.08-0.21 ms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0.02 GB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0.03-0.04 ms</w:t>
            </w:r>
          </w:p>
        </w:tc>
        <w:tc>
          <w:tcPr>
            <w:tcW w:type="dxa" w:w="1520"/>
          </w:tcPr>
          <w:p>
            <w:r>
              <w:rPr>
                <w:b w:val="false"/>
                <w:bCs w:val="false"/>
              </w:rPr>
              <w:t xml:space="preserve">0.01 GB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1024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0.07-0.18 ms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0.05 GB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0.05-0.08 ms</w:t>
            </w:r>
          </w:p>
        </w:tc>
        <w:tc>
          <w:tcPr>
            <w:tcW w:type="dxa" w:w="1520"/>
          </w:tcPr>
          <w:p>
            <w:r>
              <w:rPr>
                <w:b w:val="false"/>
                <w:bCs w:val="false"/>
              </w:rPr>
              <w:t xml:space="preserve">0.01 GB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2048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0.40 ms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0.15 GB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0.10 ms</w:t>
            </w:r>
          </w:p>
        </w:tc>
        <w:tc>
          <w:tcPr>
            <w:tcW w:type="dxa" w:w="1520"/>
          </w:tcPr>
          <w:p>
            <w:r>
              <w:rPr>
                <w:b w:val="false"/>
                <w:bCs w:val="false"/>
              </w:rPr>
              <w:t xml:space="preserve">0.02 GB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4096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1.86-1.93 ms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0.56 GB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0.30 ms</w:t>
            </w:r>
          </w:p>
        </w:tc>
        <w:tc>
          <w:tcPr>
            <w:tcW w:type="dxa" w:w="1520"/>
          </w:tcPr>
          <w:p>
            <w:r>
              <w:rPr>
                <w:b w:val="false"/>
                <w:bCs w:val="false"/>
              </w:rPr>
              <w:t xml:space="preserve">0.03 GB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8192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7.21-7.23 ms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2.19 GB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1.11-1.17 ms</w:t>
            </w:r>
          </w:p>
        </w:tc>
        <w:tc>
          <w:tcPr>
            <w:tcW w:type="dxa" w:w="1520"/>
          </w:tcPr>
          <w:p>
            <w:r>
              <w:rPr>
                <w:b w:val="false"/>
                <w:bCs w:val="false"/>
              </w:rPr>
              <w:t xml:space="preserve">0.04 GB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16384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28.65-28.68 ms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8.67 GB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4.44-4.48 ms</w:t>
            </w:r>
          </w:p>
        </w:tc>
        <w:tc>
          <w:tcPr>
            <w:tcW w:type="dxa" w:w="1520"/>
          </w:tcPr>
          <w:p>
            <w:r>
              <w:rPr>
                <w:b w:val="false"/>
                <w:bCs w:val="false"/>
              </w:rPr>
              <w:t xml:space="preserve">0.08 GB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20480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44.35-44.43 ms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13.51 GB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6.66-6.84 ms</w:t>
            </w:r>
          </w:p>
        </w:tc>
        <w:tc>
          <w:tcPr>
            <w:tcW w:type="dxa" w:w="1520"/>
          </w:tcPr>
          <w:p>
            <w:r>
              <w:rPr>
                <w:b w:val="false"/>
                <w:bCs w:val="false"/>
              </w:rPr>
              <w:t xml:space="preserve">0.09 GB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24576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64.89-65.01 ms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19.44 GB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9.85-10.00 ms</w:t>
            </w:r>
          </w:p>
        </w:tc>
        <w:tc>
          <w:tcPr>
            <w:tcW w:type="dxa" w:w="1520"/>
          </w:tcPr>
          <w:p>
            <w:r>
              <w:rPr>
                <w:b w:val="false"/>
                <w:bCs w:val="false"/>
              </w:rPr>
              <w:t xml:space="preserve">0.11 GB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28672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325.23 ms (uncapped) / OOM (capped)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26.43 GB (uncapped)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13.55-13.68 ms</w:t>
            </w:r>
          </w:p>
        </w:tc>
        <w:tc>
          <w:tcPr>
            <w:tcW w:type="dxa" w:w="1520"/>
          </w:tcPr>
          <w:p>
            <w:r>
              <w:rPr>
                <w:b w:val="false"/>
                <w:bCs w:val="false"/>
              </w:rPr>
              <w:t xml:space="preserve">0.13 GB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32768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1172.97 ms (uncapped, WDDM spillover)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34.50 GB (uncapped)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17.82-17.91 ms</w:t>
            </w:r>
          </w:p>
        </w:tc>
        <w:tc>
          <w:tcPr>
            <w:tcW w:type="dxa" w:w="1520"/>
          </w:tcPr>
          <w:p>
            <w:r>
              <w:rPr>
                <w:b w:val="false"/>
                <w:bCs w:val="false"/>
              </w:rPr>
              <w:t xml:space="preserve">0.14 GB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OOM boundary (naive): </w:t>
      </w:r>
      <w:r>
        <w:t xml:space="preserve">largest OK = 26832, smallest OOM = 26833 (single-token resolution via binary search).</w:t>
      </w:r>
    </w:p>
    <w:p>
      <w:pPr>
        <w:pStyle w:val="Heading2"/>
        <w:spacing w:after="120" w:before="240"/>
      </w:pPr>
      <w:r>
        <w:t xml:space="preserve">Methodology note — Windows/WDDM</w:t>
      </w:r>
    </w:p>
    <w:p>
      <w:pPr>
        <w:spacing w:after="120"/>
      </w:pPr>
      <w:r>
        <w:t xml:space="preserve">On this Windows/WDDM system, an uncapped run never raised torch.cuda.OutOfMemoryError even past 34.5 GB reported peak allocation on a 24 GB card. The latency jump at S=28672-&gt;32768 (65ms -&gt; 325ms -&gt; 1173ms, a 5x then 18x slowdown) is WDDM's driver-level "shared GPU memory" fallback silently spilling allocations into system RAM over PCIe rather than raising CUDA OOM. To recover a genuine, physical-VRAM-bound OOM boundary as specified, the CUDA allocator was capped to 90% of VRAM (torch.cuda.set_per_process_memory_fraction(0.9)), which produced the clean 26832/26833 boundary above.</w:t>
      </w:r>
    </w:p>
    <w:p>
      <w:pPr>
        <w:spacing w:after="120"/>
      </w:pPr>
      <w:r>
        <w:rPr>
          <w:b/>
          <w:bCs/>
        </w:rPr>
        <w:t xml:space="preserve">OOM boundary (fused): </w:t>
      </w:r>
      <w:r>
        <w:t xml:space="preserve">not reached up to S=32768, the largest tested. Fused (SDPA/FlashAttention) memory scales close to linearly with sequence length (0.01 GB at S=512 -&gt; 0.14 GB at S=32768, a 64x increase in S for a 14x increase in memory) rather than quadratically, so it does not hit a VRAM wall in the range tested here.</w:t>
      </w:r>
    </w:p>
    <w:p>
      <w:pPr>
        <w:jc w:val="center"/>
      </w:pPr>
      <w:r>
        <w:drawing>
          <wp:inline distT="0" distB="0" distL="0" distR="0">
            <wp:extent cx="64008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Figure 2. Naive attention peak memory vs. sequence length, with quadratic fit.</w:t>
      </w:r>
    </w:p>
    <w:p>
      <w:pPr>
        <w:pStyle w:val="Heading2"/>
        <w:spacing w:after="120" w:before="240"/>
      </w:pPr>
      <w:r>
        <w:t xml:space="preserve">Quadratic memory fit (naive)</w:t>
      </w:r>
    </w:p>
    <w:p>
      <w:pPr>
        <w:spacing w:after="120"/>
      </w:pPr>
      <w:r>
        <w:t xml:space="preserve">Measured coefficient: a = 3.200e-08 GB/token^2. Theory: the dominant term comes from materializing the (B,H,S,S) scores/weights tensors in fp16 — with B=1, H=8, 2 bytes/element, one such tensor alone contributes B*H*2/1e9 = 1.6e-08 GB/token^2. The measured coefficient (3.2e-08) is almost exactly 2x that, consistent with the naive implementation holding both the pre-softmax scores tensor and the post-softmax weights tensor as separate full (B,H,S,S) allocations simultaneously.</w:t>
      </w:r>
    </w:p>
    <w:p>
      <w:pPr>
        <w:pStyle w:val="Heading2"/>
        <w:spacing w:after="120" w:before="240"/>
      </w:pPr>
      <w:r>
        <w:t xml:space="preserve">Speedup and mechanism</w:t>
      </w:r>
    </w:p>
    <w:p>
      <w:pPr>
        <w:spacing w:after="120"/>
      </w:pPr>
      <w:r>
        <w:t xml:space="preserve">Fused vs. naive: ~6.4x at S=16384 (4.46ms vs 28.65ms), ~6.5x at S=24576 (10.00ms vs 64.89ms) — consistent across scale.</w:t>
      </w:r>
    </w:p>
    <w:p>
      <w:pPr>
        <w:spacing w:after="120"/>
      </w:pPr>
      <w:r>
        <w:t xml:space="preserve">What the fused kernel avoids: FlashAttention-style fused SDPA never materializes the full (S,S) score or weight matrix in global memory. It tiles the computation, keeping blocks of Q/K/V and partial softmax statistics in fast on-chip SRAM, and accumulates the output incrementally across tiles using an online-softmax algorithm. This avoids both the O(S^2) memory footprint (peak memory stays effectively O(S) here) and the extra global-memory read/write traffic naive attention pays for writing out and re-reading the full attention matrix, which is why it is also several times faster despite doing asymptotically the same FLOPs.</w:t>
      </w:r>
    </w:p>
    <w:p>
      <w:pPr>
        <w:pStyle w:val="Heading1"/>
        <w:spacing w:after="150" w:before="300"/>
      </w:pPr>
      <w:r>
        <w:t xml:space="preserve">Part E — Sustained Load and Thermal Behaviour</w:t>
      </w:r>
    </w:p>
    <w:p>
      <w:pPr>
        <w:spacing w:after="120"/>
      </w:pPr>
      <w:r>
        <w:t xml:space="preserve">20-minute sustained load, matmul N=8192 FP32, sampled every 5s.</w:t>
      </w:r>
    </w:p>
    <w:p>
      <w:pPr>
        <w:jc w:val="center"/>
      </w:pPr>
      <w:r>
        <w:drawing>
          <wp:inline distT="0" distB="0" distL="0" distR="0">
            <wp:extent cx="64008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Figure 3. SM clock and temperature vs. elapsed time under sustained load.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20"/>
      </w:tblGrid>
      <w:tr>
        <w:tc>
          <w:tcPr>
            <w:tcW w:type="dxa" w:w="1800"/>
            <w:shd w:fill="D9E2F3" w:val="clear"/>
          </w:tcPr>
          <w:p>
            <w:r>
              <w:rPr>
                <w:b/>
                <w:bCs/>
              </w:rPr>
              <w:t xml:space="preserve">Signal</w:t>
            </w:r>
          </w:p>
        </w:tc>
        <w:tc>
          <w:tcPr>
            <w:tcW w:type="dxa" w:w="7520"/>
            <w:shd w:fill="D9E2F3" w:val="clear"/>
          </w:tcPr>
          <w:p>
            <w:r>
              <w:rPr>
                <w:b/>
                <w:bCs/>
              </w:rPr>
              <w:t xml:space="preserve">Observation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Temperature</w:t>
            </w:r>
          </w:p>
        </w:tc>
        <w:tc>
          <w:tcPr>
            <w:tcW w:type="dxa" w:w="7520"/>
          </w:tcPr>
          <w:p>
            <w:r>
              <w:rPr>
                <w:b w:val="false"/>
                <w:bCs w:val="false"/>
              </w:rPr>
              <w:t xml:space="preserve">Climbed from 43C (idle) to ~65-76C within ~100s, then held flat at 75-76C for the remainder.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Power</w:t>
            </w:r>
          </w:p>
        </w:tc>
        <w:tc>
          <w:tcPr>
            <w:tcW w:type="dxa" w:w="7520"/>
          </w:tcPr>
          <w:p>
            <w:r>
              <w:rPr>
                <w:b w:val="false"/>
                <w:bCs w:val="false"/>
              </w:rPr>
              <w:t xml:space="preserve">Reached the 450W cap within the first 5s sample and stayed pegged at 448-450W for the entire run.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Clock</w:t>
            </w:r>
          </w:p>
        </w:tc>
        <w:tc>
          <w:tcPr>
            <w:tcW w:type="dxa" w:w="7520"/>
          </w:tcPr>
          <w:p>
            <w:r>
              <w:rPr>
                <w:b w:val="false"/>
                <w:bCs w:val="false"/>
              </w:rPr>
              <w:t xml:space="preserve">Oscillated narrowly between 2175-2250 MHz throughout, hunting around the power ceiling rather than ramping down.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Throttle onset</w:t>
            </w:r>
          </w:p>
        </w:tc>
        <w:tc>
          <w:tcPr>
            <w:tcW w:type="dxa" w:w="7520"/>
          </w:tcPr>
          <w:p>
            <w:r>
              <w:rPr>
                <w:b w:val="false"/>
                <w:bCs w:val="false"/>
              </w:rPr>
              <w:t xml:space="preserve">~5s. Power-limit throttling, not thermal: temperature plateaued at 75-76C, well below the ~90C thermal limit typical for this card, while power sat at its 450W TDP the entire time.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Throughput retention</w:t>
            </w:r>
          </w:p>
        </w:tc>
        <w:tc>
          <w:tcPr>
            <w:tcW w:type="dxa" w:w="7520"/>
          </w:tcPr>
          <w:p>
            <w:r>
              <w:rPr>
                <w:b w:val="false"/>
                <w:bCs w:val="false"/>
              </w:rPr>
              <w:t xml:space="preserve">Peak (first 30s) = 48.467 calls/s; steady-state (final 5 min) = 48.457 calls/s -&gt; 100.0% retention.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The fine-grained clock oscillation (a few dozen MHz around the power ceiling) produced no measurable throughput loss between the "cold" and steady-state windows — the power ceiling was reached almost immediately and throughput was stable from then on, rather than showing a classic thermal-ramp degradation curve.</w:t>
      </w:r>
    </w:p>
    <w:p>
      <w:pPr>
        <w:pStyle w:val="Heading1"/>
        <w:spacing w:after="150" w:before="300"/>
      </w:pPr>
      <w:r>
        <w:t xml:space="preserve">AI Use</w:t>
      </w:r>
    </w:p>
    <w:p>
      <w:pPr>
        <w:spacing w:after="120"/>
      </w:pPr>
      <w:r>
        <w:t xml:space="preserve">AI assistance (Claude, Anthropic) was used for: authoring the benchmark scripts, environment setup troubleshooting (Python/pip/git PATH issues, CUDA-enabled torch build selection), a code-review catch of a malformed f-string prior to running it, diagnosis of Windows WDDM's memory-spillover behavior and the torch.cuda.set_per_process_memory_fraction fix used to recover a genuine OOM boundary, and vendor-spec citation lookup from NVIDIA's Ada whitepaper. All numerical results in this report were produced by running the scripts on the author's own RTX 4090 GPU-lab reservation; no values were AI-generated or estimated. See AI_USE.md for full detail.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05ae128ec17ecc25013b463aed0bf09bb3b370a.png"/><Relationship Id="rId8" Type="http://schemas.openxmlformats.org/officeDocument/2006/relationships/image" Target="media/cd9c27fa4a6a97e50d4a3b02d2bc0c58a3ed0d45.png"/><Relationship Id="rId9" Type="http://schemas.openxmlformats.org/officeDocument/2006/relationships/image" Target="media/76d63045031961d1c1f978347b1275fd608a3f1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2026-09-14T22:39:02.097Z</dcterms:created>
  <dcterms:modified xsi:type="dcterms:W3CDTF">2026-09-14T22:39:02.112Z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