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C88E" w14:textId="77777777" w:rsidR="00BB49C1" w:rsidRDefault="00000000">
      <w:pPr>
        <w:spacing w:after="80"/>
        <w:jc w:val="center"/>
      </w:pPr>
      <w:r>
        <w:rPr>
          <w:b/>
          <w:bCs/>
          <w:caps/>
          <w:color w:val="1F4E79"/>
          <w:sz w:val="32"/>
          <w:szCs w:val="32"/>
        </w:rPr>
        <w:t>SALES FORECASTING &amp; DEMAND INTELLIGENCE REPORT</w:t>
      </w:r>
    </w:p>
    <w:p w14:paraId="655CC3E1" w14:textId="77777777" w:rsidR="00BB49C1" w:rsidRDefault="00000000">
      <w:pPr>
        <w:spacing w:after="80"/>
        <w:jc w:val="center"/>
      </w:pPr>
      <w:r>
        <w:rPr>
          <w:color w:val="2E86AB"/>
        </w:rPr>
        <w:t>──────────────────────────────────────────────────────────────────────</w:t>
      </w:r>
    </w:p>
    <w:p w14:paraId="32D375D7" w14:textId="77777777" w:rsidR="00BB49C1" w:rsidRDefault="00000000">
      <w:pPr>
        <w:spacing w:after="40"/>
        <w:jc w:val="center"/>
      </w:pPr>
      <w:r>
        <w:rPr>
          <w:b/>
          <w:bCs/>
          <w:color w:val="595959"/>
        </w:rPr>
        <w:t xml:space="preserve">Prepared by: </w:t>
      </w:r>
      <w:r>
        <w:rPr>
          <w:color w:val="595959"/>
        </w:rPr>
        <w:t>Ritika Sen</w:t>
      </w:r>
    </w:p>
    <w:p w14:paraId="7B2223B9" w14:textId="1CF470C7" w:rsidR="00BB49C1" w:rsidRDefault="00000000" w:rsidP="00224535">
      <w:pPr>
        <w:spacing w:after="40"/>
        <w:jc w:val="center"/>
      </w:pPr>
      <w:r>
        <w:rPr>
          <w:b/>
          <w:bCs/>
          <w:color w:val="595959"/>
        </w:rPr>
        <w:t xml:space="preserve">Date: </w:t>
      </w:r>
      <w:r>
        <w:rPr>
          <w:color w:val="595959"/>
        </w:rPr>
        <w:t>July 2026</w:t>
      </w:r>
    </w:p>
    <w:p w14:paraId="67C15A87" w14:textId="77777777" w:rsidR="00BB49C1" w:rsidRDefault="00000000">
      <w:pPr>
        <w:pStyle w:val="Heading1"/>
        <w:pBdr>
          <w:bottom w:val="single" w:sz="6" w:space="0" w:color="2E86AB"/>
        </w:pBdr>
        <w:spacing w:before="160" w:after="60"/>
        <w:rPr>
          <w:b/>
          <w:bCs/>
          <w:color w:val="1F4E79"/>
          <w:sz w:val="28"/>
          <w:szCs w:val="28"/>
        </w:rPr>
      </w:pPr>
      <w:r>
        <w:t>1. Executive Summary</w:t>
      </w:r>
    </w:p>
    <w:p w14:paraId="7FBAE3A7" w14:textId="4F0F8A79" w:rsidR="00BB49C1" w:rsidRDefault="00000000">
      <w:pPr>
        <w:spacing w:before="30" w:after="30"/>
        <w:jc w:val="both"/>
      </w:pPr>
      <w:r>
        <w:rPr>
          <w:color w:val="1A1A1A"/>
          <w:sz w:val="22"/>
          <w:szCs w:val="22"/>
        </w:rPr>
        <w:t xml:space="preserve">This report presents findings from an end-to-end analysis of four years of US retail sales data (2015–2018) covering 9,800 transactions across three product categories and four regions. Using advanced forecasting models, anomaly detection, and product segmentation, we have built a system that predicts future demand, flags unusual sales </w:t>
      </w:r>
      <w:r w:rsidR="00224535">
        <w:rPr>
          <w:color w:val="1A1A1A"/>
          <w:sz w:val="22"/>
          <w:szCs w:val="22"/>
        </w:rPr>
        <w:t>behaviour</w:t>
      </w:r>
      <w:r>
        <w:rPr>
          <w:color w:val="1A1A1A"/>
          <w:sz w:val="22"/>
          <w:szCs w:val="22"/>
        </w:rPr>
        <w:t>, and groups products by demand pattern.</w:t>
      </w:r>
    </w:p>
    <w:p w14:paraId="3FBC6C1D" w14:textId="77777777" w:rsidR="00BB49C1" w:rsidRDefault="00000000">
      <w:pPr>
        <w:spacing w:before="30" w:after="30"/>
        <w:jc w:val="both"/>
      </w:pPr>
      <w:r>
        <w:rPr>
          <w:color w:val="1A1A1A"/>
          <w:sz w:val="22"/>
          <w:szCs w:val="22"/>
        </w:rPr>
        <w:t>The key finding is that the business is growing consistently — total revenue increased year over year, with the West region and Technology category leading growth. For the next three months (January–March 2019), total sales are forecast to reach approximately $252,000, with February being the strongest month. This report recommends three concrete actions the business should take immediately to capitalize on this growth while reducing inventory risk.</w:t>
      </w:r>
    </w:p>
    <w:p w14:paraId="3A8C647C" w14:textId="77777777" w:rsidR="00BB49C1" w:rsidRDefault="00000000">
      <w:pPr>
        <w:pStyle w:val="Heading1"/>
        <w:pBdr>
          <w:bottom w:val="single" w:sz="6" w:space="0" w:color="2E86AB"/>
        </w:pBdr>
        <w:spacing w:before="160" w:after="60"/>
        <w:rPr>
          <w:b/>
          <w:bCs/>
          <w:color w:val="1F4E79"/>
          <w:sz w:val="28"/>
          <w:szCs w:val="28"/>
        </w:rPr>
      </w:pPr>
      <w:r>
        <w:t>2. Key Findings from Data Analysis</w:t>
      </w:r>
    </w:p>
    <w:p w14:paraId="36F7BB9E" w14:textId="77777777" w:rsidR="00BB49C1" w:rsidRDefault="00000000">
      <w:pPr>
        <w:spacing w:before="30" w:after="30"/>
        <w:jc w:val="both"/>
      </w:pPr>
      <w:r>
        <w:rPr>
          <w:color w:val="1A1A1A"/>
          <w:sz w:val="22"/>
          <w:szCs w:val="22"/>
        </w:rPr>
        <w:t>The business generated a total of $2.26 million in revenue between 2015 and 2018. Several clear patterns emerged:</w:t>
      </w:r>
    </w:p>
    <w:p w14:paraId="58E57CAE" w14:textId="77777777" w:rsidR="00BB49C1" w:rsidRDefault="00000000">
      <w:pPr>
        <w:spacing w:before="120" w:after="40"/>
      </w:pPr>
      <w:r>
        <w:rPr>
          <w:b/>
          <w:bCs/>
          <w:color w:val="2E86AB"/>
          <w:sz w:val="24"/>
          <w:szCs w:val="24"/>
        </w:rPr>
        <w:t>Revenue by Category</w:t>
      </w:r>
    </w:p>
    <w:p w14:paraId="76ED08B5" w14:textId="77777777" w:rsidR="00BB49C1" w:rsidRDefault="00000000">
      <w:pPr>
        <w:spacing w:before="30" w:after="30"/>
        <w:ind w:left="400"/>
      </w:pPr>
      <w:r>
        <w:rPr>
          <w:color w:val="1A1A1A"/>
          <w:sz w:val="22"/>
          <w:szCs w:val="22"/>
        </w:rPr>
        <w:t>• Technology: $827,456 (37% of total revenue) — highest and fastest growing</w:t>
      </w:r>
    </w:p>
    <w:p w14:paraId="7E73FE5D" w14:textId="77777777" w:rsidR="00BB49C1" w:rsidRDefault="00000000">
      <w:pPr>
        <w:spacing w:before="30" w:after="30"/>
        <w:ind w:left="400"/>
      </w:pPr>
      <w:r>
        <w:rPr>
          <w:color w:val="1A1A1A"/>
          <w:sz w:val="22"/>
          <w:szCs w:val="22"/>
        </w:rPr>
        <w:t>• Furniture: $728,659 (32%) — stable, consistent performance</w:t>
      </w:r>
    </w:p>
    <w:p w14:paraId="42F2244E" w14:textId="77777777" w:rsidR="00BB49C1" w:rsidRDefault="00000000">
      <w:pPr>
        <w:spacing w:before="30" w:after="30"/>
        <w:ind w:left="400"/>
      </w:pPr>
      <w:r>
        <w:rPr>
          <w:color w:val="1A1A1A"/>
          <w:sz w:val="22"/>
          <w:szCs w:val="22"/>
        </w:rPr>
        <w:t>• Office Supplies: $705,422 (31%) — reliable but showing slower growth</w:t>
      </w:r>
    </w:p>
    <w:p w14:paraId="5E679B2D" w14:textId="77777777" w:rsidR="00BB49C1" w:rsidRDefault="00000000">
      <w:pPr>
        <w:spacing w:before="120" w:after="40"/>
      </w:pPr>
      <w:r>
        <w:rPr>
          <w:b/>
          <w:bCs/>
          <w:color w:val="2E86AB"/>
          <w:sz w:val="24"/>
          <w:szCs w:val="24"/>
        </w:rPr>
        <w:t>Regional Performance</w:t>
      </w:r>
    </w:p>
    <w:p w14:paraId="47B8FB31" w14:textId="77777777" w:rsidR="00BB49C1" w:rsidRDefault="00000000">
      <w:pPr>
        <w:spacing w:before="30" w:after="30"/>
        <w:ind w:left="400"/>
      </w:pPr>
      <w:r>
        <w:rPr>
          <w:color w:val="1A1A1A"/>
          <w:sz w:val="22"/>
          <w:szCs w:val="22"/>
        </w:rPr>
        <w:t>• West region nearly doubled sales from $145,908 in 2015 to $248,131 in 2018 — a 70% increase</w:t>
      </w:r>
    </w:p>
    <w:p w14:paraId="1E896B95" w14:textId="77777777" w:rsidR="00BB49C1" w:rsidRDefault="00000000">
      <w:pPr>
        <w:spacing w:before="30" w:after="30"/>
        <w:ind w:left="400"/>
      </w:pPr>
      <w:r>
        <w:rPr>
          <w:color w:val="1A1A1A"/>
          <w:sz w:val="22"/>
          <w:szCs w:val="22"/>
        </w:rPr>
        <w:t>• East region showed consistent growth across all four years</w:t>
      </w:r>
    </w:p>
    <w:p w14:paraId="18F0F25F" w14:textId="77777777" w:rsidR="00BB49C1" w:rsidRDefault="00000000">
      <w:pPr>
        <w:spacing w:before="30" w:after="30"/>
        <w:ind w:left="400"/>
      </w:pPr>
      <w:r>
        <w:rPr>
          <w:color w:val="1A1A1A"/>
          <w:sz w:val="22"/>
          <w:szCs w:val="22"/>
        </w:rPr>
        <w:t>• South region dipped in 2016 before recovering, suggesting external sensitivity</w:t>
      </w:r>
    </w:p>
    <w:p w14:paraId="6E8EE5AC" w14:textId="77777777" w:rsidR="00BB49C1" w:rsidRDefault="00000000">
      <w:pPr>
        <w:spacing w:before="30" w:after="30"/>
        <w:ind w:left="400"/>
      </w:pPr>
      <w:r>
        <w:rPr>
          <w:color w:val="1A1A1A"/>
          <w:sz w:val="22"/>
          <w:szCs w:val="22"/>
        </w:rPr>
        <w:t>• Central region remained relatively flat with minimal growth</w:t>
      </w:r>
    </w:p>
    <w:p w14:paraId="7B0DFC67" w14:textId="77777777" w:rsidR="00BB49C1" w:rsidRDefault="00000000">
      <w:pPr>
        <w:spacing w:before="120" w:after="40"/>
      </w:pPr>
      <w:r>
        <w:rPr>
          <w:b/>
          <w:bCs/>
          <w:color w:val="2E86AB"/>
          <w:sz w:val="24"/>
          <w:szCs w:val="24"/>
        </w:rPr>
        <w:t>Operational Efficiency</w:t>
      </w:r>
    </w:p>
    <w:p w14:paraId="6299049C" w14:textId="77777777" w:rsidR="00BB49C1" w:rsidRDefault="00000000">
      <w:pPr>
        <w:spacing w:before="30" w:after="30"/>
        <w:ind w:left="400"/>
      </w:pPr>
      <w:r>
        <w:rPr>
          <w:color w:val="1A1A1A"/>
          <w:sz w:val="22"/>
          <w:szCs w:val="22"/>
        </w:rPr>
        <w:t>• Average ship lag is 4 days across all regions — consistent and well-managed</w:t>
      </w:r>
    </w:p>
    <w:p w14:paraId="2352C4FE" w14:textId="77777777" w:rsidR="00BB49C1" w:rsidRDefault="00000000">
      <w:pPr>
        <w:spacing w:before="30" w:after="30"/>
        <w:ind w:left="400"/>
      </w:pPr>
      <w:r>
        <w:rPr>
          <w:color w:val="1A1A1A"/>
          <w:sz w:val="22"/>
          <w:szCs w:val="22"/>
        </w:rPr>
        <w:t>• No regional bias in delivery times — logistics operations are equitable</w:t>
      </w:r>
    </w:p>
    <w:p w14:paraId="395C0277" w14:textId="77777777" w:rsidR="00BB49C1" w:rsidRDefault="00000000">
      <w:pPr>
        <w:spacing w:before="120" w:after="40"/>
      </w:pPr>
      <w:r>
        <w:rPr>
          <w:b/>
          <w:bCs/>
          <w:color w:val="2E86AB"/>
          <w:sz w:val="24"/>
          <w:szCs w:val="24"/>
        </w:rPr>
        <w:t>Seasonality Patterns</w:t>
      </w:r>
    </w:p>
    <w:p w14:paraId="19D75FEE" w14:textId="77777777" w:rsidR="00BB49C1" w:rsidRDefault="00000000">
      <w:pPr>
        <w:spacing w:before="30" w:after="30"/>
        <w:ind w:left="400"/>
      </w:pPr>
      <w:r>
        <w:rPr>
          <w:color w:val="1A1A1A"/>
          <w:sz w:val="22"/>
          <w:szCs w:val="22"/>
        </w:rPr>
        <w:t>• March consistently shows above-average sales across all years</w:t>
      </w:r>
    </w:p>
    <w:p w14:paraId="7687F8FC" w14:textId="77777777" w:rsidR="00BB49C1" w:rsidRDefault="00000000">
      <w:pPr>
        <w:spacing w:before="30" w:after="30"/>
        <w:ind w:left="400"/>
      </w:pPr>
      <w:r>
        <w:rPr>
          <w:color w:val="1A1A1A"/>
          <w:sz w:val="22"/>
          <w:szCs w:val="22"/>
        </w:rPr>
        <w:t>• November–December drive strong Q4 performance (Black Friday effect)</w:t>
      </w:r>
    </w:p>
    <w:p w14:paraId="5967DF58" w14:textId="77777777" w:rsidR="00BB49C1" w:rsidRDefault="00000000">
      <w:pPr>
        <w:spacing w:before="30" w:after="30"/>
        <w:ind w:left="400"/>
      </w:pPr>
      <w:r>
        <w:rPr>
          <w:color w:val="1A1A1A"/>
          <w:sz w:val="22"/>
          <w:szCs w:val="22"/>
        </w:rPr>
        <w:t>• February is consistently the weakest month of the year</w:t>
      </w:r>
    </w:p>
    <w:p w14:paraId="00F0204B" w14:textId="77777777" w:rsidR="00BB49C1" w:rsidRDefault="00000000">
      <w:pPr>
        <w:pStyle w:val="Heading1"/>
        <w:pBdr>
          <w:bottom w:val="single" w:sz="6" w:space="0" w:color="2E86AB"/>
        </w:pBdr>
        <w:spacing w:before="160" w:after="60"/>
        <w:rPr>
          <w:b/>
          <w:bCs/>
          <w:color w:val="1F4E79"/>
          <w:sz w:val="28"/>
          <w:szCs w:val="28"/>
        </w:rPr>
      </w:pPr>
      <w:r>
        <w:t>3. Three-Month Sales Forecast (Jan–Mar 2019)</w:t>
      </w:r>
    </w:p>
    <w:p w14:paraId="17139140" w14:textId="77777777" w:rsidR="00BB49C1" w:rsidRDefault="00000000">
      <w:pPr>
        <w:spacing w:before="30" w:after="30"/>
        <w:jc w:val="both"/>
      </w:pPr>
      <w:r>
        <w:rPr>
          <w:color w:val="1A1A1A"/>
          <w:sz w:val="22"/>
          <w:szCs w:val="22"/>
        </w:rPr>
        <w:t xml:space="preserve">Four forecasting models were evaluated — SARIMA, Facebook Prophet, </w:t>
      </w:r>
      <w:proofErr w:type="spellStart"/>
      <w:r>
        <w:rPr>
          <w:color w:val="1A1A1A"/>
          <w:sz w:val="22"/>
          <w:szCs w:val="22"/>
        </w:rPr>
        <w:t>XGBoost</w:t>
      </w:r>
      <w:proofErr w:type="spellEnd"/>
      <w:r>
        <w:rPr>
          <w:color w:val="1A1A1A"/>
          <w:sz w:val="22"/>
          <w:szCs w:val="22"/>
        </w:rPr>
        <w:t>, and LSTM (deep learning). Prophet was selected as the production model based on lowest error across all metrics:</w:t>
      </w:r>
    </w:p>
    <w:p w14:paraId="64B7F9F9" w14:textId="77777777" w:rsidR="00BB49C1" w:rsidRDefault="00BB49C1">
      <w:pPr>
        <w:spacing w:before="8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B49C1" w14:paraId="0584F29F" w14:textId="77777777">
        <w:tblPrEx>
          <w:tblCellMar>
            <w:top w:w="0" w:type="dxa"/>
            <w:bottom w:w="0" w:type="dxa"/>
          </w:tblCellMar>
        </w:tblPrEx>
        <w:tc>
          <w:tcPr>
            <w:tcW w:w="1700" w:type="dxa"/>
            <w:shd w:val="clear" w:color="auto" w:fill="1F4E79"/>
            <w:tcMar>
              <w:top w:w="60" w:type="dxa"/>
              <w:left w:w="80" w:type="dxa"/>
              <w:bottom w:w="60" w:type="dxa"/>
              <w:right w:w="80" w:type="dxa"/>
            </w:tcMar>
          </w:tcPr>
          <w:p w14:paraId="00FDB3DE" w14:textId="77777777" w:rsidR="00BB49C1" w:rsidRDefault="00000000">
            <w:pPr>
              <w:spacing w:before="30" w:after="30"/>
              <w:jc w:val="center"/>
            </w:pPr>
            <w:r>
              <w:rPr>
                <w:b/>
                <w:bCs/>
                <w:color w:val="FFFFFF"/>
              </w:rPr>
              <w:t>Model</w:t>
            </w:r>
          </w:p>
        </w:tc>
        <w:tc>
          <w:tcPr>
            <w:tcW w:w="1700" w:type="dxa"/>
            <w:shd w:val="clear" w:color="auto" w:fill="1F4E79"/>
            <w:tcMar>
              <w:top w:w="60" w:type="dxa"/>
              <w:left w:w="80" w:type="dxa"/>
              <w:bottom w:w="60" w:type="dxa"/>
              <w:right w:w="80" w:type="dxa"/>
            </w:tcMar>
          </w:tcPr>
          <w:p w14:paraId="1FEA04BF" w14:textId="77777777" w:rsidR="00BB49C1" w:rsidRDefault="00000000">
            <w:pPr>
              <w:spacing w:before="30" w:after="30"/>
              <w:jc w:val="center"/>
            </w:pPr>
            <w:r>
              <w:rPr>
                <w:b/>
                <w:bCs/>
                <w:color w:val="FFFFFF"/>
              </w:rPr>
              <w:t>MAE</w:t>
            </w:r>
          </w:p>
        </w:tc>
        <w:tc>
          <w:tcPr>
            <w:tcW w:w="1700" w:type="dxa"/>
            <w:shd w:val="clear" w:color="auto" w:fill="1F4E79"/>
            <w:tcMar>
              <w:top w:w="60" w:type="dxa"/>
              <w:left w:w="80" w:type="dxa"/>
              <w:bottom w:w="60" w:type="dxa"/>
              <w:right w:w="80" w:type="dxa"/>
            </w:tcMar>
          </w:tcPr>
          <w:p w14:paraId="6FC4D699" w14:textId="77777777" w:rsidR="00BB49C1" w:rsidRDefault="00000000">
            <w:pPr>
              <w:spacing w:before="30" w:after="30"/>
              <w:jc w:val="center"/>
            </w:pPr>
            <w:r>
              <w:rPr>
                <w:b/>
                <w:bCs/>
                <w:color w:val="FFFFFF"/>
              </w:rPr>
              <w:t>RMSE</w:t>
            </w:r>
          </w:p>
        </w:tc>
        <w:tc>
          <w:tcPr>
            <w:tcW w:w="1700" w:type="dxa"/>
            <w:shd w:val="clear" w:color="auto" w:fill="1F4E79"/>
            <w:tcMar>
              <w:top w:w="60" w:type="dxa"/>
              <w:left w:w="80" w:type="dxa"/>
              <w:bottom w:w="60" w:type="dxa"/>
              <w:right w:w="80" w:type="dxa"/>
            </w:tcMar>
          </w:tcPr>
          <w:p w14:paraId="6D698E4C" w14:textId="77777777" w:rsidR="00BB49C1" w:rsidRDefault="00000000">
            <w:pPr>
              <w:spacing w:before="30" w:after="30"/>
              <w:jc w:val="center"/>
            </w:pPr>
            <w:r>
              <w:rPr>
                <w:b/>
                <w:bCs/>
                <w:color w:val="FFFFFF"/>
              </w:rPr>
              <w:t>MAPE</w:t>
            </w:r>
          </w:p>
        </w:tc>
      </w:tr>
      <w:tr w:rsidR="00BB49C1" w14:paraId="1C969ACA"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585C7EB9" w14:textId="77777777" w:rsidR="00BB49C1" w:rsidRDefault="00000000">
            <w:pPr>
              <w:spacing w:before="30" w:after="30"/>
              <w:jc w:val="center"/>
            </w:pPr>
            <w:r>
              <w:rPr>
                <w:color w:val="1A1A1A"/>
                <w:sz w:val="19"/>
                <w:szCs w:val="19"/>
              </w:rPr>
              <w:t>Prophet</w:t>
            </w:r>
          </w:p>
        </w:tc>
        <w:tc>
          <w:tcPr>
            <w:tcW w:w="1700" w:type="dxa"/>
            <w:shd w:val="clear" w:color="auto" w:fill="EBF5FB"/>
            <w:tcMar>
              <w:top w:w="60" w:type="dxa"/>
              <w:left w:w="80" w:type="dxa"/>
              <w:bottom w:w="60" w:type="dxa"/>
              <w:right w:w="80" w:type="dxa"/>
            </w:tcMar>
          </w:tcPr>
          <w:p w14:paraId="6F766B8D" w14:textId="77777777" w:rsidR="00BB49C1" w:rsidRDefault="00000000">
            <w:pPr>
              <w:spacing w:before="30" w:after="30"/>
              <w:jc w:val="center"/>
            </w:pPr>
            <w:r>
              <w:rPr>
                <w:color w:val="1A1A1A"/>
                <w:sz w:val="19"/>
                <w:szCs w:val="19"/>
              </w:rPr>
              <w:t>$13,440</w:t>
            </w:r>
          </w:p>
        </w:tc>
        <w:tc>
          <w:tcPr>
            <w:tcW w:w="1700" w:type="dxa"/>
            <w:shd w:val="clear" w:color="auto" w:fill="EBF5FB"/>
            <w:tcMar>
              <w:top w:w="60" w:type="dxa"/>
              <w:left w:w="80" w:type="dxa"/>
              <w:bottom w:w="60" w:type="dxa"/>
              <w:right w:w="80" w:type="dxa"/>
            </w:tcMar>
          </w:tcPr>
          <w:p w14:paraId="2D08F317" w14:textId="77777777" w:rsidR="00BB49C1" w:rsidRDefault="00000000">
            <w:pPr>
              <w:spacing w:before="30" w:after="30"/>
              <w:jc w:val="center"/>
            </w:pPr>
            <w:r>
              <w:rPr>
                <w:color w:val="1A1A1A"/>
                <w:sz w:val="19"/>
                <w:szCs w:val="19"/>
              </w:rPr>
              <w:t>$14,131</w:t>
            </w:r>
          </w:p>
        </w:tc>
        <w:tc>
          <w:tcPr>
            <w:tcW w:w="1700" w:type="dxa"/>
            <w:shd w:val="clear" w:color="auto" w:fill="EBF5FB"/>
            <w:tcMar>
              <w:top w:w="60" w:type="dxa"/>
              <w:left w:w="80" w:type="dxa"/>
              <w:bottom w:w="60" w:type="dxa"/>
              <w:right w:w="80" w:type="dxa"/>
            </w:tcMar>
          </w:tcPr>
          <w:p w14:paraId="4B627E5D" w14:textId="77777777" w:rsidR="00BB49C1" w:rsidRDefault="00000000">
            <w:pPr>
              <w:spacing w:before="30" w:after="30"/>
              <w:jc w:val="center"/>
            </w:pPr>
            <w:r>
              <w:rPr>
                <w:color w:val="1A1A1A"/>
                <w:sz w:val="19"/>
                <w:szCs w:val="19"/>
              </w:rPr>
              <w:t>14.63%</w:t>
            </w:r>
          </w:p>
        </w:tc>
      </w:tr>
      <w:tr w:rsidR="00BB49C1" w14:paraId="487D5D30" w14:textId="77777777">
        <w:tblPrEx>
          <w:tblCellMar>
            <w:top w:w="0" w:type="dxa"/>
            <w:bottom w:w="0" w:type="dxa"/>
          </w:tblCellMar>
        </w:tblPrEx>
        <w:tc>
          <w:tcPr>
            <w:tcW w:w="1700" w:type="dxa"/>
            <w:shd w:val="clear" w:color="auto" w:fill="FFFFFF"/>
            <w:tcMar>
              <w:top w:w="60" w:type="dxa"/>
              <w:left w:w="80" w:type="dxa"/>
              <w:bottom w:w="60" w:type="dxa"/>
              <w:right w:w="80" w:type="dxa"/>
            </w:tcMar>
          </w:tcPr>
          <w:p w14:paraId="58BD0B87" w14:textId="77777777" w:rsidR="00BB49C1" w:rsidRDefault="00000000">
            <w:pPr>
              <w:spacing w:before="30" w:after="30"/>
              <w:jc w:val="center"/>
            </w:pPr>
            <w:proofErr w:type="spellStart"/>
            <w:r>
              <w:rPr>
                <w:color w:val="1A1A1A"/>
                <w:sz w:val="19"/>
                <w:szCs w:val="19"/>
              </w:rPr>
              <w:t>XGBoost</w:t>
            </w:r>
            <w:proofErr w:type="spellEnd"/>
          </w:p>
        </w:tc>
        <w:tc>
          <w:tcPr>
            <w:tcW w:w="1700" w:type="dxa"/>
            <w:shd w:val="clear" w:color="auto" w:fill="FFFFFF"/>
            <w:tcMar>
              <w:top w:w="60" w:type="dxa"/>
              <w:left w:w="80" w:type="dxa"/>
              <w:bottom w:w="60" w:type="dxa"/>
              <w:right w:w="80" w:type="dxa"/>
            </w:tcMar>
          </w:tcPr>
          <w:p w14:paraId="67701335" w14:textId="77777777" w:rsidR="00BB49C1" w:rsidRDefault="00000000">
            <w:pPr>
              <w:spacing w:before="30" w:after="30"/>
              <w:jc w:val="center"/>
            </w:pPr>
            <w:r>
              <w:rPr>
                <w:color w:val="1A1A1A"/>
                <w:sz w:val="19"/>
                <w:szCs w:val="19"/>
              </w:rPr>
              <w:t>$27,362</w:t>
            </w:r>
          </w:p>
        </w:tc>
        <w:tc>
          <w:tcPr>
            <w:tcW w:w="1700" w:type="dxa"/>
            <w:shd w:val="clear" w:color="auto" w:fill="FFFFFF"/>
            <w:tcMar>
              <w:top w:w="60" w:type="dxa"/>
              <w:left w:w="80" w:type="dxa"/>
              <w:bottom w:w="60" w:type="dxa"/>
              <w:right w:w="80" w:type="dxa"/>
            </w:tcMar>
          </w:tcPr>
          <w:p w14:paraId="519DB7F0" w14:textId="77777777" w:rsidR="00BB49C1" w:rsidRDefault="00000000">
            <w:pPr>
              <w:spacing w:before="30" w:after="30"/>
              <w:jc w:val="center"/>
            </w:pPr>
            <w:r>
              <w:rPr>
                <w:color w:val="1A1A1A"/>
                <w:sz w:val="19"/>
                <w:szCs w:val="19"/>
              </w:rPr>
              <w:t>$27,418</w:t>
            </w:r>
          </w:p>
        </w:tc>
        <w:tc>
          <w:tcPr>
            <w:tcW w:w="1700" w:type="dxa"/>
            <w:shd w:val="clear" w:color="auto" w:fill="FFFFFF"/>
            <w:tcMar>
              <w:top w:w="60" w:type="dxa"/>
              <w:left w:w="80" w:type="dxa"/>
              <w:bottom w:w="60" w:type="dxa"/>
              <w:right w:w="80" w:type="dxa"/>
            </w:tcMar>
          </w:tcPr>
          <w:p w14:paraId="2AA64A4E" w14:textId="77777777" w:rsidR="00BB49C1" w:rsidRDefault="00000000">
            <w:pPr>
              <w:spacing w:before="30" w:after="30"/>
              <w:jc w:val="center"/>
            </w:pPr>
            <w:r>
              <w:rPr>
                <w:color w:val="1A1A1A"/>
                <w:sz w:val="19"/>
                <w:szCs w:val="19"/>
              </w:rPr>
              <w:t>30.63%</w:t>
            </w:r>
          </w:p>
        </w:tc>
      </w:tr>
      <w:tr w:rsidR="00BB49C1" w14:paraId="789BE173" w14:textId="77777777">
        <w:tblPrEx>
          <w:tblCellMar>
            <w:top w:w="0" w:type="dxa"/>
            <w:bottom w:w="0" w:type="dxa"/>
          </w:tblCellMar>
        </w:tblPrEx>
        <w:tc>
          <w:tcPr>
            <w:tcW w:w="1700" w:type="dxa"/>
            <w:shd w:val="clear" w:color="auto" w:fill="FFFFFF"/>
            <w:tcMar>
              <w:top w:w="60" w:type="dxa"/>
              <w:left w:w="80" w:type="dxa"/>
              <w:bottom w:w="60" w:type="dxa"/>
              <w:right w:w="80" w:type="dxa"/>
            </w:tcMar>
          </w:tcPr>
          <w:p w14:paraId="0C6CE5E3" w14:textId="77777777" w:rsidR="00BB49C1" w:rsidRDefault="00000000">
            <w:pPr>
              <w:spacing w:before="30" w:after="30"/>
              <w:jc w:val="center"/>
            </w:pPr>
            <w:r>
              <w:rPr>
                <w:color w:val="1A1A1A"/>
                <w:sz w:val="19"/>
                <w:szCs w:val="19"/>
              </w:rPr>
              <w:t>SARIMA</w:t>
            </w:r>
          </w:p>
        </w:tc>
        <w:tc>
          <w:tcPr>
            <w:tcW w:w="1700" w:type="dxa"/>
            <w:shd w:val="clear" w:color="auto" w:fill="FFFFFF"/>
            <w:tcMar>
              <w:top w:w="60" w:type="dxa"/>
              <w:left w:w="80" w:type="dxa"/>
              <w:bottom w:w="60" w:type="dxa"/>
              <w:right w:w="80" w:type="dxa"/>
            </w:tcMar>
          </w:tcPr>
          <w:p w14:paraId="48BBFB13" w14:textId="77777777" w:rsidR="00BB49C1" w:rsidRDefault="00000000">
            <w:pPr>
              <w:spacing w:before="30" w:after="30"/>
              <w:jc w:val="center"/>
            </w:pPr>
            <w:r>
              <w:rPr>
                <w:color w:val="1A1A1A"/>
                <w:sz w:val="19"/>
                <w:szCs w:val="19"/>
              </w:rPr>
              <w:t>$42,461</w:t>
            </w:r>
          </w:p>
        </w:tc>
        <w:tc>
          <w:tcPr>
            <w:tcW w:w="1700" w:type="dxa"/>
            <w:shd w:val="clear" w:color="auto" w:fill="FFFFFF"/>
            <w:tcMar>
              <w:top w:w="60" w:type="dxa"/>
              <w:left w:w="80" w:type="dxa"/>
              <w:bottom w:w="60" w:type="dxa"/>
              <w:right w:w="80" w:type="dxa"/>
            </w:tcMar>
          </w:tcPr>
          <w:p w14:paraId="6E9BD7EC" w14:textId="77777777" w:rsidR="00BB49C1" w:rsidRDefault="00000000">
            <w:pPr>
              <w:spacing w:before="30" w:after="30"/>
              <w:jc w:val="center"/>
            </w:pPr>
            <w:r>
              <w:rPr>
                <w:color w:val="1A1A1A"/>
                <w:sz w:val="19"/>
                <w:szCs w:val="19"/>
              </w:rPr>
              <w:t>$51,905</w:t>
            </w:r>
          </w:p>
        </w:tc>
        <w:tc>
          <w:tcPr>
            <w:tcW w:w="1700" w:type="dxa"/>
            <w:shd w:val="clear" w:color="auto" w:fill="FFFFFF"/>
            <w:tcMar>
              <w:top w:w="60" w:type="dxa"/>
              <w:left w:w="80" w:type="dxa"/>
              <w:bottom w:w="60" w:type="dxa"/>
              <w:right w:w="80" w:type="dxa"/>
            </w:tcMar>
          </w:tcPr>
          <w:p w14:paraId="6BB778A2" w14:textId="77777777" w:rsidR="00BB49C1" w:rsidRDefault="00000000">
            <w:pPr>
              <w:spacing w:before="30" w:after="30"/>
              <w:jc w:val="center"/>
            </w:pPr>
            <w:r>
              <w:rPr>
                <w:color w:val="1A1A1A"/>
                <w:sz w:val="19"/>
                <w:szCs w:val="19"/>
              </w:rPr>
              <w:t>42.04%</w:t>
            </w:r>
          </w:p>
        </w:tc>
      </w:tr>
      <w:tr w:rsidR="00BB49C1" w14:paraId="3DB1418B" w14:textId="77777777">
        <w:tblPrEx>
          <w:tblCellMar>
            <w:top w:w="0" w:type="dxa"/>
            <w:bottom w:w="0" w:type="dxa"/>
          </w:tblCellMar>
        </w:tblPrEx>
        <w:tc>
          <w:tcPr>
            <w:tcW w:w="1700" w:type="dxa"/>
            <w:shd w:val="clear" w:color="auto" w:fill="FFFFFF"/>
            <w:tcMar>
              <w:top w:w="60" w:type="dxa"/>
              <w:left w:w="80" w:type="dxa"/>
              <w:bottom w:w="60" w:type="dxa"/>
              <w:right w:w="80" w:type="dxa"/>
            </w:tcMar>
          </w:tcPr>
          <w:p w14:paraId="0F24E9B3" w14:textId="77777777" w:rsidR="00BB49C1" w:rsidRDefault="00000000">
            <w:pPr>
              <w:spacing w:before="30" w:after="30"/>
              <w:jc w:val="center"/>
            </w:pPr>
            <w:r>
              <w:rPr>
                <w:color w:val="1A1A1A"/>
                <w:sz w:val="19"/>
                <w:szCs w:val="19"/>
              </w:rPr>
              <w:lastRenderedPageBreak/>
              <w:t>LSTM</w:t>
            </w:r>
          </w:p>
        </w:tc>
        <w:tc>
          <w:tcPr>
            <w:tcW w:w="1700" w:type="dxa"/>
            <w:shd w:val="clear" w:color="auto" w:fill="FFFFFF"/>
            <w:tcMar>
              <w:top w:w="60" w:type="dxa"/>
              <w:left w:w="80" w:type="dxa"/>
              <w:bottom w:w="60" w:type="dxa"/>
              <w:right w:w="80" w:type="dxa"/>
            </w:tcMar>
          </w:tcPr>
          <w:p w14:paraId="16262151" w14:textId="77777777" w:rsidR="00BB49C1" w:rsidRDefault="00000000">
            <w:pPr>
              <w:spacing w:before="30" w:after="30"/>
              <w:jc w:val="center"/>
            </w:pPr>
            <w:r>
              <w:rPr>
                <w:color w:val="1A1A1A"/>
                <w:sz w:val="19"/>
                <w:szCs w:val="19"/>
              </w:rPr>
              <w:t>$43,120</w:t>
            </w:r>
          </w:p>
        </w:tc>
        <w:tc>
          <w:tcPr>
            <w:tcW w:w="1700" w:type="dxa"/>
            <w:shd w:val="clear" w:color="auto" w:fill="FFFFFF"/>
            <w:tcMar>
              <w:top w:w="60" w:type="dxa"/>
              <w:left w:w="80" w:type="dxa"/>
              <w:bottom w:w="60" w:type="dxa"/>
              <w:right w:w="80" w:type="dxa"/>
            </w:tcMar>
          </w:tcPr>
          <w:p w14:paraId="4FD8D71F" w14:textId="77777777" w:rsidR="00BB49C1" w:rsidRDefault="00000000">
            <w:pPr>
              <w:spacing w:before="30" w:after="30"/>
              <w:jc w:val="center"/>
            </w:pPr>
            <w:r>
              <w:rPr>
                <w:color w:val="1A1A1A"/>
                <w:sz w:val="19"/>
                <w:szCs w:val="19"/>
              </w:rPr>
              <w:t>$46,924</w:t>
            </w:r>
          </w:p>
        </w:tc>
        <w:tc>
          <w:tcPr>
            <w:tcW w:w="1700" w:type="dxa"/>
            <w:shd w:val="clear" w:color="auto" w:fill="FFFFFF"/>
            <w:tcMar>
              <w:top w:w="60" w:type="dxa"/>
              <w:left w:w="80" w:type="dxa"/>
              <w:bottom w:w="60" w:type="dxa"/>
              <w:right w:w="80" w:type="dxa"/>
            </w:tcMar>
          </w:tcPr>
          <w:p w14:paraId="4CC1B107" w14:textId="77777777" w:rsidR="00BB49C1" w:rsidRDefault="00000000">
            <w:pPr>
              <w:spacing w:before="30" w:after="30"/>
              <w:jc w:val="center"/>
            </w:pPr>
            <w:r>
              <w:rPr>
                <w:color w:val="1A1A1A"/>
                <w:sz w:val="19"/>
                <w:szCs w:val="19"/>
              </w:rPr>
              <w:t>44.53%</w:t>
            </w:r>
          </w:p>
        </w:tc>
      </w:tr>
    </w:tbl>
    <w:p w14:paraId="542C4FD4" w14:textId="77777777" w:rsidR="00BB49C1" w:rsidRDefault="00BB49C1">
      <w:pPr>
        <w:spacing w:before="80"/>
      </w:pPr>
    </w:p>
    <w:p w14:paraId="42FF6C28" w14:textId="77777777" w:rsidR="00BB49C1" w:rsidRDefault="00000000">
      <w:pPr>
        <w:spacing w:before="30" w:after="30"/>
        <w:jc w:val="both"/>
      </w:pPr>
      <w:r>
        <w:rPr>
          <w:color w:val="1A1A1A"/>
          <w:sz w:val="22"/>
          <w:szCs w:val="22"/>
        </w:rPr>
        <w:t>Prophet outperformed all models with 14.63% MAPE — meaning forecasts are accurate within roughly $1 in every $7 of predicted sales.</w:t>
      </w:r>
    </w:p>
    <w:p w14:paraId="5BE502D6" w14:textId="77777777" w:rsidR="00BB49C1" w:rsidRDefault="00000000">
      <w:pPr>
        <w:spacing w:before="120" w:after="40"/>
      </w:pPr>
      <w:r>
        <w:rPr>
          <w:b/>
          <w:bCs/>
          <w:color w:val="2E86AB"/>
          <w:sz w:val="24"/>
          <w:szCs w:val="24"/>
        </w:rPr>
        <w:t>Forecast Values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00"/>
        <w:gridCol w:w="2300"/>
      </w:tblGrid>
      <w:tr w:rsidR="00BB49C1" w14:paraId="63C4D6BC" w14:textId="77777777">
        <w:tblPrEx>
          <w:tblCellMar>
            <w:top w:w="0" w:type="dxa"/>
            <w:bottom w:w="0" w:type="dxa"/>
          </w:tblCellMar>
        </w:tblPrEx>
        <w:tc>
          <w:tcPr>
            <w:tcW w:w="1700" w:type="dxa"/>
            <w:shd w:val="clear" w:color="auto" w:fill="1F4E79"/>
            <w:tcMar>
              <w:top w:w="60" w:type="dxa"/>
              <w:left w:w="80" w:type="dxa"/>
              <w:bottom w:w="60" w:type="dxa"/>
              <w:right w:w="80" w:type="dxa"/>
            </w:tcMar>
          </w:tcPr>
          <w:p w14:paraId="7BAAB071" w14:textId="77777777" w:rsidR="00BB49C1" w:rsidRDefault="00000000">
            <w:pPr>
              <w:spacing w:before="30" w:after="30"/>
              <w:jc w:val="center"/>
            </w:pPr>
            <w:r>
              <w:rPr>
                <w:b/>
                <w:bCs/>
                <w:color w:val="FFFFFF"/>
              </w:rPr>
              <w:t>Month</w:t>
            </w:r>
          </w:p>
        </w:tc>
        <w:tc>
          <w:tcPr>
            <w:tcW w:w="1700" w:type="dxa"/>
            <w:shd w:val="clear" w:color="auto" w:fill="1F4E79"/>
            <w:tcMar>
              <w:top w:w="60" w:type="dxa"/>
              <w:left w:w="80" w:type="dxa"/>
              <w:bottom w:w="60" w:type="dxa"/>
              <w:right w:w="80" w:type="dxa"/>
            </w:tcMar>
          </w:tcPr>
          <w:p w14:paraId="5E3FE40C" w14:textId="77777777" w:rsidR="00BB49C1" w:rsidRDefault="00000000">
            <w:pPr>
              <w:spacing w:before="30" w:after="30"/>
              <w:jc w:val="center"/>
            </w:pPr>
            <w:r>
              <w:rPr>
                <w:b/>
                <w:bCs/>
                <w:color w:val="FFFFFF"/>
              </w:rPr>
              <w:t>Forecast</w:t>
            </w:r>
          </w:p>
        </w:tc>
        <w:tc>
          <w:tcPr>
            <w:tcW w:w="1700" w:type="dxa"/>
            <w:shd w:val="clear" w:color="auto" w:fill="1F4E79"/>
            <w:tcMar>
              <w:top w:w="60" w:type="dxa"/>
              <w:left w:w="80" w:type="dxa"/>
              <w:bottom w:w="60" w:type="dxa"/>
              <w:right w:w="80" w:type="dxa"/>
            </w:tcMar>
          </w:tcPr>
          <w:p w14:paraId="541C8A15" w14:textId="77777777" w:rsidR="00BB49C1" w:rsidRDefault="00000000">
            <w:pPr>
              <w:spacing w:before="30" w:after="30"/>
              <w:jc w:val="center"/>
            </w:pPr>
            <w:r>
              <w:rPr>
                <w:b/>
                <w:bCs/>
                <w:color w:val="FFFFFF"/>
              </w:rPr>
              <w:t>Lower Bound</w:t>
            </w:r>
          </w:p>
        </w:tc>
        <w:tc>
          <w:tcPr>
            <w:tcW w:w="1700" w:type="dxa"/>
            <w:shd w:val="clear" w:color="auto" w:fill="1F4E79"/>
            <w:tcMar>
              <w:top w:w="60" w:type="dxa"/>
              <w:left w:w="80" w:type="dxa"/>
              <w:bottom w:w="60" w:type="dxa"/>
              <w:right w:w="80" w:type="dxa"/>
            </w:tcMar>
          </w:tcPr>
          <w:p w14:paraId="65EA2CC8" w14:textId="77777777" w:rsidR="00BB49C1" w:rsidRDefault="00000000">
            <w:pPr>
              <w:spacing w:before="30" w:after="30"/>
              <w:jc w:val="center"/>
            </w:pPr>
            <w:r>
              <w:rPr>
                <w:b/>
                <w:bCs/>
                <w:color w:val="FFFFFF"/>
              </w:rPr>
              <w:t>Upper Bound</w:t>
            </w:r>
          </w:p>
        </w:tc>
      </w:tr>
      <w:tr w:rsidR="00BB49C1" w14:paraId="77772449"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116EE196" w14:textId="77777777" w:rsidR="00BB49C1" w:rsidRDefault="00000000">
            <w:pPr>
              <w:spacing w:before="30" w:after="30"/>
              <w:jc w:val="center"/>
            </w:pPr>
            <w:r>
              <w:rPr>
                <w:color w:val="1A1A1A"/>
                <w:sz w:val="19"/>
                <w:szCs w:val="19"/>
              </w:rPr>
              <w:t>January 2019</w:t>
            </w:r>
          </w:p>
        </w:tc>
        <w:tc>
          <w:tcPr>
            <w:tcW w:w="1700" w:type="dxa"/>
            <w:shd w:val="clear" w:color="auto" w:fill="EBF5FB"/>
            <w:tcMar>
              <w:top w:w="60" w:type="dxa"/>
              <w:left w:w="80" w:type="dxa"/>
              <w:bottom w:w="60" w:type="dxa"/>
              <w:right w:w="80" w:type="dxa"/>
            </w:tcMar>
          </w:tcPr>
          <w:p w14:paraId="65D0F18F" w14:textId="77777777" w:rsidR="00BB49C1" w:rsidRDefault="00000000">
            <w:pPr>
              <w:spacing w:before="30" w:after="30"/>
              <w:jc w:val="center"/>
            </w:pPr>
            <w:r>
              <w:rPr>
                <w:color w:val="1A1A1A"/>
                <w:sz w:val="19"/>
                <w:szCs w:val="19"/>
              </w:rPr>
              <w:t>$61,446</w:t>
            </w:r>
          </w:p>
        </w:tc>
        <w:tc>
          <w:tcPr>
            <w:tcW w:w="1700" w:type="dxa"/>
            <w:shd w:val="clear" w:color="auto" w:fill="EBF5FB"/>
            <w:tcMar>
              <w:top w:w="60" w:type="dxa"/>
              <w:left w:w="80" w:type="dxa"/>
              <w:bottom w:w="60" w:type="dxa"/>
              <w:right w:w="80" w:type="dxa"/>
            </w:tcMar>
          </w:tcPr>
          <w:p w14:paraId="1BCFF263" w14:textId="77777777" w:rsidR="00BB49C1" w:rsidRDefault="00000000">
            <w:pPr>
              <w:spacing w:before="30" w:after="30"/>
              <w:jc w:val="center"/>
            </w:pPr>
            <w:r>
              <w:rPr>
                <w:color w:val="1A1A1A"/>
                <w:sz w:val="19"/>
                <w:szCs w:val="19"/>
              </w:rPr>
              <w:t>~$45,000</w:t>
            </w:r>
          </w:p>
        </w:tc>
        <w:tc>
          <w:tcPr>
            <w:tcW w:w="1700" w:type="dxa"/>
            <w:shd w:val="clear" w:color="auto" w:fill="EBF5FB"/>
            <w:tcMar>
              <w:top w:w="60" w:type="dxa"/>
              <w:left w:w="80" w:type="dxa"/>
              <w:bottom w:w="60" w:type="dxa"/>
              <w:right w:w="80" w:type="dxa"/>
            </w:tcMar>
          </w:tcPr>
          <w:p w14:paraId="139287F9" w14:textId="77777777" w:rsidR="00BB49C1" w:rsidRDefault="00000000">
            <w:pPr>
              <w:spacing w:before="30" w:after="30"/>
              <w:jc w:val="center"/>
            </w:pPr>
            <w:r>
              <w:rPr>
                <w:color w:val="1A1A1A"/>
                <w:sz w:val="19"/>
                <w:szCs w:val="19"/>
              </w:rPr>
              <w:t>~$78,000</w:t>
            </w:r>
          </w:p>
        </w:tc>
      </w:tr>
      <w:tr w:rsidR="00BB49C1" w14:paraId="582318CE" w14:textId="77777777">
        <w:tblPrEx>
          <w:tblCellMar>
            <w:top w:w="0" w:type="dxa"/>
            <w:bottom w:w="0" w:type="dxa"/>
          </w:tblCellMar>
        </w:tblPrEx>
        <w:tc>
          <w:tcPr>
            <w:tcW w:w="1700" w:type="dxa"/>
            <w:shd w:val="clear" w:color="auto" w:fill="FFFFFF"/>
            <w:tcMar>
              <w:top w:w="60" w:type="dxa"/>
              <w:left w:w="80" w:type="dxa"/>
              <w:bottom w:w="60" w:type="dxa"/>
              <w:right w:w="80" w:type="dxa"/>
            </w:tcMar>
          </w:tcPr>
          <w:p w14:paraId="30B7F3A4" w14:textId="77777777" w:rsidR="00BB49C1" w:rsidRDefault="00000000">
            <w:pPr>
              <w:spacing w:before="30" w:after="30"/>
              <w:jc w:val="center"/>
            </w:pPr>
            <w:r>
              <w:rPr>
                <w:color w:val="1A1A1A"/>
                <w:sz w:val="19"/>
                <w:szCs w:val="19"/>
              </w:rPr>
              <w:t>February 2019</w:t>
            </w:r>
          </w:p>
        </w:tc>
        <w:tc>
          <w:tcPr>
            <w:tcW w:w="1700" w:type="dxa"/>
            <w:shd w:val="clear" w:color="auto" w:fill="FFFFFF"/>
            <w:tcMar>
              <w:top w:w="60" w:type="dxa"/>
              <w:left w:w="80" w:type="dxa"/>
              <w:bottom w:w="60" w:type="dxa"/>
              <w:right w:w="80" w:type="dxa"/>
            </w:tcMar>
          </w:tcPr>
          <w:p w14:paraId="1C0A9C71" w14:textId="77777777" w:rsidR="00BB49C1" w:rsidRDefault="00000000">
            <w:pPr>
              <w:spacing w:before="30" w:after="30"/>
              <w:jc w:val="center"/>
            </w:pPr>
            <w:r>
              <w:rPr>
                <w:color w:val="1A1A1A"/>
                <w:sz w:val="19"/>
                <w:szCs w:val="19"/>
              </w:rPr>
              <w:t>$100,917</w:t>
            </w:r>
          </w:p>
        </w:tc>
        <w:tc>
          <w:tcPr>
            <w:tcW w:w="1700" w:type="dxa"/>
            <w:shd w:val="clear" w:color="auto" w:fill="FFFFFF"/>
            <w:tcMar>
              <w:top w:w="60" w:type="dxa"/>
              <w:left w:w="80" w:type="dxa"/>
              <w:bottom w:w="60" w:type="dxa"/>
              <w:right w:w="80" w:type="dxa"/>
            </w:tcMar>
          </w:tcPr>
          <w:p w14:paraId="5E2067ED" w14:textId="77777777" w:rsidR="00BB49C1" w:rsidRDefault="00000000">
            <w:pPr>
              <w:spacing w:before="30" w:after="30"/>
              <w:jc w:val="center"/>
            </w:pPr>
            <w:r>
              <w:rPr>
                <w:color w:val="1A1A1A"/>
                <w:sz w:val="19"/>
                <w:szCs w:val="19"/>
              </w:rPr>
              <w:t>~$75,000</w:t>
            </w:r>
          </w:p>
        </w:tc>
        <w:tc>
          <w:tcPr>
            <w:tcW w:w="1700" w:type="dxa"/>
            <w:shd w:val="clear" w:color="auto" w:fill="FFFFFF"/>
            <w:tcMar>
              <w:top w:w="60" w:type="dxa"/>
              <w:left w:w="80" w:type="dxa"/>
              <w:bottom w:w="60" w:type="dxa"/>
              <w:right w:w="80" w:type="dxa"/>
            </w:tcMar>
          </w:tcPr>
          <w:p w14:paraId="1C3FD6E0" w14:textId="77777777" w:rsidR="00BB49C1" w:rsidRDefault="00000000">
            <w:pPr>
              <w:spacing w:before="30" w:after="30"/>
              <w:jc w:val="center"/>
            </w:pPr>
            <w:r>
              <w:rPr>
                <w:color w:val="1A1A1A"/>
                <w:sz w:val="19"/>
                <w:szCs w:val="19"/>
              </w:rPr>
              <w:t>~$127,000</w:t>
            </w:r>
          </w:p>
        </w:tc>
      </w:tr>
      <w:tr w:rsidR="00BB49C1" w14:paraId="53172448"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557B70F9" w14:textId="77777777" w:rsidR="00BB49C1" w:rsidRDefault="00000000">
            <w:pPr>
              <w:spacing w:before="30" w:after="30"/>
              <w:jc w:val="center"/>
            </w:pPr>
            <w:r>
              <w:rPr>
                <w:color w:val="1A1A1A"/>
                <w:sz w:val="19"/>
                <w:szCs w:val="19"/>
              </w:rPr>
              <w:t>March 2019</w:t>
            </w:r>
          </w:p>
        </w:tc>
        <w:tc>
          <w:tcPr>
            <w:tcW w:w="1700" w:type="dxa"/>
            <w:shd w:val="clear" w:color="auto" w:fill="EBF5FB"/>
            <w:tcMar>
              <w:top w:w="60" w:type="dxa"/>
              <w:left w:w="80" w:type="dxa"/>
              <w:bottom w:w="60" w:type="dxa"/>
              <w:right w:w="80" w:type="dxa"/>
            </w:tcMar>
          </w:tcPr>
          <w:p w14:paraId="7BA9EE00" w14:textId="77777777" w:rsidR="00BB49C1" w:rsidRDefault="00000000">
            <w:pPr>
              <w:spacing w:before="30" w:after="30"/>
              <w:jc w:val="center"/>
            </w:pPr>
            <w:r>
              <w:rPr>
                <w:color w:val="1A1A1A"/>
                <w:sz w:val="19"/>
                <w:szCs w:val="19"/>
              </w:rPr>
              <w:t>$90,328</w:t>
            </w:r>
          </w:p>
        </w:tc>
        <w:tc>
          <w:tcPr>
            <w:tcW w:w="1700" w:type="dxa"/>
            <w:shd w:val="clear" w:color="auto" w:fill="EBF5FB"/>
            <w:tcMar>
              <w:top w:w="60" w:type="dxa"/>
              <w:left w:w="80" w:type="dxa"/>
              <w:bottom w:w="60" w:type="dxa"/>
              <w:right w:w="80" w:type="dxa"/>
            </w:tcMar>
          </w:tcPr>
          <w:p w14:paraId="411C6545" w14:textId="77777777" w:rsidR="00BB49C1" w:rsidRDefault="00000000">
            <w:pPr>
              <w:spacing w:before="30" w:after="30"/>
              <w:jc w:val="center"/>
            </w:pPr>
            <w:r>
              <w:rPr>
                <w:color w:val="1A1A1A"/>
                <w:sz w:val="19"/>
                <w:szCs w:val="19"/>
              </w:rPr>
              <w:t>~$67,000</w:t>
            </w:r>
          </w:p>
        </w:tc>
        <w:tc>
          <w:tcPr>
            <w:tcW w:w="1700" w:type="dxa"/>
            <w:shd w:val="clear" w:color="auto" w:fill="EBF5FB"/>
            <w:tcMar>
              <w:top w:w="60" w:type="dxa"/>
              <w:left w:w="80" w:type="dxa"/>
              <w:bottom w:w="60" w:type="dxa"/>
              <w:right w:w="80" w:type="dxa"/>
            </w:tcMar>
          </w:tcPr>
          <w:p w14:paraId="7965D7DD" w14:textId="77777777" w:rsidR="00BB49C1" w:rsidRDefault="00000000">
            <w:pPr>
              <w:spacing w:before="30" w:after="30"/>
              <w:jc w:val="center"/>
            </w:pPr>
            <w:r>
              <w:rPr>
                <w:color w:val="1A1A1A"/>
                <w:sz w:val="19"/>
                <w:szCs w:val="19"/>
              </w:rPr>
              <w:t>~$114,000</w:t>
            </w:r>
          </w:p>
        </w:tc>
      </w:tr>
    </w:tbl>
    <w:p w14:paraId="39D7C6AF" w14:textId="77777777" w:rsidR="00BB49C1" w:rsidRDefault="00BB49C1">
      <w:pPr>
        <w:spacing w:before="80"/>
      </w:pPr>
    </w:p>
    <w:p w14:paraId="25EDE9F6" w14:textId="77777777" w:rsidR="00BB49C1" w:rsidRDefault="00000000">
      <w:pPr>
        <w:spacing w:before="30" w:after="30"/>
        <w:jc w:val="both"/>
      </w:pPr>
      <w:r>
        <w:rPr>
          <w:color w:val="1A1A1A"/>
          <w:sz w:val="22"/>
          <w:szCs w:val="22"/>
        </w:rPr>
        <w:t>Technology is forecast to see the sharpest jump — from $11,357 in February to $42,216 in March 2019 (272% increase), indicating a major spring demand surge. The West region is forecast at $26,433 in March, maintaining its position as the top-performing region.</w:t>
      </w:r>
    </w:p>
    <w:p w14:paraId="51DEC27D" w14:textId="77777777" w:rsidR="00224535" w:rsidRPr="00224535" w:rsidRDefault="00224535" w:rsidP="00224535">
      <w:pPr>
        <w:rPr>
          <w:bCs/>
          <w:color w:val="4472C4" w:themeColor="accent1"/>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0BD7353" w14:textId="60665BDB" w:rsidR="00BB49C1" w:rsidRPr="00224535" w:rsidRDefault="00000000" w:rsidP="00224535">
      <w:pPr>
        <w:rPr>
          <w:b/>
          <w:bCs/>
          <w:color w:val="2F5496" w:themeColor="accent1" w:themeShade="BF"/>
          <w:sz w:val="28"/>
          <w:szCs w:val="28"/>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24535">
        <w:rPr>
          <w:bCs/>
          <w:color w:val="2F5496" w:themeColor="accent1" w:themeShade="BF"/>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Top 3 Anomalies Detected</w:t>
      </w:r>
    </w:p>
    <w:p w14:paraId="1EFE0335" w14:textId="77777777" w:rsidR="00BB49C1" w:rsidRDefault="00000000">
      <w:pPr>
        <w:spacing w:before="30" w:after="30"/>
        <w:jc w:val="both"/>
      </w:pPr>
      <w:r>
        <w:rPr>
          <w:color w:val="1A1A1A"/>
          <w:sz w:val="22"/>
          <w:szCs w:val="22"/>
        </w:rPr>
        <w:t xml:space="preserve">Two independent anomaly detection methods were applied — Isolation Forest and Z-Score analysis — to identify weeks with abnormal sales </w:t>
      </w:r>
      <w:proofErr w:type="spellStart"/>
      <w:r>
        <w:rPr>
          <w:color w:val="1A1A1A"/>
          <w:sz w:val="22"/>
          <w:szCs w:val="22"/>
        </w:rPr>
        <w:t>behavior</w:t>
      </w:r>
      <w:proofErr w:type="spellEnd"/>
      <w:r>
        <w:rPr>
          <w:color w:val="1A1A1A"/>
          <w:sz w:val="22"/>
          <w:szCs w:val="22"/>
        </w:rPr>
        <w:t>.</w:t>
      </w:r>
    </w:p>
    <w:p w14:paraId="11CDC9BF" w14:textId="77777777" w:rsidR="00BB49C1" w:rsidRDefault="00000000">
      <w:pPr>
        <w:spacing w:before="120" w:after="40"/>
      </w:pPr>
      <w:r>
        <w:rPr>
          <w:b/>
          <w:bCs/>
          <w:color w:val="2E86AB"/>
          <w:sz w:val="24"/>
          <w:szCs w:val="24"/>
        </w:rPr>
        <w:t>Anomaly 1 — March 2015 Sales Spike ($37,703)</w:t>
      </w:r>
    </w:p>
    <w:p w14:paraId="1EC14E6D" w14:textId="77777777" w:rsidR="00BB49C1" w:rsidRDefault="00000000">
      <w:pPr>
        <w:spacing w:before="30" w:after="30"/>
        <w:jc w:val="both"/>
      </w:pPr>
      <w:r>
        <w:rPr>
          <w:color w:val="1A1A1A"/>
          <w:sz w:val="22"/>
          <w:szCs w:val="22"/>
        </w:rPr>
        <w:t>Flagged by both detection methods, making it the most reliable signal in the dataset. Weekly sales of $37,703 is 2.5 standard deviations above the rolling average. Most likely cause: a large bulk corporate order placed during spring sale season. This should be investigated in order records — if driven by a single customer, it is non-recurring and should not inflate future forecasts.</w:t>
      </w:r>
    </w:p>
    <w:p w14:paraId="78EA5B40" w14:textId="77777777" w:rsidR="00BB49C1" w:rsidRDefault="00000000">
      <w:pPr>
        <w:spacing w:before="120" w:after="40"/>
      </w:pPr>
      <w:r>
        <w:rPr>
          <w:b/>
          <w:bCs/>
          <w:color w:val="2E86AB"/>
          <w:sz w:val="24"/>
          <w:szCs w:val="24"/>
        </w:rPr>
        <w:t>Anomaly 2 — November 2018 Black Friday Surge ($30,572 &amp; $35,999)</w:t>
      </w:r>
    </w:p>
    <w:p w14:paraId="51BB942B" w14:textId="77777777" w:rsidR="00BB49C1" w:rsidRDefault="00000000">
      <w:pPr>
        <w:spacing w:before="30" w:after="30"/>
        <w:jc w:val="both"/>
      </w:pPr>
      <w:r>
        <w:rPr>
          <w:color w:val="1A1A1A"/>
          <w:sz w:val="22"/>
          <w:szCs w:val="22"/>
        </w:rPr>
        <w:t>Two consecutive weeks in November 2018 showed significantly elevated sales, consistent with Black Friday and Cyber Monday promotional activity. This is a predictable, recurring anomaly. Stock levels across all categories should be elevated by 25–30% entering the last week of November each year.</w:t>
      </w:r>
    </w:p>
    <w:p w14:paraId="24302172" w14:textId="77777777" w:rsidR="00BB49C1" w:rsidRDefault="00000000">
      <w:pPr>
        <w:spacing w:before="120" w:after="40"/>
      </w:pPr>
      <w:r>
        <w:rPr>
          <w:b/>
          <w:bCs/>
          <w:color w:val="2E86AB"/>
          <w:sz w:val="24"/>
          <w:szCs w:val="24"/>
        </w:rPr>
        <w:t>Anomaly 3 — September 2015 Spike ($29,959)</w:t>
      </w:r>
    </w:p>
    <w:p w14:paraId="657FD480" w14:textId="77777777" w:rsidR="00BB49C1" w:rsidRDefault="00000000">
      <w:pPr>
        <w:spacing w:before="30" w:after="30"/>
        <w:jc w:val="both"/>
      </w:pPr>
      <w:r>
        <w:rPr>
          <w:color w:val="1A1A1A"/>
          <w:sz w:val="22"/>
          <w:szCs w:val="22"/>
        </w:rPr>
        <w:t>An unexpected surge in early September 2015, likely driven by back-to-school and fall collection purchasing. Flagged only by Isolation Forest, suggesting a moderate rather than extreme deviation. This aligns with a known retail pattern and should be incorporated into seasonal planning.</w:t>
      </w:r>
    </w:p>
    <w:p w14:paraId="74081447" w14:textId="77777777" w:rsidR="00BB49C1" w:rsidRDefault="00000000">
      <w:pPr>
        <w:pStyle w:val="Heading1"/>
        <w:pBdr>
          <w:bottom w:val="single" w:sz="6" w:space="0" w:color="2E86AB"/>
        </w:pBdr>
        <w:spacing w:before="160" w:after="60"/>
        <w:rPr>
          <w:b/>
          <w:bCs/>
          <w:color w:val="1F4E79"/>
          <w:sz w:val="28"/>
          <w:szCs w:val="28"/>
        </w:rPr>
      </w:pPr>
      <w:r>
        <w:t>5. Product Demand Segmentation &amp; Stocking Strategy</w:t>
      </w:r>
    </w:p>
    <w:p w14:paraId="74FEE991" w14:textId="77777777" w:rsidR="00BB49C1" w:rsidRDefault="00000000">
      <w:pPr>
        <w:spacing w:before="30" w:after="30"/>
        <w:jc w:val="both"/>
      </w:pPr>
      <w:r>
        <w:rPr>
          <w:color w:val="1A1A1A"/>
          <w:sz w:val="22"/>
          <w:szCs w:val="22"/>
        </w:rPr>
        <w:t>Using K-Means clustering on four demand features — total sales volume, year-over-year growth rate, sales volatility, and average order value — all 17 product sub-categories were grouped into four segments:</w:t>
      </w:r>
    </w:p>
    <w:p w14:paraId="72535097" w14:textId="77777777" w:rsidR="00BB49C1" w:rsidRDefault="00BB49C1">
      <w:pPr>
        <w:spacing w:before="8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BB49C1" w14:paraId="300042B6" w14:textId="77777777">
        <w:tblPrEx>
          <w:tblCellMar>
            <w:top w:w="0" w:type="dxa"/>
            <w:bottom w:w="0" w:type="dxa"/>
          </w:tblCellMar>
        </w:tblPrEx>
        <w:tc>
          <w:tcPr>
            <w:tcW w:w="1700" w:type="dxa"/>
            <w:shd w:val="clear" w:color="auto" w:fill="1F4E79"/>
            <w:tcMar>
              <w:top w:w="60" w:type="dxa"/>
              <w:left w:w="80" w:type="dxa"/>
              <w:bottom w:w="60" w:type="dxa"/>
              <w:right w:w="80" w:type="dxa"/>
            </w:tcMar>
          </w:tcPr>
          <w:p w14:paraId="0147A6DF" w14:textId="77777777" w:rsidR="00BB49C1" w:rsidRDefault="00000000">
            <w:pPr>
              <w:spacing w:before="30" w:after="30"/>
              <w:jc w:val="center"/>
            </w:pPr>
            <w:r>
              <w:rPr>
                <w:b/>
                <w:bCs/>
                <w:color w:val="FFFFFF"/>
              </w:rPr>
              <w:t>Segment</w:t>
            </w:r>
          </w:p>
        </w:tc>
        <w:tc>
          <w:tcPr>
            <w:tcW w:w="1700" w:type="dxa"/>
            <w:shd w:val="clear" w:color="auto" w:fill="1F4E79"/>
            <w:tcMar>
              <w:top w:w="60" w:type="dxa"/>
              <w:left w:w="80" w:type="dxa"/>
              <w:bottom w:w="60" w:type="dxa"/>
              <w:right w:w="80" w:type="dxa"/>
            </w:tcMar>
          </w:tcPr>
          <w:p w14:paraId="34D96FC9" w14:textId="77777777" w:rsidR="00BB49C1" w:rsidRDefault="00000000">
            <w:pPr>
              <w:spacing w:before="30" w:after="30"/>
              <w:jc w:val="center"/>
            </w:pPr>
            <w:r>
              <w:rPr>
                <w:b/>
                <w:bCs/>
                <w:color w:val="FFFFFF"/>
              </w:rPr>
              <w:t>Products</w:t>
            </w:r>
          </w:p>
        </w:tc>
        <w:tc>
          <w:tcPr>
            <w:tcW w:w="1700" w:type="dxa"/>
            <w:shd w:val="clear" w:color="auto" w:fill="1F4E79"/>
            <w:tcMar>
              <w:top w:w="60" w:type="dxa"/>
              <w:left w:w="80" w:type="dxa"/>
              <w:bottom w:w="60" w:type="dxa"/>
              <w:right w:w="80" w:type="dxa"/>
            </w:tcMar>
          </w:tcPr>
          <w:p w14:paraId="14A24365" w14:textId="77777777" w:rsidR="00BB49C1" w:rsidRDefault="00000000">
            <w:pPr>
              <w:spacing w:before="30" w:after="30"/>
              <w:jc w:val="center"/>
            </w:pPr>
            <w:r>
              <w:rPr>
                <w:b/>
                <w:bCs/>
                <w:color w:val="FFFFFF"/>
              </w:rPr>
              <w:t>Recommended Strategy</w:t>
            </w:r>
          </w:p>
        </w:tc>
      </w:tr>
      <w:tr w:rsidR="00BB49C1" w14:paraId="17275A64"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150C071D" w14:textId="77777777" w:rsidR="00BB49C1" w:rsidRDefault="00000000">
            <w:pPr>
              <w:spacing w:before="30" w:after="30"/>
              <w:jc w:val="center"/>
            </w:pPr>
            <w:r>
              <w:rPr>
                <w:color w:val="1A1A1A"/>
                <w:sz w:val="19"/>
                <w:szCs w:val="19"/>
              </w:rPr>
              <w:t>High Volume, Stable Demand</w:t>
            </w:r>
          </w:p>
        </w:tc>
        <w:tc>
          <w:tcPr>
            <w:tcW w:w="1700" w:type="dxa"/>
            <w:shd w:val="clear" w:color="auto" w:fill="FFFFFF"/>
            <w:tcMar>
              <w:top w:w="60" w:type="dxa"/>
              <w:left w:w="80" w:type="dxa"/>
              <w:bottom w:w="60" w:type="dxa"/>
              <w:right w:w="80" w:type="dxa"/>
            </w:tcMar>
          </w:tcPr>
          <w:p w14:paraId="0979AE34" w14:textId="77777777" w:rsidR="00BB49C1" w:rsidRDefault="00000000">
            <w:pPr>
              <w:spacing w:before="30" w:after="30"/>
              <w:jc w:val="center"/>
            </w:pPr>
            <w:r>
              <w:rPr>
                <w:color w:val="1A1A1A"/>
                <w:sz w:val="19"/>
                <w:szCs w:val="19"/>
              </w:rPr>
              <w:t>Accessories, Binders, Chairs, Phones, Storage, Tables</w:t>
            </w:r>
          </w:p>
        </w:tc>
        <w:tc>
          <w:tcPr>
            <w:tcW w:w="1700" w:type="dxa"/>
            <w:shd w:val="clear" w:color="auto" w:fill="FFFFFF"/>
            <w:tcMar>
              <w:top w:w="60" w:type="dxa"/>
              <w:left w:w="80" w:type="dxa"/>
              <w:bottom w:w="60" w:type="dxa"/>
              <w:right w:w="80" w:type="dxa"/>
            </w:tcMar>
          </w:tcPr>
          <w:p w14:paraId="1C1CC7BD" w14:textId="77777777" w:rsidR="00BB49C1" w:rsidRDefault="00000000">
            <w:pPr>
              <w:spacing w:before="30" w:after="30"/>
              <w:jc w:val="center"/>
            </w:pPr>
            <w:r>
              <w:rPr>
                <w:color w:val="1A1A1A"/>
                <w:sz w:val="19"/>
                <w:szCs w:val="19"/>
              </w:rPr>
              <w:t>Maintain safety stock. Automate reordering at fixed thresholds.</w:t>
            </w:r>
          </w:p>
        </w:tc>
      </w:tr>
      <w:tr w:rsidR="00BB49C1" w14:paraId="098BF76F"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5BC37D6A" w14:textId="77777777" w:rsidR="00BB49C1" w:rsidRDefault="00000000">
            <w:pPr>
              <w:spacing w:before="30" w:after="30"/>
              <w:jc w:val="center"/>
            </w:pPr>
            <w:r>
              <w:rPr>
                <w:color w:val="1A1A1A"/>
                <w:sz w:val="19"/>
                <w:szCs w:val="19"/>
              </w:rPr>
              <w:t>Growing Demand</w:t>
            </w:r>
          </w:p>
        </w:tc>
        <w:tc>
          <w:tcPr>
            <w:tcW w:w="1700" w:type="dxa"/>
            <w:shd w:val="clear" w:color="auto" w:fill="FFFFFF"/>
            <w:tcMar>
              <w:top w:w="60" w:type="dxa"/>
              <w:left w:w="80" w:type="dxa"/>
              <w:bottom w:w="60" w:type="dxa"/>
              <w:right w:w="80" w:type="dxa"/>
            </w:tcMar>
          </w:tcPr>
          <w:p w14:paraId="75AF2DD9" w14:textId="77777777" w:rsidR="00BB49C1" w:rsidRDefault="00000000">
            <w:pPr>
              <w:spacing w:before="30" w:after="30"/>
              <w:jc w:val="center"/>
            </w:pPr>
            <w:r>
              <w:rPr>
                <w:color w:val="1A1A1A"/>
                <w:sz w:val="19"/>
                <w:szCs w:val="19"/>
              </w:rPr>
              <w:t>Copiers</w:t>
            </w:r>
          </w:p>
        </w:tc>
        <w:tc>
          <w:tcPr>
            <w:tcW w:w="1700" w:type="dxa"/>
            <w:shd w:val="clear" w:color="auto" w:fill="FFFFFF"/>
            <w:tcMar>
              <w:top w:w="60" w:type="dxa"/>
              <w:left w:w="80" w:type="dxa"/>
              <w:bottom w:w="60" w:type="dxa"/>
              <w:right w:w="80" w:type="dxa"/>
            </w:tcMar>
          </w:tcPr>
          <w:p w14:paraId="5C7EDA5D" w14:textId="77777777" w:rsidR="00BB49C1" w:rsidRDefault="00000000">
            <w:pPr>
              <w:spacing w:before="30" w:after="30"/>
              <w:jc w:val="center"/>
            </w:pPr>
            <w:r>
              <w:rPr>
                <w:color w:val="1A1A1A"/>
                <w:sz w:val="19"/>
                <w:szCs w:val="19"/>
              </w:rPr>
              <w:t>Increase stock 20–30% ahead of peak months. Monitor closely.</w:t>
            </w:r>
          </w:p>
        </w:tc>
      </w:tr>
      <w:tr w:rsidR="00BB49C1" w14:paraId="0EAAFFAA"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59A0020A" w14:textId="77777777" w:rsidR="00BB49C1" w:rsidRDefault="00000000">
            <w:pPr>
              <w:spacing w:before="30" w:after="30"/>
              <w:jc w:val="center"/>
            </w:pPr>
            <w:r>
              <w:rPr>
                <w:color w:val="1A1A1A"/>
                <w:sz w:val="19"/>
                <w:szCs w:val="19"/>
              </w:rPr>
              <w:t>High Volatility</w:t>
            </w:r>
          </w:p>
        </w:tc>
        <w:tc>
          <w:tcPr>
            <w:tcW w:w="1700" w:type="dxa"/>
            <w:shd w:val="clear" w:color="auto" w:fill="FFFFFF"/>
            <w:tcMar>
              <w:top w:w="60" w:type="dxa"/>
              <w:left w:w="80" w:type="dxa"/>
              <w:bottom w:w="60" w:type="dxa"/>
              <w:right w:w="80" w:type="dxa"/>
            </w:tcMar>
          </w:tcPr>
          <w:p w14:paraId="6A7B139F" w14:textId="77777777" w:rsidR="00BB49C1" w:rsidRDefault="00000000">
            <w:pPr>
              <w:spacing w:before="30" w:after="30"/>
              <w:jc w:val="center"/>
            </w:pPr>
            <w:r>
              <w:rPr>
                <w:color w:val="1A1A1A"/>
                <w:sz w:val="19"/>
                <w:szCs w:val="19"/>
              </w:rPr>
              <w:t>Machines</w:t>
            </w:r>
          </w:p>
        </w:tc>
        <w:tc>
          <w:tcPr>
            <w:tcW w:w="1700" w:type="dxa"/>
            <w:shd w:val="clear" w:color="auto" w:fill="FFFFFF"/>
            <w:tcMar>
              <w:top w:w="60" w:type="dxa"/>
              <w:left w:w="80" w:type="dxa"/>
              <w:bottom w:w="60" w:type="dxa"/>
              <w:right w:w="80" w:type="dxa"/>
            </w:tcMar>
          </w:tcPr>
          <w:p w14:paraId="0EAC9A60" w14:textId="77777777" w:rsidR="00BB49C1" w:rsidRDefault="00000000">
            <w:pPr>
              <w:spacing w:before="30" w:after="30"/>
              <w:jc w:val="center"/>
            </w:pPr>
            <w:r>
              <w:rPr>
                <w:color w:val="1A1A1A"/>
                <w:sz w:val="19"/>
                <w:szCs w:val="19"/>
              </w:rPr>
              <w:t>Just-in-time ordering. Avoid bulk purchases. Keep small buffer only.</w:t>
            </w:r>
          </w:p>
        </w:tc>
      </w:tr>
      <w:tr w:rsidR="00BB49C1" w14:paraId="11B0BF60" w14:textId="77777777">
        <w:tblPrEx>
          <w:tblCellMar>
            <w:top w:w="0" w:type="dxa"/>
            <w:bottom w:w="0" w:type="dxa"/>
          </w:tblCellMar>
        </w:tblPrEx>
        <w:tc>
          <w:tcPr>
            <w:tcW w:w="1700" w:type="dxa"/>
            <w:shd w:val="clear" w:color="auto" w:fill="EBF5FB"/>
            <w:tcMar>
              <w:top w:w="60" w:type="dxa"/>
              <w:left w:w="80" w:type="dxa"/>
              <w:bottom w:w="60" w:type="dxa"/>
              <w:right w:w="80" w:type="dxa"/>
            </w:tcMar>
          </w:tcPr>
          <w:p w14:paraId="511EC55E" w14:textId="77777777" w:rsidR="00BB49C1" w:rsidRDefault="00000000">
            <w:pPr>
              <w:spacing w:before="30" w:after="30"/>
              <w:jc w:val="center"/>
            </w:pPr>
            <w:r>
              <w:rPr>
                <w:color w:val="1A1A1A"/>
                <w:sz w:val="19"/>
                <w:szCs w:val="19"/>
              </w:rPr>
              <w:lastRenderedPageBreak/>
              <w:t>Low Volume, Declining</w:t>
            </w:r>
          </w:p>
        </w:tc>
        <w:tc>
          <w:tcPr>
            <w:tcW w:w="1700" w:type="dxa"/>
            <w:shd w:val="clear" w:color="auto" w:fill="FFFFFF"/>
            <w:tcMar>
              <w:top w:w="60" w:type="dxa"/>
              <w:left w:w="80" w:type="dxa"/>
              <w:bottom w:w="60" w:type="dxa"/>
              <w:right w:w="80" w:type="dxa"/>
            </w:tcMar>
          </w:tcPr>
          <w:p w14:paraId="24869239" w14:textId="77777777" w:rsidR="00BB49C1" w:rsidRDefault="00000000">
            <w:pPr>
              <w:spacing w:before="30" w:after="30"/>
              <w:jc w:val="center"/>
            </w:pPr>
            <w:r>
              <w:rPr>
                <w:color w:val="1A1A1A"/>
                <w:sz w:val="19"/>
                <w:szCs w:val="19"/>
              </w:rPr>
              <w:t>Appliances, Art, Bookcases, Envelopes, Fasteners, Furnishings, Labels, Paper, Supplies</w:t>
            </w:r>
          </w:p>
        </w:tc>
        <w:tc>
          <w:tcPr>
            <w:tcW w:w="1700" w:type="dxa"/>
            <w:shd w:val="clear" w:color="auto" w:fill="FFFFFF"/>
            <w:tcMar>
              <w:top w:w="60" w:type="dxa"/>
              <w:left w:w="80" w:type="dxa"/>
              <w:bottom w:w="60" w:type="dxa"/>
              <w:right w:w="80" w:type="dxa"/>
            </w:tcMar>
          </w:tcPr>
          <w:p w14:paraId="59A45DD6" w14:textId="77777777" w:rsidR="00BB49C1" w:rsidRDefault="00000000">
            <w:pPr>
              <w:spacing w:before="30" w:after="30"/>
              <w:jc w:val="center"/>
            </w:pPr>
            <w:r>
              <w:rPr>
                <w:color w:val="1A1A1A"/>
                <w:sz w:val="19"/>
                <w:szCs w:val="19"/>
              </w:rPr>
              <w:t>Reduce stock. Run clearance promotions. Review for discontinuation.</w:t>
            </w:r>
          </w:p>
        </w:tc>
      </w:tr>
    </w:tbl>
    <w:p w14:paraId="44AA772E" w14:textId="77777777" w:rsidR="00BB49C1" w:rsidRDefault="00BB49C1">
      <w:pPr>
        <w:spacing w:before="80"/>
      </w:pPr>
    </w:p>
    <w:p w14:paraId="5AAAE71E" w14:textId="77777777" w:rsidR="00BB49C1" w:rsidRDefault="00000000">
      <w:pPr>
        <w:pStyle w:val="Heading1"/>
        <w:pBdr>
          <w:bottom w:val="single" w:sz="6" w:space="0" w:color="2E86AB"/>
        </w:pBdr>
        <w:spacing w:before="160" w:after="60"/>
        <w:rPr>
          <w:b/>
          <w:bCs/>
          <w:color w:val="1F4E79"/>
          <w:sz w:val="28"/>
          <w:szCs w:val="28"/>
        </w:rPr>
      </w:pPr>
      <w:r>
        <w:t>6. Three Business Recommendations</w:t>
      </w:r>
    </w:p>
    <w:p w14:paraId="697147B5" w14:textId="77777777" w:rsidR="00BB49C1" w:rsidRDefault="00000000">
      <w:pPr>
        <w:spacing w:before="120" w:after="40"/>
      </w:pPr>
      <w:r>
        <w:rPr>
          <w:b/>
          <w:bCs/>
          <w:color w:val="2E86AB"/>
          <w:sz w:val="24"/>
          <w:szCs w:val="24"/>
        </w:rPr>
        <w:t>Recommendation 1 — Invest in Technology &amp; West Region</w:t>
      </w:r>
    </w:p>
    <w:p w14:paraId="39D8D47A" w14:textId="77777777" w:rsidR="00BB49C1" w:rsidRDefault="00000000">
      <w:pPr>
        <w:spacing w:before="30" w:after="30"/>
        <w:jc w:val="both"/>
      </w:pPr>
      <w:r>
        <w:rPr>
          <w:color w:val="1A1A1A"/>
          <w:sz w:val="22"/>
          <w:szCs w:val="22"/>
        </w:rPr>
        <w:t>Technology is forecast to grow 272% in a single month (February to March 2019), and the West region has nearly doubled revenue over four years. Reallocating 15–20% more marketing budget and inventory investment toward these two segments is likely to yield the highest return on investment in Q1 2019.</w:t>
      </w:r>
    </w:p>
    <w:p w14:paraId="4E5C3179" w14:textId="77777777" w:rsidR="00BB49C1" w:rsidRDefault="00000000">
      <w:pPr>
        <w:spacing w:before="120" w:after="40"/>
      </w:pPr>
      <w:r>
        <w:rPr>
          <w:b/>
          <w:bCs/>
          <w:color w:val="2E86AB"/>
          <w:sz w:val="24"/>
          <w:szCs w:val="24"/>
        </w:rPr>
        <w:t>Recommendation 2 — Build a Seasonal Stocking Calendar</w:t>
      </w:r>
    </w:p>
    <w:p w14:paraId="41E2D10A" w14:textId="77777777" w:rsidR="00BB49C1" w:rsidRDefault="00000000">
      <w:pPr>
        <w:spacing w:before="30" w:after="30"/>
        <w:jc w:val="both"/>
      </w:pPr>
      <w:r>
        <w:rPr>
          <w:color w:val="1A1A1A"/>
          <w:sz w:val="22"/>
          <w:szCs w:val="22"/>
        </w:rPr>
        <w:t>Clear seasonal patterns repeat consistently — March spikes, November Black Friday surges, and February dips appear every year. Formalizing these into a procurement calendar — increasing stock 6–8 weeks ahead of known peaks and reducing orders before February — can reduce overstock costs and prevent stockouts during high-demand periods.</w:t>
      </w:r>
    </w:p>
    <w:p w14:paraId="357A3D8E" w14:textId="77777777" w:rsidR="00BB49C1" w:rsidRDefault="00000000">
      <w:pPr>
        <w:spacing w:before="120" w:after="40"/>
      </w:pPr>
      <w:r>
        <w:rPr>
          <w:b/>
          <w:bCs/>
          <w:color w:val="2E86AB"/>
          <w:sz w:val="24"/>
          <w:szCs w:val="24"/>
        </w:rPr>
        <w:t>Recommendation 3 — Rationalize the Declining Product Portfolio</w:t>
      </w:r>
    </w:p>
    <w:p w14:paraId="2D985105" w14:textId="77777777" w:rsidR="00BB49C1" w:rsidRDefault="00000000">
      <w:pPr>
        <w:spacing w:before="30" w:after="30"/>
        <w:jc w:val="both"/>
      </w:pPr>
      <w:r>
        <w:rPr>
          <w:color w:val="1A1A1A"/>
          <w:sz w:val="22"/>
          <w:szCs w:val="22"/>
        </w:rPr>
        <w:t>Nine sub-categories are in the low volume, declining demand segment, tying up warehouse space and procurement budget. A formal SKU review should flag products with 3+ consecutive years of decline for discontinuation. Freeing this capital can be redirected toward Copiers and Technology where returns are higher.</w:t>
      </w:r>
    </w:p>
    <w:p w14:paraId="4768FDE4" w14:textId="77777777" w:rsidR="00BB49C1" w:rsidRDefault="00000000">
      <w:pPr>
        <w:pStyle w:val="Heading1"/>
        <w:pBdr>
          <w:bottom w:val="single" w:sz="6" w:space="0" w:color="2E86AB"/>
        </w:pBdr>
        <w:spacing w:before="160" w:after="60"/>
        <w:rPr>
          <w:b/>
          <w:bCs/>
          <w:color w:val="1F4E79"/>
          <w:sz w:val="28"/>
          <w:szCs w:val="28"/>
        </w:rPr>
      </w:pPr>
      <w:r>
        <w:t>7. Risk &amp; Limitation</w:t>
      </w:r>
    </w:p>
    <w:p w14:paraId="21E0DBD6" w14:textId="77777777" w:rsidR="00BB49C1" w:rsidRDefault="00000000">
      <w:pPr>
        <w:spacing w:before="30" w:after="30"/>
        <w:jc w:val="both"/>
      </w:pPr>
      <w:r>
        <w:rPr>
          <w:color w:val="1A1A1A"/>
          <w:sz w:val="22"/>
          <w:szCs w:val="22"/>
        </w:rPr>
        <w:t xml:space="preserve">The primary limitation of this forecasting system is that it is trained entirely on historical data from 2015–2018 and has no awareness of external events. Sudden macroeconomic shocks, supply chain disruptions, new competitor entries, or changes in consumer </w:t>
      </w:r>
      <w:proofErr w:type="spellStart"/>
      <w:r>
        <w:rPr>
          <w:color w:val="1A1A1A"/>
          <w:sz w:val="22"/>
          <w:szCs w:val="22"/>
        </w:rPr>
        <w:t>behavior</w:t>
      </w:r>
      <w:proofErr w:type="spellEnd"/>
      <w:r>
        <w:rPr>
          <w:color w:val="1A1A1A"/>
          <w:sz w:val="22"/>
          <w:szCs w:val="22"/>
        </w:rPr>
        <w:t xml:space="preserve"> that have no precedent in the training data will not be captured by the model.</w:t>
      </w:r>
    </w:p>
    <w:p w14:paraId="4A5E6992" w14:textId="77777777" w:rsidR="00BB49C1" w:rsidRDefault="00000000">
      <w:pPr>
        <w:spacing w:before="30" w:after="30"/>
        <w:jc w:val="both"/>
      </w:pPr>
      <w:r>
        <w:rPr>
          <w:color w:val="1A1A1A"/>
          <w:sz w:val="22"/>
          <w:szCs w:val="22"/>
        </w:rPr>
        <w:t>The Prophet model's 14.63% MAPE means approximately 1 in 7 dollars of forecast may be off — acceptable for planning purposes but not precise enough for individual product-level procurement decisions without human review. The system should be treated as a decision support tool, not a replacement for experienced supply chain judgment. Model retraining on fresh data every quarter is strongly recommended.</w:t>
      </w:r>
    </w:p>
    <w:p w14:paraId="2304F529" w14:textId="77777777" w:rsidR="00BB49C1" w:rsidRDefault="00BB49C1">
      <w:pPr>
        <w:spacing w:before="100"/>
      </w:pPr>
    </w:p>
    <w:p w14:paraId="103DE7AF" w14:textId="77777777" w:rsidR="00BB49C1" w:rsidRDefault="00000000">
      <w:pPr>
        <w:jc w:val="center"/>
      </w:pPr>
      <w:r>
        <w:rPr>
          <w:color w:val="2E86AB"/>
        </w:rPr>
        <w:t>──────────────────────────────────────────────────────────────────────</w:t>
      </w:r>
    </w:p>
    <w:p w14:paraId="31EDEA7C" w14:textId="77777777" w:rsidR="00BB49C1" w:rsidRDefault="00000000">
      <w:pPr>
        <w:spacing w:before="80"/>
        <w:jc w:val="center"/>
      </w:pPr>
      <w:r>
        <w:rPr>
          <w:i/>
          <w:iCs/>
          <w:color w:val="595959"/>
          <w:sz w:val="18"/>
          <w:szCs w:val="18"/>
        </w:rPr>
        <w:t>This report was generated as part of an internship data science project. All figures are based on the Superstore Sales Dataset (2015–2018).</w:t>
      </w:r>
    </w:p>
    <w:sectPr w:rsidR="00BB49C1">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F6D"/>
    <w:multiLevelType w:val="hybridMultilevel"/>
    <w:tmpl w:val="A8D2F0BA"/>
    <w:lvl w:ilvl="0" w:tplc="BFA0DEF8">
      <w:start w:val="1"/>
      <w:numFmt w:val="bullet"/>
      <w:lvlText w:val="●"/>
      <w:lvlJc w:val="left"/>
      <w:pPr>
        <w:ind w:left="720" w:hanging="360"/>
      </w:pPr>
    </w:lvl>
    <w:lvl w:ilvl="1" w:tplc="6F7AF576">
      <w:start w:val="1"/>
      <w:numFmt w:val="bullet"/>
      <w:lvlText w:val="○"/>
      <w:lvlJc w:val="left"/>
      <w:pPr>
        <w:ind w:left="1440" w:hanging="360"/>
      </w:pPr>
    </w:lvl>
    <w:lvl w:ilvl="2" w:tplc="65A28BE4">
      <w:start w:val="1"/>
      <w:numFmt w:val="bullet"/>
      <w:lvlText w:val="■"/>
      <w:lvlJc w:val="left"/>
      <w:pPr>
        <w:ind w:left="2160" w:hanging="360"/>
      </w:pPr>
    </w:lvl>
    <w:lvl w:ilvl="3" w:tplc="3710ACC8">
      <w:start w:val="1"/>
      <w:numFmt w:val="bullet"/>
      <w:lvlText w:val="●"/>
      <w:lvlJc w:val="left"/>
      <w:pPr>
        <w:ind w:left="2880" w:hanging="360"/>
      </w:pPr>
    </w:lvl>
    <w:lvl w:ilvl="4" w:tplc="E200A15C">
      <w:start w:val="1"/>
      <w:numFmt w:val="bullet"/>
      <w:lvlText w:val="○"/>
      <w:lvlJc w:val="left"/>
      <w:pPr>
        <w:ind w:left="3600" w:hanging="360"/>
      </w:pPr>
    </w:lvl>
    <w:lvl w:ilvl="5" w:tplc="AE28B128">
      <w:start w:val="1"/>
      <w:numFmt w:val="bullet"/>
      <w:lvlText w:val="■"/>
      <w:lvlJc w:val="left"/>
      <w:pPr>
        <w:ind w:left="4320" w:hanging="360"/>
      </w:pPr>
    </w:lvl>
    <w:lvl w:ilvl="6" w:tplc="BD528F54">
      <w:start w:val="1"/>
      <w:numFmt w:val="bullet"/>
      <w:lvlText w:val="●"/>
      <w:lvlJc w:val="left"/>
      <w:pPr>
        <w:ind w:left="5040" w:hanging="360"/>
      </w:pPr>
    </w:lvl>
    <w:lvl w:ilvl="7" w:tplc="2F2E3F46">
      <w:start w:val="1"/>
      <w:numFmt w:val="bullet"/>
      <w:lvlText w:val="●"/>
      <w:lvlJc w:val="left"/>
      <w:pPr>
        <w:ind w:left="5760" w:hanging="360"/>
      </w:pPr>
    </w:lvl>
    <w:lvl w:ilvl="8" w:tplc="BD6A228C">
      <w:start w:val="1"/>
      <w:numFmt w:val="bullet"/>
      <w:lvlText w:val="●"/>
      <w:lvlJc w:val="left"/>
      <w:pPr>
        <w:ind w:left="6480" w:hanging="360"/>
      </w:pPr>
    </w:lvl>
  </w:abstractNum>
  <w:num w:numId="1" w16cid:durableId="8970845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9C1"/>
    <w:rsid w:val="00224535"/>
    <w:rsid w:val="00BB49C1"/>
    <w:rsid w:val="00BC6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DE116"/>
  <w15:docId w15:val="{3ADAE79B-DA75-483A-938F-19447CDCE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ritika sen</cp:lastModifiedBy>
  <cp:revision>2</cp:revision>
  <dcterms:created xsi:type="dcterms:W3CDTF">2026-07-11T18:39:00Z</dcterms:created>
  <dcterms:modified xsi:type="dcterms:W3CDTF">2026-07-11T18:39:00Z</dcterms:modified>
</cp:coreProperties>
</file>