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2E5BFF"/>
          <w:sz w:val="56"/>
          <w:szCs w:val="56"/>
        </w:rPr>
        <w:t xml:space="preserve">RETAIL SALES</w:t>
      </w:r>
    </w:p>
    <w:p>
      <w:pPr>
        <w:spacing w:after="360"/>
        <w:jc w:val="center"/>
      </w:pPr>
      <w:r>
        <w:rPr>
          <w:b/>
          <w:bCs/>
          <w:color w:val="1A1A1A"/>
          <w:sz w:val="36"/>
          <w:szCs w:val="36"/>
        </w:rPr>
        <w:t xml:space="preserve">Data Cleaning &amp; Business Insights Report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Task 02 — Data Cleaning &amp; Business Insights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Prepared June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This report documents the end-to-end cleaning of a raw retail sales export and the business insights derived from the cleaned data. The source file contained 1,250 transaction records spanning January 2024 to June 2025, collected across 7 product categories, 4 regions, and 5 payment methods.</w:t>
      </w:r>
    </w:p>
    <w:p>
      <w:pPr>
        <w:spacing w:after="160"/>
      </w:pPr>
      <w:r>
        <w:t xml:space="preserve">The raw data exhibited common real-world data quality issues: missing values across nearly every column, exact and partial duplicate records, inconsistent text casing and formatting, multiple date formats, and a small number of extreme outliers caused by data entry errors. After cleaning, the dataset was reduced to 1,199 valid, de-duplicated, standardized records ready for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E5BFF"/>
                <w:sz w:val="28"/>
                <w:szCs w:val="28"/>
              </w:rPr>
              <w:t xml:space="preserve">₹1,28,34,430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E5BFF"/>
                <w:sz w:val="28"/>
                <w:szCs w:val="28"/>
              </w:rPr>
              <w:t xml:space="preserve">1,199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E5BFF"/>
                <w:sz w:val="28"/>
                <w:szCs w:val="28"/>
              </w:rPr>
              <w:t xml:space="preserve">₹10,704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E5BFF"/>
                <w:sz w:val="28"/>
                <w:szCs w:val="28"/>
              </w:rPr>
              <w:t xml:space="preserve">4.01 / 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Avg Rating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Data Cleaning Process</w:t>
      </w:r>
    </w:p>
    <w:p>
      <w:pPr>
        <w:pStyle w:val="Heading2"/>
      </w:pPr>
      <w:r>
        <w:t xml:space="preserve">2.1 Missing Value Handling</w:t>
      </w:r>
    </w:p>
    <w:p>
      <w:pPr>
        <w:spacing w:after="160"/>
      </w:pPr>
      <w:r>
        <w:t xml:space="preserve">Missing values were present across nearly every column in the raw export. Each was handled using a method appropriate to that field rather than a single blanket rule: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and Unit Price: where one was missing but enough information existed (price, quantity, discount), the missing value was recalculated from the other fields rather than dropped.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Quantity: missing values were imputed using the median quantity for that product category, since order size varies by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Discount Percent: missing values were filled with 0%, the most common (modal) value in the dataset, representing "no discount applied."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Category, Region, City, Payment Method: missing values were labeled "Unknown" rather than dropped, preserving the row for revenue analysis while flagging it for follow-up with the source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Rating: left as missing where genuinely not provided (a customer choosing not to rate is meaningful), and a HasRating flag column was added so analysts can filter ratings-based metrics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row(s) were dropped outright — these had no price and no revenue, making the transaction value unrecoverable.</w:t>
      </w:r>
    </w:p>
    <w:p>
      <w:pPr>
        <w:pStyle w:val="Heading2"/>
      </w:pPr>
      <w:r>
        <w:t xml:space="preserve">2.2 Duplicate Removal</w:t>
      </w:r>
    </w:p>
    <w:p>
      <w:pPr>
        <w:spacing w:after="160"/>
      </w:pPr>
      <w:r>
        <w:t xml:space="preserve">The raw file contained 35 fully exact duplicate rows and 15 additional rows sharing an Order ID with another record (re-entries differing only in name casing/whitespace — a common symptom of repeated manual entry or a failed retry during export). All duplicates were removed, keeping the first occurrence of each Order ID.</w:t>
      </w:r>
    </w:p>
    <w:p>
      <w:pPr>
        <w:pStyle w:val="Heading2"/>
      </w:pPr>
      <w:r>
        <w:t xml:space="preserve">2.3 Data Formatting &amp; Standardization</w:t>
      </w:r>
    </w:p>
    <w:p>
      <w:pPr>
        <w:spacing w:after="160"/>
      </w:pPr>
      <w:r>
        <w:t xml:space="preserve">Several fields had inconsistent formatting that would silently break any group-by analysis if left as-is: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 casing: Category, Region, and Payment Method values appeared in mixed case (e.g. "electronics", "ELECTRONICS", "Electronic") and were mapped to a single canonical label per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Whitespace: leading/trailing spaces in names and city fields (e.g. "  Meena Choudhary  ") were stripped.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Dates: Order Date appeared in five different formats (YYYY-MM-DD, DD/MM/YYYY, MM-DD-YYYY, DD-Mon-YYYY, YYYY/MM/DD) across different rows — likely from multiple export sources or regional settings. All dates were parsed and standardized to ISO format (YYYY-MM-DD).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names and cities were standardized to title case for consistent reporting.</w:t>
      </w:r>
    </w:p>
    <w:p>
      <w:pPr>
        <w:pStyle w:val="Heading2"/>
      </w:pPr>
      <w:r>
        <w:t xml:space="preserve">2.4 Outlier Detection</w:t>
      </w:r>
    </w:p>
    <w:p>
      <w:pPr>
        <w:spacing w:after="160"/>
      </w:pPr>
      <w:r>
        <w:t xml:space="preserve">Outliers were detected using the Interquartile Range (IQR) method, with price and revenue evaluated per product category — since a high-end Electronics order and a high-end Books order represent very different things, a single global threshold would have wrongly flagged most electronics sales as outliers.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800"/>
        <w:gridCol w:w="26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Outliers Flagged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IQR per category (1.5×)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Mostly data-entry pricing errors (~50× normal price)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IQR per category (1.5×)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Largely legitimate high-quantity/high-value orders, flagged for review not removal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IQR global (1.5×)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impossible bulk orders (500 units) corrected to category median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Negative values were also corrected: 5 rows had a negative Unit Price and 4 rows had negative Revenue, both clear sign-entry errors. These were corrected to their absolute value rather than dropped, since the rest of the row's data was usable.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Rather than deleting all flagged outliers, each affected row carries a boolean flag column (UnitPrice_outlier, Quantity_outlier, Revenue_outlier) in the cleaned dataset. This lets analysts decide whether to include or exclude them per analysis, instead of silently losing potentially legitimate high-value transactions.</w:t>
      </w:r>
    </w:p>
    <w:p>
      <w:pPr>
        <w:pStyle w:val="Heading2"/>
      </w:pPr>
      <w:r>
        <w:t xml:space="preserve">2.5 Cleaning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rows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1250</w:t>
            </w:r>
          </w:p>
        </w:tc>
      </w:tr>
      <w:tr>
        <w:tc>
          <w:tcPr>
            <w:tcW w:type="dxa" w:w="5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Exact duplicates removed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ID duplicates removed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Rows dropped (unrecoverable)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clean rows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1199</w:t>
            </w:r>
          </w:p>
        </w:tc>
      </w:tr>
      <w:tr>
        <w:tc>
          <w:tcPr>
            <w:tcW w:type="dxa" w:w="5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Columns in final dataset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(12 original + 4 QA flag columns)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Business Insights</w:t>
      </w:r>
    </w:p>
    <w:p>
      <w:pPr>
        <w:pStyle w:val="Heading2"/>
      </w:pPr>
      <w:r>
        <w:t xml:space="preserve">3.1 Revenue by Category</w:t>
      </w:r>
    </w:p>
    <w:p>
      <w:pPr>
        <w:spacing w:after="160"/>
      </w:pPr>
      <w:r>
        <w:t xml:space="preserve">Electronics dominates total revenue at ₹80,40,841 from just 166 orders — driven by a high average order value of ₹48,439, roughly 4-20x higher than every other category. Home &amp; Kitchen is a distant second.</w:t>
      </w:r>
    </w:p>
    <w:p>
      <w:pPr>
        <w:spacing w:after="240" w:before="120"/>
        <w:jc w:val="center"/>
      </w:pPr>
      <w:r>
        <w:drawing>
          <wp:inline distT="0" distB="0" distL="0" distR="0">
            <wp:extent cx="5524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 average order value: Electronics — high-ticket items drive outsized revenue per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Lowest average order value: Books — high order count but low basket size; a candidate for bundling or upsell strategies.</w:t>
      </w:r>
    </w:p>
    <w:p>
      <w:pPr>
        <w:pStyle w:val="Heading2"/>
      </w:pPr>
      <w:r>
        <w:t xml:space="preserve">3.2 Revenue by Region</w:t>
      </w:r>
    </w:p>
    <w:p>
      <w:pPr>
        <w:spacing w:after="160"/>
      </w:pPr>
      <w:r>
        <w:t xml:space="preserve">Revenue is fairly evenly distributed across all four regions, with North and West marginally ahead. This suggests demand is not geographically concentrated — useful for inventory and logistics planning, as no single region requires disproportionate stock allocation.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3.3 Monthly Revenue Trend</w:t>
      </w:r>
    </w:p>
    <w:p>
      <w:pPr>
        <w:spacing w:after="160"/>
      </w:pPr>
      <w:r>
        <w:t xml:space="preserve">Revenue fluctuates month to month without a strong seasonal pattern, with notable peaks in March and October of 2024. The partial 2025-06 figure reflects an incomplete month in the dataset rather than a real decline.</w:t>
      </w:r>
    </w:p>
    <w:p>
      <w:pPr>
        <w:spacing w:after="24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3.4 Payment Method Preferences</w:t>
      </w:r>
    </w:p>
    <w:p>
      <w:pPr>
        <w:spacing w:after="160"/>
      </w:pPr>
      <w:r>
        <w:t xml:space="preserve">Cash on Delivery remains the leading payment method by revenue (₹31,83,622), narrowly ahead of Net Banking and UPI. Digital payment methods (UPI, Net Banking, Credit/Debit Card) combined account for the majority of revenue, indicating room to incentivize a further shift away from COD — which typically carries higher fulfillment cost and payment risk for the business.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3.5 Customer Satisfaction vs. Revenue</w:t>
      </w:r>
    </w:p>
    <w:p>
      <w:pPr>
        <w:spacing w:after="160"/>
      </w:pPr>
      <w:r>
        <w:t xml:space="preserve">Average order revenue rises with customer rating up to 4 stars, then dips slightly at 5 stars — suggesting satisfaction is not purely a function of how much a customer spends. Orders rated 1-2 stars still generate substantial average revenue, meaning low ratings are likely driven by service or product issues rather than price dissatisfaction.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Revenue per Order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★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₹8,095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★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₹8,123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★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₹8,724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★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₹12,009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★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₹10,923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3.6 Top Performing Cities</w:t>
      </w:r>
    </w:p>
    <w:p>
      <w:pPr>
        <w:spacing w:after="160"/>
      </w:pPr>
      <w:r>
        <w:t xml:space="preserve">The top 10 cities by revenue are led by Kochi, followed by Lucknow and Bhubaneswar — a spread across South, North, and East regions rather than concentration in traditional metro hubs like Mumbai or Bengaluru. This is a useful, less-obvious signal for targeted regional marketing.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Kochi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₹13,09,308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Lucknow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₹9,80,449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Bhubaneswar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₹9,64,445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Jaipur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₹9,57,517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Chandigarh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₹9,54,300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Ahmedabad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₹8,66,128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Key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 down on Electronics merchandising and stock depth — it drives the large majority of revenue from a relatively small order count, so even small improvements in conversion or basket size here have outsized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the Books and Toys categories for bundling, cross-sell, or minimum-order-value promotions to lift their low average order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structured campaign to migrate Cash-on-Delivery customers to digital payment methods (e.g. a small UPI cashback) to reduce fulfillment risk and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the data pipeline feeding this export — the volume of missing values, mixed date formats, and duplicate Order IDs suggests multiple source systems or manual re-entry steps that should be consolidated.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rows flagged as outliers (especially the 7 price outliers showing ~50× normal pricing) as a priority data-quality ticket with the source team, since these likely reflect a unit-of-measure or currency entry bug rather than real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low-rating (1-2★) orders specifically for service/fulfillment issues, since revenue data shows these aren't simply low-value or discount-driven purchases.</w:t>
      </w:r>
    </w:p>
    <w:p>
      <w:pPr>
        <w:pStyle w:val="Heading1"/>
      </w:pPr>
      <w:r>
        <w:t xml:space="preserve">5. Methodology Note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All cleaning steps were performed programmatically (Python/pandas) and are fully reproducible via the accompanying script (clean_data.py) and logged in cleaning_log.json. No manual row-by-row edits were made, ensuring the process can be re-run on future data exports with the same logic.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B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cf58825a67d9d4556f5a956f0a1f0053804ebe.png"/><Relationship Id="rId8" Type="http://schemas.openxmlformats.org/officeDocument/2006/relationships/image" Target="media/7465dfcd04598434b413b3c3ad85b4cbd134567e.png"/><Relationship Id="rId9" Type="http://schemas.openxmlformats.org/officeDocument/2006/relationships/image" Target="media/22487eb112f7e0845bd8d7f3d9288c0ccefbde8f.png"/><Relationship Id="rId10" Type="http://schemas.openxmlformats.org/officeDocument/2006/relationships/image" Target="media/85bcdf64a8b2582fef0b91523d7d7f02c50903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2026-06-20T12:37:55.305Z</dcterms:created>
  <dcterms:modified xsi:type="dcterms:W3CDTF">2026-06-20T12:37:55.305Z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