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sffkh1lrxz8" w:id="0"/>
      <w:bookmarkEnd w:id="0"/>
      <w:r w:rsidDel="00000000" w:rsidR="00000000" w:rsidRPr="00000000">
        <w:rPr>
          <w:rtl w:val="0"/>
        </w:rPr>
        <w:t xml:space="preserve">Time Complexity 1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Arithmetic Progression</w:t>
      </w:r>
    </w:p>
    <w:p w:rsidR="00000000" w:rsidDel="00000000" w:rsidP="00000000" w:rsidRDefault="00000000" w:rsidRPr="00000000" w14:paraId="00000004">
      <w:pPr>
        <w:shd w:fill="ffffff" w:val="clear"/>
        <w:spacing w:after="100" w:before="100" w:lineRule="auto"/>
        <w:ind w:left="0" w:firstLine="0"/>
        <w:rPr>
          <w:color w:val="202122"/>
          <w:sz w:val="24"/>
          <w:szCs w:val="24"/>
        </w:rPr>
      </w:pPr>
      <w:r w:rsidDel="00000000" w:rsidR="00000000" w:rsidRPr="00000000">
        <w:rPr>
          <w:color w:val="202122"/>
          <w:sz w:val="24"/>
          <w:szCs w:val="24"/>
          <w:rtl w:val="0"/>
        </w:rPr>
        <w:t xml:space="preserve">An arithmetic progression or arithmetic sequence is a </w:t>
      </w:r>
      <w:hyperlink r:id="rId6">
        <w:r w:rsidDel="00000000" w:rsidR="00000000" w:rsidRPr="00000000">
          <w:rPr>
            <w:color w:val="0645ad"/>
            <w:sz w:val="24"/>
            <w:szCs w:val="24"/>
            <w:rtl w:val="0"/>
          </w:rPr>
          <w:t xml:space="preserve">sequence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 of </w:t>
      </w:r>
      <w:hyperlink r:id="rId7">
        <w:r w:rsidDel="00000000" w:rsidR="00000000" w:rsidRPr="00000000">
          <w:rPr>
            <w:color w:val="0645ad"/>
            <w:sz w:val="24"/>
            <w:szCs w:val="24"/>
            <w:rtl w:val="0"/>
          </w:rPr>
          <w:t xml:space="preserve">numbers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 such that the difference between the consecutive terms is constant. </w:t>
      </w:r>
    </w:p>
    <w:p w:rsidR="00000000" w:rsidDel="00000000" w:rsidP="00000000" w:rsidRDefault="00000000" w:rsidRPr="00000000" w14:paraId="00000005">
      <w:pPr>
        <w:shd w:fill="ffffff" w:val="clear"/>
        <w:spacing w:after="100" w:before="100" w:lineRule="auto"/>
        <w:ind w:left="0" w:firstLine="0"/>
        <w:rPr>
          <w:color w:val="202122"/>
          <w:sz w:val="24"/>
          <w:szCs w:val="24"/>
        </w:rPr>
      </w:pPr>
      <w:r w:rsidDel="00000000" w:rsidR="00000000" w:rsidRPr="00000000">
        <w:rPr>
          <w:color w:val="202122"/>
          <w:sz w:val="24"/>
          <w:szCs w:val="24"/>
          <w:rtl w:val="0"/>
        </w:rPr>
        <w:t xml:space="preserve">For instance, the sequence 5, 7, 9, 11, 13, 15, . . . is an arithmetic progression with a common difference of 2.</w:t>
      </w:r>
    </w:p>
    <w:p w:rsidR="00000000" w:rsidDel="00000000" w:rsidP="00000000" w:rsidRDefault="00000000" w:rsidRPr="00000000" w14:paraId="00000006">
      <w:pPr>
        <w:shd w:fill="ffffff" w:val="clear"/>
        <w:spacing w:after="100" w:before="100" w:lineRule="auto"/>
        <w:ind w:left="0" w:firstLine="0"/>
        <w:rPr>
          <w:color w:val="202122"/>
          <w:sz w:val="24"/>
          <w:szCs w:val="24"/>
        </w:rPr>
      </w:pPr>
      <w:r w:rsidDel="00000000" w:rsidR="00000000" w:rsidRPr="00000000">
        <w:rPr>
          <w:color w:val="202122"/>
          <w:sz w:val="24"/>
          <w:szCs w:val="24"/>
          <w:rtl w:val="0"/>
        </w:rPr>
        <w:t xml:space="preserve">If the initial term of an arithmetic progression is </w:t>
      </w:r>
      <w:r w:rsidDel="00000000" w:rsidR="00000000" w:rsidRPr="00000000">
        <w:rPr>
          <w:color w:val="202122"/>
          <w:sz w:val="24"/>
          <w:szCs w:val="24"/>
        </w:rPr>
        <w:drawing>
          <wp:inline distB="114300" distT="114300" distL="114300" distR="114300">
            <wp:extent cx="171450" cy="1524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and the common difference of successive members is </w:t>
      </w:r>
      <w:r w:rsidDel="00000000" w:rsidR="00000000" w:rsidRPr="00000000">
        <w:rPr>
          <w:color w:val="202122"/>
          <w:sz w:val="24"/>
          <w:szCs w:val="24"/>
        </w:rPr>
        <w:drawing>
          <wp:inline distB="114300" distT="114300" distL="114300" distR="114300">
            <wp:extent cx="95250" cy="1619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, then the </w:t>
      </w:r>
      <w:r w:rsidDel="00000000" w:rsidR="00000000" w:rsidRPr="00000000">
        <w:rPr>
          <w:color w:val="202122"/>
          <w:sz w:val="24"/>
          <w:szCs w:val="24"/>
        </w:rPr>
        <w:drawing>
          <wp:inline distB="114300" distT="114300" distL="114300" distR="114300">
            <wp:extent cx="104775" cy="1238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-th term of the sequence </w:t>
      </w:r>
      <w:r w:rsidDel="00000000" w:rsidR="00000000" w:rsidRPr="00000000">
        <w:rPr>
          <w:color w:val="202122"/>
          <w:sz w:val="24"/>
          <w:szCs w:val="24"/>
        </w:rPr>
        <w:drawing>
          <wp:inline distB="114300" distT="114300" distL="114300" distR="114300">
            <wp:extent cx="190500" cy="1524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is given by:</w:t>
      </w:r>
    </w:p>
    <w:p w:rsidR="00000000" w:rsidDel="00000000" w:rsidP="00000000" w:rsidRDefault="00000000" w:rsidRPr="00000000" w14:paraId="00000007">
      <w:pPr>
        <w:shd w:fill="ffffff" w:val="clear"/>
        <w:spacing w:after="100" w:before="100" w:lineRule="auto"/>
        <w:ind w:left="0" w:firstLine="0"/>
        <w:rPr>
          <w:color w:val="6aa84f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</w:rPr>
        <w:drawing>
          <wp:inline distB="114300" distT="114300" distL="114300" distR="114300">
            <wp:extent cx="1495425" cy="2190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 of AP series is given by -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876425" cy="352425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Derivation of Sum Formula: 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202122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2"/>
          <w:sz w:val="24"/>
          <w:szCs w:val="24"/>
          <w:highlight w:val="white"/>
          <w:rtl w:val="0"/>
        </w:rPr>
        <w:t xml:space="preserve">To derive the above formula, begin by expressing the arithmetic series in two different ways: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2"/>
          <w:sz w:val="24"/>
          <w:szCs w:val="24"/>
          <w:highlight w:val="white"/>
        </w:rPr>
        <w:drawing>
          <wp:inline distB="114300" distT="114300" distL="114300" distR="114300">
            <wp:extent cx="5572125" cy="21907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2"/>
          <w:sz w:val="24"/>
          <w:szCs w:val="24"/>
          <w:highlight w:val="white"/>
        </w:rPr>
        <w:drawing>
          <wp:inline distB="114300" distT="114300" distL="114300" distR="114300">
            <wp:extent cx="5686425" cy="2190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0"/>
        <w:rPr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00" w:before="100" w:lineRule="auto"/>
        <w:ind w:left="0" w:firstLine="0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Adding both sides of the two equations, all terms involving </w:t>
      </w:r>
      <w:r w:rsidDel="00000000" w:rsidR="00000000" w:rsidRPr="00000000">
        <w:rPr>
          <w:i w:val="1"/>
          <w:iCs w:val="1"/>
          <w:color w:val="202122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cancel: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2"/>
          <w:sz w:val="24"/>
          <w:szCs w:val="24"/>
          <w:highlight w:val="white"/>
        </w:rPr>
        <w:drawing>
          <wp:inline distB="114300" distT="114300" distL="114300" distR="114300">
            <wp:extent cx="1438275" cy="219075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100" w:before="100" w:lineRule="auto"/>
        <w:ind w:left="0" w:firstLine="0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Dividing both sides by 2 produces a common form of the equation:</w:t>
      </w:r>
    </w:p>
    <w:p w:rsidR="00000000" w:rsidDel="00000000" w:rsidP="00000000" w:rsidRDefault="00000000" w:rsidRPr="00000000" w14:paraId="00000016">
      <w:pPr>
        <w:spacing w:after="140" w:before="40" w:lineRule="auto"/>
        <w:ind w:left="0" w:firstLine="0"/>
        <w:rPr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2"/>
          <w:sz w:val="24"/>
          <w:szCs w:val="24"/>
          <w:highlight w:val="white"/>
        </w:rPr>
        <w:drawing>
          <wp:inline distB="114300" distT="114300" distL="114300" distR="114300">
            <wp:extent cx="1371600" cy="35242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00" w:before="100" w:lineRule="auto"/>
        <w:ind w:left="0" w:firstLine="0"/>
        <w:rPr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An alternate form results from re-inserting the substitution: </w:t>
      </w:r>
      <w:r w:rsidDel="00000000" w:rsidR="00000000" w:rsidRPr="00000000">
        <w:rPr>
          <w:b w:val="1"/>
          <w:bCs w:val="1"/>
          <w:color w:val="202122"/>
          <w:sz w:val="24"/>
          <w:szCs w:val="24"/>
          <w:highlight w:val="white"/>
        </w:rPr>
        <w:drawing>
          <wp:inline distB="114300" distT="114300" distL="114300" distR="114300">
            <wp:extent cx="1457325" cy="21907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40" w:before="40" w:lineRule="auto"/>
        <w:ind w:left="1780" w:firstLine="0"/>
        <w:rPr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2"/>
          <w:sz w:val="24"/>
          <w:szCs w:val="24"/>
          <w:highlight w:val="white"/>
        </w:rPr>
        <w:drawing>
          <wp:inline distB="114300" distT="114300" distL="114300" distR="114300">
            <wp:extent cx="1876425" cy="35242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100" w:before="100" w:lineRule="auto"/>
        <w:ind w:left="0" w:firstLine="0"/>
        <w:rPr>
          <w:color w:val="6aa84f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Reference: 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​​</w:t>
      </w:r>
      <w:hyperlink r:id="rId19">
        <w:r w:rsidDel="00000000" w:rsidR="00000000" w:rsidRPr="00000000">
          <w:rPr>
            <w:color w:val="6aa84f"/>
            <w:sz w:val="24"/>
            <w:szCs w:val="24"/>
            <w:highlight w:val="white"/>
            <w:u w:val="single"/>
            <w:rtl w:val="0"/>
          </w:rPr>
          <w:t xml:space="preserve">https://en.wikipedia.org/wiki/Arithmetic_progression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b w:val="1"/>
          <w:bCs w:val="1"/>
          <w:color w:val="333333"/>
          <w:sz w:val="24"/>
          <w:szCs w:val="24"/>
          <w:highlight w:val="white"/>
          <w:rtl w:val="0"/>
        </w:rPr>
        <w:t xml:space="preserve">eometric Progression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hd w:fill="ffffff" w:val="clear"/>
        <w:spacing w:after="100" w:before="100" w:lineRule="auto"/>
        <w:rPr>
          <w:color w:val="202122"/>
          <w:sz w:val="24"/>
          <w:szCs w:val="24"/>
        </w:rPr>
      </w:pPr>
      <w:r w:rsidDel="00000000" w:rsidR="00000000" w:rsidRPr="00000000">
        <w:rPr>
          <w:color w:val="202122"/>
          <w:sz w:val="24"/>
          <w:szCs w:val="24"/>
          <w:rtl w:val="0"/>
        </w:rPr>
        <w:t xml:space="preserve">A geometric progression, also known as a geometric sequence, is a </w:t>
      </w:r>
      <w:hyperlink r:id="rId20">
        <w:r w:rsidDel="00000000" w:rsidR="00000000" w:rsidRPr="00000000">
          <w:rPr>
            <w:color w:val="0645ad"/>
            <w:sz w:val="24"/>
            <w:szCs w:val="24"/>
            <w:rtl w:val="0"/>
          </w:rPr>
          <w:t xml:space="preserve">sequence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 of non-zero </w:t>
      </w:r>
      <w:hyperlink r:id="rId21">
        <w:r w:rsidDel="00000000" w:rsidR="00000000" w:rsidRPr="00000000">
          <w:rPr>
            <w:color w:val="0645ad"/>
            <w:sz w:val="24"/>
            <w:szCs w:val="24"/>
            <w:rtl w:val="0"/>
          </w:rPr>
          <w:t xml:space="preserve">numbers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 where each term after the first is found by multiplying the previous one by a fixed, non-zero number called the </w:t>
      </w:r>
      <w:r w:rsidDel="00000000" w:rsidR="00000000" w:rsidRPr="00000000">
        <w:rPr>
          <w:i w:val="1"/>
          <w:iCs w:val="1"/>
          <w:color w:val="202122"/>
          <w:sz w:val="24"/>
          <w:szCs w:val="24"/>
          <w:rtl w:val="0"/>
        </w:rPr>
        <w:t xml:space="preserve">common ratio</w:t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shd w:fill="ffffff" w:val="clear"/>
        <w:spacing w:after="100" w:before="100" w:lineRule="auto"/>
        <w:rPr>
          <w:color w:val="202122"/>
          <w:sz w:val="24"/>
          <w:szCs w:val="24"/>
        </w:rPr>
      </w:pPr>
      <w:r w:rsidDel="00000000" w:rsidR="00000000" w:rsidRPr="00000000">
        <w:rPr>
          <w:color w:val="202122"/>
          <w:sz w:val="24"/>
          <w:szCs w:val="24"/>
          <w:rtl w:val="0"/>
        </w:rPr>
        <w:t xml:space="preserve">For example, the sequence 2, 6, 18, 54, ... is a geometric progression with common ratio 3. Similarly 10, 5, 2.5, 1.25, ... is a geometric sequence with a common ratio 1/2.</w:t>
      </w:r>
    </w:p>
    <w:p w:rsidR="00000000" w:rsidDel="00000000" w:rsidP="00000000" w:rsidRDefault="00000000" w:rsidRPr="00000000" w14:paraId="00000020">
      <w:pPr>
        <w:shd w:fill="ffffff" w:val="clear"/>
        <w:spacing w:after="100" w:before="10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The general form of a geometric sequence is </w:t>
      </w:r>
      <w:r w:rsidDel="00000000" w:rsidR="00000000" w:rsidRPr="00000000">
        <w:rPr>
          <w:color w:val="202122"/>
          <w:sz w:val="24"/>
          <w:szCs w:val="24"/>
          <w:highlight w:val="white"/>
        </w:rPr>
        <w:drawing>
          <wp:inline distB="114300" distT="114300" distL="114300" distR="114300">
            <wp:extent cx="1885950" cy="228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where </w:t>
      </w:r>
      <w:r w:rsidDel="00000000" w:rsidR="00000000" w:rsidRPr="00000000">
        <w:rPr>
          <w:i w:val="1"/>
          <w:iCs w:val="1"/>
          <w:color w:val="202122"/>
          <w:sz w:val="24"/>
          <w:szCs w:val="24"/>
          <w:highlight w:val="white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highlight w:val="white"/>
          <w:rtl w:val="0"/>
        </w:rPr>
        <w:t xml:space="preserve"> ≠ 0 is the common ratio and </w:t>
      </w:r>
      <w:r w:rsidDel="00000000" w:rsidR="00000000" w:rsidRPr="00000000">
        <w:rPr>
          <w:i w:val="1"/>
          <w:iCs w:val="1"/>
          <w:color w:val="202122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highlight w:val="white"/>
          <w:rtl w:val="0"/>
        </w:rPr>
        <w:t xml:space="preserve"> ≠ 0 is a </w:t>
      </w:r>
      <w:hyperlink r:id="rId23">
        <w:r w:rsidDel="00000000" w:rsidR="00000000" w:rsidRPr="00000000">
          <w:rPr>
            <w:color w:val="0645ad"/>
            <w:sz w:val="24"/>
            <w:szCs w:val="24"/>
            <w:highlight w:val="white"/>
            <w:rtl w:val="0"/>
          </w:rPr>
          <w:t xml:space="preserve">scale factor</w:t>
        </w:r>
      </w:hyperlink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, equal to the sequence's start value.</w:t>
      </w:r>
    </w:p>
    <w:p w:rsidR="00000000" w:rsidDel="00000000" w:rsidP="00000000" w:rsidRDefault="00000000" w:rsidRPr="00000000" w14:paraId="00000021">
      <w:pPr>
        <w:shd w:fill="ffffff" w:val="clear"/>
        <w:spacing w:after="100" w:before="10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100" w:before="10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i w:val="1"/>
          <w:iCs w:val="1"/>
          <w:color w:val="202122"/>
          <w:sz w:val="24"/>
          <w:szCs w:val="24"/>
          <w:highlight w:val="white"/>
          <w:rtl w:val="0"/>
        </w:rPr>
        <w:t xml:space="preserve">n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-th term of a geometric sequence with initial value </w:t>
      </w:r>
      <w:r w:rsidDel="00000000" w:rsidR="00000000" w:rsidRPr="00000000">
        <w:rPr>
          <w:i w:val="1"/>
          <w:iCs w:val="1"/>
          <w:color w:val="202122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= </w:t>
      </w:r>
      <w:r w:rsidDel="00000000" w:rsidR="00000000" w:rsidRPr="00000000">
        <w:rPr>
          <w:i w:val="1"/>
          <w:iCs w:val="1"/>
          <w:color w:val="202122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color w:val="202122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and common ratio </w:t>
      </w:r>
      <w:r w:rsidDel="00000000" w:rsidR="00000000" w:rsidRPr="00000000">
        <w:rPr>
          <w:i w:val="1"/>
          <w:iCs w:val="1"/>
          <w:color w:val="202122"/>
          <w:sz w:val="24"/>
          <w:szCs w:val="24"/>
          <w:highlight w:val="white"/>
          <w:rtl w:val="0"/>
        </w:rPr>
        <w:t xml:space="preserve">r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is given by </w:t>
      </w:r>
    </w:p>
    <w:p w:rsidR="00000000" w:rsidDel="00000000" w:rsidP="00000000" w:rsidRDefault="00000000" w:rsidRPr="00000000" w14:paraId="00000023">
      <w:pPr>
        <w:shd w:fill="ffffff" w:val="clear"/>
        <w:spacing w:after="100" w:before="100" w:lineRule="auto"/>
        <w:rPr>
          <w:color w:val="202122"/>
          <w:sz w:val="24"/>
          <w:szCs w:val="24"/>
        </w:rPr>
      </w:pPr>
      <w:r w:rsidDel="00000000" w:rsidR="00000000" w:rsidRPr="00000000">
        <w:rPr>
          <w:color w:val="202122"/>
          <w:sz w:val="24"/>
          <w:szCs w:val="24"/>
          <w:highlight w:val="white"/>
        </w:rPr>
        <w:drawing>
          <wp:inline distB="114300" distT="114300" distL="114300" distR="114300">
            <wp:extent cx="923925" cy="228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100" w:before="10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100" w:before="100" w:lineRule="auto"/>
        <w:rPr/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Reference: </w:t>
      </w:r>
      <w:hyperlink r:id="rId25">
        <w:r w:rsidDel="00000000" w:rsidR="00000000" w:rsidRPr="00000000">
          <w:rPr>
            <w:color w:val="6aa84f"/>
            <w:sz w:val="24"/>
            <w:szCs w:val="24"/>
            <w:highlight w:val="white"/>
            <w:u w:val="single"/>
            <w:rtl w:val="0"/>
          </w:rPr>
          <w:t xml:space="preserve">https://en.wikipedia.org/wiki/Geometric_progression</w:t>
        </w:r>
      </w:hyperlink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2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900238" cy="396452"/>
          <wp:effectExtent b="0" l="0" r="0" t="0"/>
          <wp:docPr id="14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>
                    <a:alphaModFix amt="58999"/>
                  </a:blip>
                  <a:srcRect b="34943" l="13461" r="11858" t="37500"/>
                  <a:stretch>
                    <a:fillRect/>
                  </a:stretch>
                </pic:blipFill>
                <pic:spPr>
                  <a:xfrm>
                    <a:off x="0" y="0"/>
                    <a:ext cx="1900238" cy="3964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n.wikipedia.org/wiki/Sequence" TargetMode="External"/><Relationship Id="rId22" Type="http://schemas.openxmlformats.org/officeDocument/2006/relationships/image" Target="media/image6.png"/><Relationship Id="rId21" Type="http://schemas.openxmlformats.org/officeDocument/2006/relationships/hyperlink" Target="https://en.wikipedia.org/wiki/Number" TargetMode="External"/><Relationship Id="rId24" Type="http://schemas.openxmlformats.org/officeDocument/2006/relationships/image" Target="media/image2.png"/><Relationship Id="rId23" Type="http://schemas.openxmlformats.org/officeDocument/2006/relationships/hyperlink" Target="https://en.wikipedia.org/wiki/Scale_facto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header" Target="header1.xml"/><Relationship Id="rId25" Type="http://schemas.openxmlformats.org/officeDocument/2006/relationships/hyperlink" Target="https://en.wikipedia.org/wiki/Geometric_progress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Sequence" TargetMode="External"/><Relationship Id="rId7" Type="http://schemas.openxmlformats.org/officeDocument/2006/relationships/hyperlink" Target="https://en.wikipedia.org/wiki/Number" TargetMode="External"/><Relationship Id="rId8" Type="http://schemas.openxmlformats.org/officeDocument/2006/relationships/image" Target="media/image11.png"/><Relationship Id="rId11" Type="http://schemas.openxmlformats.org/officeDocument/2006/relationships/image" Target="media/image15.png"/><Relationship Id="rId10" Type="http://schemas.openxmlformats.org/officeDocument/2006/relationships/image" Target="media/image5.png"/><Relationship Id="rId13" Type="http://schemas.openxmlformats.org/officeDocument/2006/relationships/image" Target="media/image13.png"/><Relationship Id="rId12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image" Target="media/image14.png"/><Relationship Id="rId19" Type="http://schemas.openxmlformats.org/officeDocument/2006/relationships/hyperlink" Target="https://en.wikipedia.org/wiki/Arithmetic_progression#:~:text=An%20arithmetic%20progression%20or%20arithmetic,a%20common%20difference%20of%202" TargetMode="External"/><Relationship Id="rId18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