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eastAsia="黑体" w:hAnsi="Arial"/>
          <w:b/>
          <w:bCs/>
          <w:sz w:val="44"/>
          <w:szCs w:val="44"/>
        </w:rPr>
        <w:t xml:space="preserve">校园活动协同与资源调度系统</w:t>
      </w:r>
    </w:p>
    <w:p>
      <w:pPr>
        <w:spacing w:after="1200"/>
        <w:jc w:val="center"/>
      </w:pPr>
      <w:r>
        <w:rPr>
          <w:rFonts w:ascii="Arial" w:eastAsia="黑体" w:hAnsi="Arial"/>
          <w:b/>
          <w:bCs/>
          <w:sz w:val="56"/>
          <w:szCs w:val="56"/>
        </w:rPr>
        <w:t xml:space="preserve">软件测试计划</w:t>
      </w:r>
    </w:p>
    <w:p>
      <w:pPr>
        <w:spacing w:after="160"/>
        <w:jc w:val="center"/>
      </w:pPr>
      <w:r>
        <w:rPr>
          <w:rFonts w:ascii="Times New Roman" w:eastAsia="宋体" w:hAnsi="Times New Roman"/>
          <w:sz w:val="28"/>
          <w:szCs w:val="28"/>
        </w:rPr>
        <w:t xml:space="preserve">课程名称：软件综合实践</w:t>
      </w:r>
    </w:p>
    <w:p>
      <w:pPr>
        <w:spacing w:after="160"/>
        <w:jc w:val="center"/>
      </w:pPr>
      <w:r>
        <w:rPr>
          <w:rFonts w:ascii="Times New Roman" w:eastAsia="宋体" w:hAnsi="Times New Roman"/>
          <w:sz w:val="28"/>
          <w:szCs w:val="28"/>
        </w:rPr>
        <w:t xml:space="preserve">项目性质：六人协作课程设计</w:t>
      </w:r>
    </w:p>
    <w:p>
      <w:pPr>
        <w:spacing w:after="160"/>
        <w:jc w:val="center"/>
      </w:pPr>
      <w:r>
        <w:rPr>
          <w:rFonts w:ascii="Times New Roman" w:eastAsia="宋体" w:hAnsi="Times New Roman"/>
          <w:sz w:val="28"/>
          <w:szCs w:val="28"/>
        </w:rPr>
        <w:t xml:space="preserve">开发周期：5周</w:t>
      </w:r>
    </w:p>
    <w:p>
      <w:pPr>
        <w:spacing w:after="160"/>
        <w:jc w:val="center"/>
      </w:pPr>
      <w:r>
        <w:rPr>
          <w:rFonts w:ascii="Times New Roman" w:eastAsia="宋体" w:hAnsi="Times New Roman"/>
          <w:sz w:val="28"/>
          <w:szCs w:val="28"/>
        </w:rPr>
        <w:t xml:space="preserve">测试经理：汤雨润（55230316）</w:t>
      </w:r>
    </w:p>
    <w:p>
      <w:pPr>
        <w:spacing w:after="160"/>
        <w:jc w:val="center"/>
      </w:pPr>
      <w:r>
        <w:rPr>
          <w:rFonts w:ascii="Times New Roman" w:eastAsia="宋体" w:hAnsi="Times New Roman"/>
          <w:sz w:val="28"/>
          <w:szCs w:val="28"/>
        </w:rPr>
        <w:t xml:space="preserve">项目成员：冀项阳、冯玉琪、黄方勇、汤雨润、杨瀚霖、杨畅</w:t>
      </w:r>
    </w:p>
    <w:p>
      <w:pPr>
        <w:spacing w:after="160"/>
        <w:jc w:val="center"/>
      </w:pPr>
      <w:r>
        <w:rPr>
          <w:rFonts w:ascii="Times New Roman" w:eastAsia="宋体" w:hAnsi="Times New Roman"/>
          <w:sz w:val="28"/>
          <w:szCs w:val="28"/>
        </w:rPr>
        <w:t xml:space="preserve">编制日期：2026年10月16日</w:t>
      </w:r>
    </w:p>
    <w:p>
      <w:pPr>
        <w:spacing w:after="160"/>
        <w:jc w:val="center"/>
      </w:pPr>
      <w:r>
        <w:rPr>
          <w:rFonts w:ascii="Times New Roman" w:eastAsia="宋体" w:hAnsi="Times New Roman"/>
          <w:sz w:val="28"/>
          <w:szCs w:val="28"/>
        </w:rPr>
        <w:t xml:space="preserve">文档版本：v1.0</w:t>
      </w:r>
    </w:p>
    <w:p>
      <w:r>
        <w:br w:type="page"/>
      </w:r>
    </w:p>
    <w:p>
      <w:pPr>
        <w:spacing w:after="320"/>
        <w:jc w:val="center"/>
      </w:pPr>
      <w:r>
        <w:rPr>
          <w:rFonts w:ascii="Arial" w:eastAsia="黑体" w:hAnsi="Arial"/>
          <w:b/>
          <w:bCs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 简介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1.1 目的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1.2 背景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1.3 范围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1.4 项目核实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">
            <w:r>
              <w:t xml:space="preserve">2 测试需求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2.1 功能性测试需求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2.2 用户界面测试需求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2.3 性能评测需求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2.4 安全性和访问控制测试需求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2.5 安装测试需求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2.6 其他测试需求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3 测试策略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3.1 测试类型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3.2 工具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6">
            <w:r>
              <w:t xml:space="preserve">4 资源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4.1 角色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4.2 系统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5 项目里程碑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0">
            <w:r>
              <w:t xml:space="preserve">6 可交付工件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6.1 测试模型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2">
            <w:r>
              <w:t xml:space="preserve">6.2 测试记录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3">
            <w:r>
              <w:t xml:space="preserve">6.3 缺陷报告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4">
            <w:r>
              <w:t xml:space="preserve">附录A 项目任务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20"/>
      </w:pPr>
      <w:bookmarkStart w:name="_Toc1" w:id="1"/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1 简介</w:t>
      </w:r>
      <w:bookmarkEnd w:id="1"/>
    </w:p>
    <w:p>
      <w:pPr>
        <w:pStyle w:val="Heading2"/>
        <w:spacing w:after="160" w:before="240"/>
      </w:pPr>
      <w:bookmarkStart w:name="_Toc2" w:id="2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1.1 目的</w:t>
      </w:r>
      <w:bookmarkEnd w:id="2"/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本测试计划用于传达项目测试活动的意图，实现以下目标：确定应测试的软件构件；列出推荐的测试需求；推荐测试策略并加以说明；确定所需资源并估计测试工作量；列出测试项目的可交付元素。最终用户代表用它核实测试策略是否适当，客户和涉众核实测试需求与覆盖，系统集成员和实施员核实与开发计划的一致性，测试设计员将其作为测试设计的输入。</w:t>
      </w:r>
    </w:p>
    <w:p>
      <w:pPr>
        <w:pStyle w:val="Heading2"/>
        <w:spacing w:after="160" w:before="240"/>
      </w:pPr>
      <w:bookmarkStart w:name="_Toc3" w:id="3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1.2 背景</w:t>
      </w:r>
      <w:bookmarkEnd w:id="3"/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校园活动协同与资源调度系统覆盖活动申请、审批、场地与设备联合预约、报名、改期、取消、通知与记录查询，以申请人、批准人、管理员三类角色组织权限，以教师、学生两类身份区分资源申请资格，将身份资格、业务审批与资源可用性结合判断。</w:t>
      </w:r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核心业务要求：改期时预约、报名、审计与通知在同一事务内原子切换；报名容量受并发竞争仍保持正确；调度提供 FIRST_FIT 与 RANKED 两种策略并可比较调整代价。系统为前后端分离架构（Java 21 / Spring Boot + PostgreSQL/Flyway + Vue 3/TypeScript），以 Docker Compose 部署。</w:t>
      </w:r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项目为六人协作的五周课程设计，按 M0 工程基础、M1 模块实现、M2 首次预约闭环、M3 改期闭环、M4 回归与交付推进；测试与开发同步，本计划为主测试计划。</w:t>
      </w:r>
    </w:p>
    <w:p>
      <w:pPr>
        <w:pStyle w:val="Heading2"/>
        <w:spacing w:after="160" w:before="240"/>
      </w:pPr>
      <w:bookmarkStart w:name="_Toc4" w:id="4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1.3 范围</w:t>
      </w:r>
      <w:bookmarkEnd w:id="4"/>
    </w:p>
    <w:p>
      <w:pPr>
        <w:spacing w:after="120" w:line="32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测试阶段：</w:t>
      </w:r>
      <w:r>
        <w:rPr>
          <w:rFonts w:ascii="Times New Roman" w:eastAsia="宋体" w:hAnsi="Times New Roman"/>
          <w:sz w:val="24"/>
          <w:szCs w:val="24"/>
        </w:rPr>
        <w:t xml:space="preserve">单元测试（各模块自身逻辑）、集成测试（跨模块数据库与 HTTP 集成、契约一致性）、系统测试（浏览器端到端与策略评测）、验收测试（30 个验收场景与发布演练）。</w:t>
      </w:r>
    </w:p>
    <w:p>
      <w:pPr>
        <w:spacing w:after="120" w:line="32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测试类型：</w:t>
      </w:r>
      <w:r>
        <w:rPr>
          <w:rFonts w:ascii="Times New Roman" w:eastAsia="宋体" w:hAnsi="Times New Roman"/>
          <w:sz w:val="24"/>
          <w:szCs w:val="24"/>
        </w:rPr>
        <w:t xml:space="preserve">功能、数据和数据库完整性、业务周期、用户界面、性能评测、强度、安全性和访问控制、故障转移和恢复、配置、安装测试；负载测试不实施（见 3.1.6）。</w:t>
      </w:r>
    </w:p>
    <w:p>
      <w:pPr>
        <w:spacing w:after="120" w:line="32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将接受测试：</w:t>
      </w:r>
      <w:r>
        <w:rPr>
          <w:rFonts w:ascii="Times New Roman" w:eastAsia="宋体" w:hAnsi="Times New Roman"/>
          <w:sz w:val="24"/>
          <w:szCs w:val="24"/>
        </w:rPr>
        <w:t xml:space="preserve">登录与权限、活动创建与审批链、资源占用与冲突判定、报名与容量、改期与回滚、取消与并发保护、通知一致性、调度策略、界面交互、数据约束、部署安装与升级迁移。</w:t>
      </w:r>
    </w:p>
    <w:p>
      <w:pPr>
        <w:spacing w:after="120" w:line="32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不接受测试：</w:t>
      </w:r>
      <w:r>
        <w:rPr>
          <w:rFonts w:ascii="Times New Roman" w:eastAsia="宋体" w:hAnsi="Times New Roman"/>
          <w:sz w:val="24"/>
          <w:szCs w:val="24"/>
        </w:rPr>
        <w:t xml:space="preserve">候补、签到、归还验收、统计报表等首版不实现项；不接校园统一身份、短信与支付通道。</w:t>
      </w:r>
    </w:p>
    <w:p>
      <w:pPr>
        <w:spacing w:after="120" w:line="32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假设：</w:t>
      </w:r>
      <w:r>
        <w:rPr>
          <w:rFonts w:ascii="Times New Roman" w:eastAsia="宋体" w:hAnsi="Times New Roman"/>
          <w:sz w:val="24"/>
          <w:szCs w:val="24"/>
        </w:rPr>
        <w:t xml:space="preserve">演示产品按任务包业务规则执行；测试用固定业务时钟（2030-10-19T00:00:00Z）与固定演示日期（2030-10-20），数据集固定可重复装载。</w:t>
      </w:r>
    </w:p>
    <w:p>
      <w:pPr>
        <w:spacing w:after="120" w:line="32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风险：</w:t>
      </w:r>
      <w:r>
        <w:rPr>
          <w:rFonts w:ascii="Times New Roman" w:eastAsia="宋体" w:hAnsi="Times New Roman"/>
          <w:sz w:val="24"/>
          <w:szCs w:val="24"/>
        </w:rPr>
        <w:t xml:space="preserve">公共基础工程交付进度影响集成测试起跑；前端界面与测试标识交付影响端到端测试；改期事务原子性是最大技术风险。</w:t>
      </w:r>
    </w:p>
    <w:p>
      <w:pPr>
        <w:spacing w:after="120" w:line="32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约束：</w:t>
      </w:r>
      <w:r>
        <w:rPr>
          <w:rFonts w:ascii="Times New Roman" w:eastAsia="宋体" w:hAnsi="Times New Roman"/>
          <w:sz w:val="24"/>
          <w:szCs w:val="24"/>
        </w:rPr>
        <w:t xml:space="preserve">五周课程周期、单机演示规模；禁止用 Mock 冒充联调结果；端到端测试禁止连接真实部署库。</w:t>
      </w:r>
    </w:p>
    <w:p>
      <w:pPr>
        <w:pStyle w:val="Heading2"/>
        <w:spacing w:after="160" w:before="240"/>
      </w:pPr>
      <w:bookmarkStart w:name="_Toc5" w:id="5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1.4 项目核实</w:t>
      </w:r>
      <w:bookmarkEnd w:id="5"/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下表列出了制定本测试计划时所使用的文档及其可用性：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1180"/>
        <w:gridCol w:w="1520"/>
        <w:gridCol w:w="1500"/>
        <w:gridCol w:w="2500"/>
      </w:tblGrid>
      <w:tr>
        <w:tc>
          <w:tcPr>
            <w:tcW w:type="dxa" w:w="2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文档（版本/日期）</w:t>
            </w:r>
          </w:p>
        </w:tc>
        <w:tc>
          <w:tcPr>
            <w:tcW w:type="dxa" w:w="11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已创建或可用</w:t>
            </w:r>
          </w:p>
        </w:tc>
        <w:tc>
          <w:tcPr>
            <w:tcW w:type="dxa" w:w="15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已被接收或已经过复审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作者或来源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备注</w:t>
            </w:r>
          </w:p>
        </w:tc>
      </w:tr>
      <w:tr>
        <w:tc>
          <w:tcPr>
            <w:tcW w:type="dxa" w:w="2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需求规约（software-requirements.md v1.1）</w:t>
            </w:r>
          </w:p>
        </w:tc>
        <w:tc>
          <w:tcPr>
            <w:tcW w:type="dxa" w:w="11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AN 冯玉琪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FR-01～25、NFR-01～30</w:t>
            </w:r>
          </w:p>
        </w:tc>
      </w:tr>
      <w:tr>
        <w:tc>
          <w:tcPr>
            <w:tcW w:type="dxa" w:w="2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补充规范（supplementary-specification.md）</w:t>
            </w:r>
          </w:p>
        </w:tc>
        <w:tc>
          <w:tcPr>
            <w:tcW w:type="dxa" w:w="11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AN 冯玉琪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非功能需求</w:t>
            </w:r>
          </w:p>
        </w:tc>
      </w:tr>
      <w:tr>
        <w:tc>
          <w:tcPr>
            <w:tcW w:type="dxa" w:w="2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用例报告（use-cases.md）</w:t>
            </w:r>
          </w:p>
        </w:tc>
        <w:tc>
          <w:tcPr>
            <w:tcW w:type="dxa" w:w="11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AN 冯玉琪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UC-01～20</w:t>
            </w:r>
          </w:p>
        </w:tc>
      </w:tr>
      <w:tr>
        <w:tc>
          <w:tcPr>
            <w:tcW w:type="dxa" w:w="2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项目计划（initial/detailed-project-plan）</w:t>
            </w:r>
          </w:p>
        </w:tc>
        <w:tc>
          <w:tcPr>
            <w:tcW w:type="dxa" w:w="11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PM 冀项阳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五周 M0～M4</w:t>
            </w:r>
          </w:p>
        </w:tc>
      </w:tr>
      <w:tr>
        <w:tc>
          <w:tcPr>
            <w:tcW w:type="dxa" w:w="2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设计规约（system-design/database-design）</w:t>
            </w:r>
          </w:p>
        </w:tc>
        <w:tc>
          <w:tcPr>
            <w:tcW w:type="dxa" w:w="11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DS 黄方勇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22 表结构</w:t>
            </w:r>
          </w:p>
        </w:tc>
      </w:tr>
      <w:tr>
        <w:tc>
          <w:tcPr>
            <w:tcW w:type="dxa" w:w="2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数据与接口契约（任务包 02 v3.0）</w:t>
            </w:r>
          </w:p>
        </w:tc>
        <w:tc>
          <w:tcPr>
            <w:tcW w:type="dxa" w:w="11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任务包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40 接口</w:t>
            </w:r>
          </w:p>
        </w:tc>
      </w:tr>
      <w:tr>
        <w:tc>
          <w:tcPr>
            <w:tcW w:type="dxa" w:w="2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验收场景（任务包 03 v3.0）</w:t>
            </w:r>
          </w:p>
        </w:tc>
        <w:tc>
          <w:tcPr>
            <w:tcW w:type="dxa" w:w="11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任务包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D-AT×24、N-AT×6</w:t>
            </w:r>
          </w:p>
        </w:tc>
      </w:tr>
      <w:tr>
        <w:tc>
          <w:tcPr>
            <w:tcW w:type="dxa" w:w="2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原型（docs/ui/prototype）</w:t>
            </w:r>
          </w:p>
        </w:tc>
        <w:tc>
          <w:tcPr>
            <w:tcW w:type="dxa" w:w="11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部分</w:t>
            </w:r>
          </w:p>
        </w:tc>
        <w:tc>
          <w:tcPr>
            <w:tcW w:type="dxa" w:w="15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否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UI 杨畅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原型图待补</w:t>
            </w:r>
          </w:p>
        </w:tc>
      </w:tr>
      <w:tr>
        <w:tc>
          <w:tcPr>
            <w:tcW w:type="dxa" w:w="2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用户手册（用户界面说明文档）</w:t>
            </w:r>
          </w:p>
        </w:tc>
        <w:tc>
          <w:tcPr>
            <w:tcW w:type="dxa" w:w="11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部分</w:t>
            </w:r>
          </w:p>
        </w:tc>
        <w:tc>
          <w:tcPr>
            <w:tcW w:type="dxa" w:w="15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否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UI 杨畅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随 UI 迭代完善</w:t>
            </w:r>
          </w:p>
        </w:tc>
      </w:tr>
      <w:tr>
        <w:tc>
          <w:tcPr>
            <w:tcW w:type="dxa" w:w="2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业务规则（business-rules.md）</w:t>
            </w:r>
          </w:p>
        </w:tc>
        <w:tc>
          <w:tcPr>
            <w:tcW w:type="dxa" w:w="11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AN 冯玉琪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BR-01～32</w:t>
            </w:r>
          </w:p>
        </w:tc>
      </w:tr>
      <w:tr>
        <w:tc>
          <w:tcPr>
            <w:tcW w:type="dxa" w:w="2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数据模型（database-design、demo.json）</w:t>
            </w:r>
          </w:p>
        </w:tc>
        <w:tc>
          <w:tcPr>
            <w:tcW w:type="dxa" w:w="11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DS/QA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演示数据集已校验</w:t>
            </w:r>
          </w:p>
        </w:tc>
      </w:tr>
      <w:tr>
        <w:tc>
          <w:tcPr>
            <w:tcW w:type="dxa" w:w="2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风险评估（详细计划风险清单）</w:t>
            </w:r>
          </w:p>
        </w:tc>
        <w:tc>
          <w:tcPr>
            <w:tcW w:type="dxa" w:w="11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2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是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PM 冀项阳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含应对措施</w:t>
            </w:r>
          </w:p>
        </w:tc>
      </w:tr>
    </w:tbl>
    <w:p>
      <w:pPr>
        <w:spacing w:after="80"/>
      </w:pPr>
    </w:p>
    <w:p>
      <w:pPr>
        <w:pStyle w:val="Heading1"/>
        <w:spacing w:after="200" w:before="320"/>
      </w:pPr>
      <w:bookmarkStart w:name="_Toc6" w:id="6"/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2 测试需求</w:t>
      </w:r>
      <w:bookmarkEnd w:id="6"/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测试需求来源于用例（UC-01～20）、功能需求（FR-01～25）、非功能需求（NFR-01～30）、业务规则（BR-01～32）与验收场景（D-AT-01～24、N-AT-01～06）；逐条追踪映射见测试设计文档与覆盖矩阵。</w:t>
      </w:r>
    </w:p>
    <w:p>
      <w:pPr>
        <w:pStyle w:val="Heading2"/>
        <w:spacing w:after="160" w:before="240"/>
      </w:pPr>
      <w:bookmarkStart w:name="_Toc7" w:id="7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2.1 功能性测试需求</w:t>
      </w:r>
      <w:bookmarkEnd w:id="7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登录与访问控制：登录/错密码/停用令牌 401、响应不含口令散列（D-AT-01）；跨角色越权 403（D-AT-02）；日历脱敏与名单保护（D-AT-21）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活动全流程：新建→编辑→提交→批准→资源确认→发布（D-AT-03）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资源占用与冲突判定：相邻占用共存、布场边界冲突、错峰峰值计算、缺件冲突提示、自身占用排除（D-AT-04～06、13）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并发与幂等：两活动抢同资源恰一成功（D-AT-07）、幂等重放与键冲突（D-AT-08）、旧版本号拒绝（D-AT-20）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改期闭环：预览冲突与代价（D-AT-09）、确认链原子切换（D-AT-10）、拒绝保留原安排（D-AT-11）、预览后被抢占（D-AT-12）、异常回滚（D-AT-14）、报名冻结（D-AT-15）、故障降级 AT_RISK（D-AT-18）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报名与取消：容量 1 对 20 并发抢名额（D-AT-16）、取消幂等与取消/改期竞争（D-AT-17）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通知一致性：消费失败恢复与重复消费去重（D-AT-19）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持久化与发布：刷新/重启后状态来自真实持久化（D-AT-23）、干净环境发布演练（D-AT-24）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调度策略：FIRST_FIT 与 RANKED 在 300 候选下的结果与调整代价对比（D-AT-22）</w:t>
      </w:r>
    </w:p>
    <w:p>
      <w:pPr>
        <w:pStyle w:val="Heading2"/>
        <w:spacing w:after="160" w:before="240"/>
      </w:pPr>
      <w:bookmarkStart w:name="_Toc8" w:id="8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2.2 用户界面测试需求</w:t>
      </w:r>
      <w:bookmarkEnd w:id="8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页面路由、布局与视觉变量符合界面规范；四个核心交互（预约、改期、取消、审批）可操作且状态反馈正确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三视口（1366×768、1920×1080、390×844）下无溢出、无遮挡、对比度可读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元素具备约定 data-testid（12 公共 + 10 扩展），支撑端到端定位；异常场景提示准确</w:t>
      </w:r>
    </w:p>
    <w:p>
      <w:pPr>
        <w:pStyle w:val="Heading2"/>
        <w:spacing w:after="160" w:before="240"/>
      </w:pPr>
      <w:bookmarkStart w:name="_Toc9" w:id="9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2.3 性能评测需求</w:t>
      </w:r>
      <w:bookmarkEnd w:id="9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记录 8 个固定场景下两调度策略的执行耗时（elapsedMs）与调整代价三元组，比较同成功率下代价差异（D-AT-22）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20 并发报名及并发取消/改期下事务正确完成，无超卖与死锁（D-AT-07、16、17）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单用户基线与多用户并发两种工作量下的响应表现；如实记录实测值，不承诺毫秒级指标</w:t>
      </w:r>
    </w:p>
    <w:p>
      <w:pPr>
        <w:pStyle w:val="Heading2"/>
        <w:spacing w:after="160" w:before="240"/>
      </w:pPr>
      <w:bookmarkStart w:name="_Toc10" w:id="10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2.4 安全性和访问控制测试需求</w:t>
      </w:r>
      <w:bookmarkEnd w:id="10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各角色仅能访问授权功能与数据，越权调用被拒绝（D-AT-01、02、21）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四层校验：角色→独立身份→资源资格（allowTeacher/allowStudent）→审批/管理范围（N-AT-01～06）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申请人不得审批本人申请（回避，N-AT-05）；未登录或令牌失效拒绝访问</w:t>
      </w:r>
    </w:p>
    <w:p>
      <w:pPr>
        <w:pStyle w:val="Heading2"/>
        <w:spacing w:after="160" w:before="240"/>
      </w:pPr>
      <w:bookmarkStart w:name="_Toc11" w:id="11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2.5 安装测试需求</w:t>
      </w:r>
      <w:bookmarkEnd w:id="11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首次安装：干净环境经 Compose 启动→初始化 SQL→迁移→数据导入→冒烟验证（D-AT-24）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升级迁移：已有数据环境执行升级迁移，验证数据保留与结构正确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异常条件（端口占用、初始化失败）下安装可诊断、可重试</w:t>
      </w:r>
    </w:p>
    <w:p>
      <w:pPr>
        <w:pStyle w:val="Heading2"/>
        <w:spacing w:after="160" w:before="240"/>
      </w:pPr>
      <w:bookmarkStart w:name="_Toc12" w:id="12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2.6 其他测试需求</w:t>
      </w:r>
      <w:bookmarkEnd w:id="12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数据完整性：22 张表的约束/外键/索引按契约生效；异常事务回滚后无残留（D-AT-14、17）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业务周期：活动时间、开放区间、改期期限等时间规则以固定业务时钟验证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配置：多视口与部署配置组合下功能可用</w:t>
      </w:r>
    </w:p>
    <w:p>
      <w:pPr>
        <w:pStyle w:val="Heading1"/>
        <w:spacing w:after="200" w:before="320"/>
      </w:pPr>
      <w:bookmarkStart w:name="_Toc13" w:id="13"/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3 测试策略</w:t>
      </w:r>
      <w:bookmarkEnd w:id="13"/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本节说明如何对测试对象进行测试：每种测试给出测试说明与实施理由；不实施的测试用一句话说明理由。</w:t>
      </w:r>
    </w:p>
    <w:p>
      <w:pPr>
        <w:pStyle w:val="Heading2"/>
        <w:spacing w:after="160" w:before="240"/>
      </w:pPr>
      <w:bookmarkStart w:name="_Toc14" w:id="14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3.1 测试类型</w:t>
      </w:r>
      <w:bookmarkEnd w:id="14"/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3.1.1 数据和数据库完整性测试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测试目标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确保数据库访问方法和进程正常运行，数据不遭损坏。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技术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调用数据库方法并填充有效/无效数据；直接检查数据库确认数据按预期填充；回滚前后快照比较。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完成标准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所有访问方法按设计运行，22 张表约束/外键/索引按契约生效，数据无损坏。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需考虑的特殊事项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在测试库隔离 schema 中进行，仅清理自建 schema，不经用户界面。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3.1.2 功能测试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测试目标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确保功能正常，包括导航、数据输入、处理和检索。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技术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以有效/无效数据执行各用例流：有效数据得预期结果；无效数据报相应错误；业务规则正确应用。以真实数据库与后端执行。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完成标准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所计划的测试已全部执行；所发现的缺陷已全部解决。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需考虑的特殊事项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30 个验收场景为验收基准；断言核对持久化状态与数量，不停留于 HTTP 状态码。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3.1.3 业务周期测试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测试目标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确保时间相关规则（活动时间、开放区间、改期期限）正确运行。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技术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以固定业务时钟与演示日期构造时间场景，含有效与无效时间数据。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完成标准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时间相关测试全部执行且符合业务规则，缺陷全部解决。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需考虑的特殊事项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禁止修改操作系统时间；依赖测试支撑的固定时钟注入。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3.1.4 用户界面测试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测试目标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核实界面导航正确反映业务功能与需求，窗口对象特征符合界面规范。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技术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以 Playwright 创建窗口级测试，按 data-testid 定位执行断言。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完成标准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各窗口在三视口下与基准一致或符合可接受标准（无溢出、可读、可操作）。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需考虑的特殊事项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界面未完全定稿，以界面规范与 testid 清单为准，随 UI 交付滚动执行。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3.1.5 性能评测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测试目标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核实指定事务在正常预期与最繁重工作量下的性能行为。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技术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复用功能测试过程；并发负载由并发执行器（独立连接+起跑屏障）生成；评测记录真实耗时与调整代价。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完成标准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单事务与多事务（20 并发）在可接受时间内完成且无故障；评测原始结果可复现。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需考虑的特殊事项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演示规模如实记录实测耗时，不承诺毫秒级指标；评测须记录环境说明。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3.1.6 负载测试</w:t>
      </w:r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将不实施和执行负载测试：本期为课程演示规模，没有量化负载目标，该测试不合适。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3.1.7 强度测试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测试目标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核实资源争用条件下（多用户对相同数据执行相同事务）不出现数据错误。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技术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并发竞争场景：抢名额、并发取消、改期与取消竞争；独立事务连接制造真实并发。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完成标准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争用条件下无软件故障或数据不一致（超卖、重复预约）；异常条件已界定并记录。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需考虑的特殊事项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必须真实并发（独立连接+屏障），禁止单连接循环冒充并发。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3.1.8 安全性和访问控制测试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测试目标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核实各用户类型仅能访问授权功能或数据；仅授权用户可访问系统。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技术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列出用户类型与授权矩阵；以特有事务核实权限；调整资格/范围后重跑；越权断言拒绝。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完成标准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各用户类型访问与预期一致；越权访问在角色、身份、资格、范围四层全部被拒。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需考虑的特殊事项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覆盖三角色×两身份×资格×范围组合（N-AT-01～06）；需协调测试账号与数据。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3.1.9 故障转移和恢复测试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测试目标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确保恢复进程（自动回滚或补偿）将系统正确恢复到已知状态。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技术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在改期、取消、审批事务中注入异常（仅测试上下文），比较异常前后数据库快照；验证审计与通知无残留。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完成标准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恢复后返回已知预期状态，无数据残留；未完成事务有明确记录。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需考虑的特殊事项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单机演示环境不做多机故障转移；不提供公网制造故障接口。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3.1.10 配置测试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测试目标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核实测试对象在不同视口与部署配置组合中正常运行。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技术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功能脚本在 Chromium 三视口执行核心事务；验证 dev/e2e 部署配置差异不影响功能。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完成标准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各配置组合下事务全部成功完成，无布局溢出。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需考虑的特殊事项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以 Chromium 为主；其他浏览器按需用同一脚本扩展。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3.1.11 安装测试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测试目标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核实首次安装（全新环境）与更新（升级迁移）均正确，安装后立即可用。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技术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按发布说明执行：Compose 启动→初始化→迁移→数据导入→冒烟事务；升级场景核对数据保留。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完成标准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安装后核心事务成功执行；升级后数据完整、结构正确。</w:t>
            </w:r>
          </w:p>
        </w:tc>
      </w:tr>
      <w:tr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需考虑的特殊事项</w:t>
            </w:r>
          </w:p>
        </w:tc>
        <w:tc>
          <w:tcPr>
            <w:tcW w:type="dxa" w:w="73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异常条件下的安装诊断为可选项；以干净环境演练（D-AT-24）为准。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bookmarkStart w:name="_Toc15" w:id="15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3.2 工具</w:t>
      </w:r>
      <w:bookmarkEnd w:id="1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6"/>
        <w:gridCol w:w="1400"/>
        <w:gridCol w:w="1400"/>
      </w:tblGrid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用途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工具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厂商/自产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版本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测试管理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GitHub + Markdown 测试文档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开源/自产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缺陷跟踪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GitHub Issues + 缺陷登记表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GitHub/自产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单元与集成测试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JUnit 5 + Spring Boot Test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开源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5.x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端到端测试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Playwright（Chromium）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开源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性能评测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策略评测集成测试 + 汇总脚本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自产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契约检查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TypeScript 脚本 + openapi.yaml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自产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数据库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PostgreSQL + Flyway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开源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环境与部署</w:t>
            </w:r>
          </w:p>
        </w:tc>
        <w:tc>
          <w:tcPr>
            <w:tcW w:type="dxa" w:w="4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Docker Compose + Nginx + 检查脚本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开源/自产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1"/>
        <w:spacing w:after="200" w:before="320"/>
      </w:pPr>
      <w:bookmarkStart w:name="_Toc16" w:id="16"/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4 资源</w:t>
      </w:r>
      <w:bookmarkEnd w:id="16"/>
    </w:p>
    <w:p>
      <w:pPr>
        <w:pStyle w:val="Heading2"/>
        <w:spacing w:after="160" w:before="240"/>
      </w:pPr>
      <w:bookmarkStart w:name="_Toc17" w:id="17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4.1 角色</w:t>
      </w:r>
      <w:bookmarkEnd w:id="17"/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本项目测试人员配备方面的假定：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5126"/>
      </w:tblGrid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角色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最少资源</w:t>
            </w:r>
          </w:p>
        </w:tc>
        <w:tc>
          <w:tcPr>
            <w:tcW w:type="dxa" w:w="5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具体职责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测试经理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1（汤雨润 55230316）</w:t>
            </w:r>
          </w:p>
        </w:tc>
        <w:tc>
          <w:tcPr>
            <w:tcW w:type="dxa" w:w="5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管理监督、技术指导、资源获取、管理报告；编制测试计划与报告；判定覆盖；管理缺陷流转。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测试设计员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1（测试经理兼任）</w:t>
            </w:r>
          </w:p>
        </w:tc>
        <w:tc>
          <w:tcPr>
            <w:tcW w:type="dxa" w:w="5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确定测试用例与优先级；生成测试模型（测试设计/测试数据方案）；评估测试有效性。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测试员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6（全体成员）</w:t>
            </w:r>
          </w:p>
        </w:tc>
        <w:tc>
          <w:tcPr>
            <w:tcW w:type="dxa" w:w="5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执行本模块与验收测试；记录结果；从错误中恢复；记录变更请求。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测试系统管理员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1（杨瀚霖 55231031 兼任）</w:t>
            </w:r>
          </w:p>
        </w:tc>
        <w:tc>
          <w:tcPr>
            <w:tcW w:type="dxa" w:w="5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管理维护测试环境与资产（Compose 环境/脚本）；管理测试系统访问权。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数据库管理员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1（黄方勇 55230315 兼任）</w:t>
            </w:r>
          </w:p>
        </w:tc>
        <w:tc>
          <w:tcPr>
            <w:tcW w:type="dxa" w:w="5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管理测试数据环境与迁移脚本。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实施员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5（冀项阳、冯玉琪、黄方勇、杨瀚霖、杨畅）</w:t>
            </w:r>
          </w:p>
        </w:tc>
        <w:tc>
          <w:tcPr>
            <w:tcW w:type="dxa" w:w="51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实施测试类和测试包并做单元测试。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bookmarkStart w:name="_Toc18" w:id="18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4.2 系统</w:t>
      </w:r>
      <w:bookmarkEnd w:id="1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系统资源</w:t>
            </w:r>
          </w:p>
        </w:tc>
        <w:tc>
          <w:tcPr>
            <w:tcW w:type="dxa" w:w="66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名称/类型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数据库服务器</w:t>
            </w:r>
          </w:p>
        </w:tc>
        <w:tc>
          <w:tcPr>
            <w:tcW w:type="dxa" w:w="66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Docker 容器 PostgreSQL（测试库 campus_test；初始化 SQL + Flyway；每测试独立 schema）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应用服务器</w:t>
            </w:r>
          </w:p>
        </w:tc>
        <w:tc>
          <w:tcPr>
            <w:tcW w:type="dxa" w:w="66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本机 Docker Compose（后端 Java 21/Spring Boot:8080；E2E 独立测试项目 :8089，固定测试时钟）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客户端测试 PC</w:t>
            </w:r>
          </w:p>
        </w:tc>
        <w:tc>
          <w:tcPr>
            <w:tcW w:type="dxa" w:w="66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Chromium（Playwright），默认 1366×768，兼测 1920×1080、390×844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测试存储库</w:t>
            </w:r>
          </w:p>
        </w:tc>
        <w:tc>
          <w:tcPr>
            <w:tcW w:type="dxa" w:w="66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GitHub 配置库（qa/ 测试工程、test-data/ 数据、artifacts/ 证据、docs/testing/ 文档）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测试开发 PC</w:t>
            </w:r>
          </w:p>
        </w:tc>
        <w:tc>
          <w:tcPr>
            <w:tcW w:type="dxa" w:w="66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成员个人机（Java 21、Node.js 20+、Maven Wrapper、Git、Docker）</w:t>
            </w:r>
          </w:p>
        </w:tc>
      </w:tr>
    </w:tbl>
    <w:p>
      <w:pPr>
        <w:spacing w:after="80"/>
      </w:pPr>
    </w:p>
    <w:p>
      <w:pPr>
        <w:pStyle w:val="Heading1"/>
        <w:spacing w:after="200" w:before="320"/>
      </w:pPr>
      <w:bookmarkStart w:name="_Toc19" w:id="19"/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5 项目里程碑</w:t>
      </w:r>
      <w:bookmarkEnd w:id="19"/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测试活动的里程碑如下（按五周课程周期与 M0～M4 对应，具体以课程实际截止日期为准）：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363"/>
        <w:gridCol w:w="2363"/>
      </w:tblGrid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里程碑任务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工作量（人日）</w:t>
            </w:r>
          </w:p>
        </w:tc>
        <w:tc>
          <w:tcPr>
            <w:tcW w:type="dxa" w:w="236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开始日期</w:t>
            </w:r>
          </w:p>
        </w:tc>
        <w:tc>
          <w:tcPr>
            <w:tcW w:type="dxa" w:w="236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 xml:space="preserve">结束日期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制定测试计划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36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2026-10-13</w:t>
            </w:r>
          </w:p>
        </w:tc>
        <w:tc>
          <w:tcPr>
            <w:tcW w:type="dxa" w:w="236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2026-10-17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设计测试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36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2026-10-17</w:t>
            </w:r>
          </w:p>
        </w:tc>
        <w:tc>
          <w:tcPr>
            <w:tcW w:type="dxa" w:w="236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2026-10-24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实施测试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36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2026-10-20</w:t>
            </w:r>
          </w:p>
        </w:tc>
        <w:tc>
          <w:tcPr>
            <w:tcW w:type="dxa" w:w="236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2026-10-31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执行测试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36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2026-10-28</w:t>
            </w:r>
          </w:p>
        </w:tc>
        <w:tc>
          <w:tcPr>
            <w:tcW w:type="dxa" w:w="236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2026-11-06</w:t>
            </w:r>
          </w:p>
        </w:tc>
      </w:tr>
      <w:tr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对测试进行评估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36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2026-11-06</w:t>
            </w:r>
          </w:p>
        </w:tc>
        <w:tc>
          <w:tcPr>
            <w:tcW w:type="dxa" w:w="236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2026-11-09</w:t>
            </w:r>
          </w:p>
        </w:tc>
      </w:tr>
    </w:tbl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制定测试计划对应 M0；设计与实施测试对应 M1～M2；执行测试对应 M2～M3；测试评估对应 M4（测试报告、缺陷分析、发布演练）。</w:t>
      </w:r>
    </w:p>
    <w:p>
      <w:pPr>
        <w:spacing w:after="80"/>
      </w:pPr>
    </w:p>
    <w:p>
      <w:pPr>
        <w:pStyle w:val="Heading1"/>
        <w:spacing w:after="200" w:before="320"/>
      </w:pPr>
      <w:bookmarkStart w:name="_Toc20" w:id="20"/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6 可交付工件</w:t>
      </w:r>
      <w:bookmarkEnd w:id="20"/>
    </w:p>
    <w:p>
      <w:pPr>
        <w:pStyle w:val="Heading2"/>
        <w:spacing w:after="160" w:before="240"/>
      </w:pPr>
      <w:bookmarkStart w:name="_Toc21" w:id="21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6.1 测试模型</w:t>
      </w:r>
      <w:bookmarkEnd w:id="21"/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测试设计文档（用例与追踪映射）、测试数据方案、测试支撑组件（数据装载、固定时钟、并发执行器）、跨模块集成测试 8 项、端到端测试规格 7 项 29 例、契约检查与策略评测脚本。创建人：测试经理；交付对象：项目组与项目经理；随 M0～M2 交付。</w:t>
      </w:r>
    </w:p>
    <w:p>
      <w:pPr>
        <w:pStyle w:val="Heading2"/>
        <w:spacing w:after="160" w:before="240"/>
      </w:pPr>
      <w:bookmarkStart w:name="_Toc22" w:id="22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6.2 测试记录</w:t>
      </w:r>
      <w:bookmarkEnd w:id="22"/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执行结果与覆盖判定写入测试报告与覆盖矩阵，证据（输出、日志、截图、评测原始结果）存 artifacts/ 并登记于交接单。覆盖率按 Tx/RfT 与 Ts/RfT 口径统计。</w:t>
      </w:r>
    </w:p>
    <w:p>
      <w:pPr>
        <w:pStyle w:val="Heading2"/>
        <w:spacing w:after="160" w:before="240"/>
      </w:pPr>
      <w:bookmarkStart w:name="_Toc23" w:id="23"/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6.3 缺陷报告</w:t>
      </w:r>
      <w:bookmarkEnd w:id="23"/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以 GitHub Issues 为跟踪渠道、缺陷登记表为汇总；字段含标题、版本、环境、复现步骤、预期/实际、证据、严重程度（A～D）、接收人、状态（open/assign/test/close）。交付对象：项目经理与各模块负责人。</w:t>
      </w:r>
    </w:p>
    <w:p>
      <w:pPr>
        <w:pStyle w:val="Heading1"/>
        <w:spacing w:after="200" w:before="320"/>
      </w:pPr>
      <w:bookmarkStart w:name="_Toc24" w:id="24"/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附录A 项目任务</w:t>
      </w:r>
      <w:bookmarkEnd w:id="24"/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制定测试计划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确定测试需求、评估风险、制定测试策略、确定测试资源、创建时间表、生成测试计划</w:t>
      </w: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设计测试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准备工作量分析文档；确定并说明测试用例（正负配对）；确定测试过程结构；复审和评估测试覆盖</w:t>
      </w: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实施测试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创建测试脚本（集成/端到端/评测）；确定测试专用功能（测试支撑与固定时钟）；建立外部数据集（演示数据与 8 个评测场景）</w:t>
      </w: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执行测试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执行测试过程；评估执行情况；恢复暂停的测试；核实结果；调查意外结果；记录缺陷</w:t>
      </w:r>
    </w:p>
    <w:p>
      <w:pPr>
        <w:pStyle w:val="Heading3"/>
        <w:spacing w:after="120" w:before="200"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对测试进行评估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宋体" w:hAnsi="Times New Roman"/>
          <w:sz w:val="24"/>
          <w:szCs w:val="24"/>
        </w:rPr>
        <w:t xml:space="preserve">评估测试用例覆盖（Tx/RfT、Ts/RfT）与代码覆盖；分析缺陷；确定是否达到完成与成功标准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t xml:space="preserve">第 </w:t>
    </w: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宋体" w:hAnsi="Times New Roman"/>
        <w:color w:val="888888"/>
        <w:sz w:val="18"/>
        <w:szCs w:val="18"/>
      </w:rPr>
      <w:t xml:space="preserve">校园活动协同与资源调度系统——软件测试计划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eastAsia="黑体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eastAsia="黑体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eastAsia="黑体" w:hAnsi="Arial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2026-10-16T15:26:24.369Z</dcterms:created>
  <dcterms:modified xsi:type="dcterms:W3CDTF">2026-10-16T15:26:24.371Z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