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SC6113 小组作业报告 —— 集成测试、部署与最终整合（成员 E）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项目：Freelancer Milestone Payment DApp（自由职业者里程碑付款系统）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代码仓库：GitHub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Rito520/SC6113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　分支：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D-integration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（基线 commit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a0bcad1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报告日期：2026-10-15　撰写：成员 E（负责集成测试、系统测试、部署与最终整合）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分工背景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：成员 A 负责需求与功能规格，成员 B 负责智能合约，成员 C 负责后端 API 与链上回执核验，成员 D 负责前端与钱包集成，成员 E（本人）负责联调测试、系统测试、部署与最终整合。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第一部分　系统架构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1.1 架构图</w:t>
      </w:r>
    </w:p>
    <w:p>
      <w:pPr>
        <w:spacing w:after="60" w:before="16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SC6113 系统架构图" descr="SC6113 系统架构图" title="SC6113 系统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imes New Roman" w:eastAsia="宋体"/>
          <w:color w:val="4D4D4D"/>
          <w:sz w:val="18"/>
          <w:szCs w:val="18"/>
        </w:rPr>
        <w:t xml:space="preserve">SC6113 系统架构图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图中编号箭头 1-6 的含义见底部 Data flow 图例；右下角红框为集成测试发现的注意点（详见第二部分 §2.4 E-01）。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1.2 组件与职责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189"/>
        <w:gridCol w:w="3610"/>
        <w:gridCol w:w="3610"/>
      </w:tblGrid>
      <w:tr>
        <w:trPr>
          <w:cantSplit/>
          <w:tblHeader/>
        </w:trPr>
        <w:tc>
          <w:tcPr>
            <w:tcW w:type="dxa" w:w="118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组件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技术栈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前端（D）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React + TypeScript + Vite + wagmi/viem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三角色工作台界面；连接 MetaMask；本地组装规范 JSON 并计算哈希；发起链上交易；把交易回执与链下正文提交后端记录</w:t>
            </w:r>
          </w:p>
        </w:tc>
      </w:tr>
      <w:tr>
        <w:trPr>
          <w:cantSplit/>
        </w:trPr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后端（C）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Node.js + TypeScript + Express + SQLite（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node:sqlite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SIWE 风格签名鉴权（链上角色校验）；REST API；对每笔交易做链上回执核验（发送者、目标合约、函数参数哈希、金额、确认数）；核验通过才写入数据库；审计表（交易/事件/证据/争议）</w:t>
            </w:r>
          </w:p>
        </w:tc>
      </w:tr>
      <w:tr>
        <w:trPr>
          <w:cantSplit/>
        </w:trPr>
        <w:tc>
          <w:tcPr>
            <w:tcW w:type="dxa" w:w="118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智能合约（B）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Solidity 0.8.24 + Hardhat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RoleManager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（链上角色注册）、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ProjectEscrow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（项目托管与里程碑付款状态机）、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DisputeManager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（争议裁决与退款），32 项单元测试</w:t>
            </w:r>
          </w:p>
        </w:tc>
      </w:tr>
      <w:tr>
        <w:trPr>
          <w:cantSplit/>
        </w:trPr>
        <w:tc>
          <w:tcPr>
            <w:tcW w:type="dxa" w:w="118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本地区块链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Hardhat Network（chainId 31337）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演示与测试环境；instant mining</w:t>
            </w:r>
          </w:p>
        </w:tc>
      </w:tr>
    </w:tbl>
    <w:p>
      <w:pPr>
        <w:spacing w:after="120"/>
      </w:pP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1.3 核心数据流（一次典型操作）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用户在网页填写表单 → 前端组装规范 JSON 并计算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keccak256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哈希；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用户经 MetaMask 签名并把交易发送到链上合约；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前端把「交易哈希 + 链下正文」提交给后端 REST API；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后端到链上取回执，核对发送钱包、目标合约、函数参数、金额与确认数；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核验通过才写入 SQLite（交易表、事件表、项目/里程碑/争议状态）；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前端读取后端数据渲染界面与审计页。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这一「先上链、后核验、再入库」的设计保证数据库中的每条记录都有对应的链上交易支撑。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1.4 角色与权限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三个角色（Client / Freelancer / Arbitrator）均须在链上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RoleManager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注册后才能登录（后端登录时校验链上角色）。权限矩阵由合约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requireRole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与后端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requireRoles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双重强制：如仅 Client 可创建项目与注资、仅 Freelancer 可提交里程碑、仅 Arbitrator 可裁决争议。越权操作在合约层 revert，在后端层返回 403。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第二部分　测试报告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测试环境：Windows 11 / Node v22.14.0 / pnpm 12.11.2 / Hardhat 本地链（chainId 31337）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测试脚本：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backend/e2e/e2e-integration.mjs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（成员 E 编写；机器可读结果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backend/e2e/e2e-results.json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2.1 结论摘要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610"/>
        <w:gridCol w:w="3549"/>
      </w:tblGrid>
      <w:tr>
        <w:trPr>
          <w:cantSplit/>
          <w:tblHeader/>
        </w:trPr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层级</w:t>
            </w:r>
          </w:p>
        </w:tc>
        <w:tc>
          <w:tcPr>
            <w:tcW w:type="dxa" w:w="3549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 合约单元测试</w:t>
            </w:r>
          </w:p>
        </w:tc>
        <w:tc>
          <w:tcPr>
            <w:tcW w:type="dxa" w:w="35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32/32 通过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 后端 API 测试</w:t>
            </w:r>
          </w:p>
        </w:tc>
        <w:tc>
          <w:tcPr>
            <w:tcW w:type="dxa" w:w="35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2/2 通过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 后端真实回执集成测试（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RUN_EVM_INTEGRATION=true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35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1/1 通过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 前端生产构建</w:t>
            </w:r>
          </w:p>
        </w:tc>
        <w:tc>
          <w:tcPr>
            <w:tcW w:type="dxa" w:w="354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成功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（194 modules，无类型错误）</w:t>
            </w:r>
          </w:p>
        </w:tc>
      </w:tr>
      <w:tr>
        <w:trPr>
          <w:cantSplit/>
        </w:trPr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 端到端联调测试（真实链 + 真实后端，17 用例）</w:t>
            </w:r>
          </w:p>
        </w:tc>
        <w:tc>
          <w:tcPr>
            <w:tcW w:type="dxa" w:w="3549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/>
                <w:bCs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17/17 通过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系统在本机 Hardhat + SQLite + MetaMask 兼容流程下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功能正确、权限正确、回执核验有效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。共发现 5 个问题（§2.4），其中 1 个前端缺陷（E-04）已由 E 修复并复测通过，1 个建议部署前修复（E-01），其余为环境操作项与文档缺口，均不阻塞本地演示。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2.2 基线测试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contracts; npm test                      # 32 passing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..\backend; pnpm typecheck; pnpm test    # 2 pass（+1 skipped 集成测试）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$env:RUN_EVM_INTEGRATION='true'; pnpm test  # 3 pass（含真实回执集成测试）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..\frontend; npm run build               # ✓ built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真实回执集成测试读取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RoleManager.rolesOf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、核对 acceptProject 回执的发送钱包/目标合约/函数参数/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ProjectAccepted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事件，全部通过——证明合约与后端在真实链上的连接成立。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2.3 端到端联调测试（17 用例，全部通过）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方法：测试脚本完全复刻前端的调用方式——相同合约函数、相同规范哈希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keccak256(JSON.stringify(…))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、相同 REST 请求体，在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CHAIN_MODE=evm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下对「MetaMask 交易 → 回执核验 → SQLite 记录」全链路验证。权限负例用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staticCall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模拟（零 gas、零链上副作用）。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323"/>
        <w:gridCol w:w="3610"/>
        <w:gridCol w:w="962"/>
      </w:tblGrid>
      <w:tr>
        <w:trPr>
          <w:cantSplit/>
          <w:tblHeader/>
        </w:trPr>
        <w:tc>
          <w:tcPr>
            <w:tcW w:type="dxa" w:w="1323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用例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覆盖点</w:t>
            </w:r>
          </w:p>
        </w:tc>
        <w:tc>
          <w:tcPr>
            <w:tcW w:type="dxa" w:w="962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结果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ENV-01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 health=evm、RPC chainId=31337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AUTH-01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三角色 nonce+签名登录、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/api/me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 链上角色正确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AUTH-02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未注册钱包 nonce 阶段 403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AUTH-03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篡改签名 401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Client 链上创建项目 → 后端回执核验后入库（2 里程碑、0.01 ETH）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未上链哈希被拒（409 TRANSACTION_NOT_MINED）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Freelancer 接受 → Client 注资 → ACTIVE、链上托管余额 = 0.01 ETH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越权操作（乙方注资/乙方建项目/甲方开工）均被合约拒绝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A-05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里程碑 1：start → submit → approve，状态 APPROVED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A-06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里程碑 2：submit → approve，项目 COMPLETED、托管清零、乙方余额净增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A-07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审计表：≥8 条交易记录 + 5 类链上事件正确落库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NEG-01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链上哈希 ≠ REST 正文哈希 → 422 拒绝且不写库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争议项目 create → accept → fund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B-02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submit → reject → resubmit → 乙方 raiseDispute，项目 DISPUTED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B-03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争议列表、证据提交、非当事方操作被拒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B-04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非仲裁员 403；仲裁员 resolve → RESOLVED、项目回 ACTIVE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  <w:tr>
        <w:trPr>
          <w:cantSplit/>
        </w:trPr>
        <w:tc>
          <w:tcPr>
            <w:tcW w:type="dxa" w:w="1323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C-01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未开工项目 cancel → CANCELLED、链上状态一致</w:t>
            </w:r>
          </w:p>
        </w:tc>
        <w:tc>
          <w:tcPr>
            <w:tcW w:type="dxa" w:w="962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PASS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覆盖说明——已覆盖：正常支付全闭环、拒绝-重提交、争议-证据-裁决、取消退款、角色/签名/哈希等负例、审计与事件落库。未覆盖：7 天静默自助领取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claimAfterReview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与 pause 管理路径（需时间旅行，合约单测已覆盖）；真实浏览器 MetaMask 弹窗交互（由 Demo 演示承担，操作指南见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E-DEMO-GUIDE.md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2.4 发现的问题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E-01（建议部署前修复）后端确认数校验存在时序窗口。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EvmBlockchainGateway.verifyAction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用默认轮询（约 4 秒）的 provider 计算确认数；在 Hardhat 瞬时出块下，交易刚挖出即提交核验会返回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409 INSUFFICIENT_CONFIRMATIONS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，2-4 秒后重试即成功。因核验失败发生在任何写库之前，重试安全、无重复记录（本轮测试共触发 18 次，重试后全部成功）。建议：对该路径改用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receipt.waitForConfirmations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或短暂等待后再判定。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E-02（环境操作项）演示数据库必须随新链重置。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旧 SQLite 中的项目占用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(chain_id, chain_project_id)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唯一索引，与重启后的新链项目 ID 冲突，会导致创建项目 500。重置流程（停后端 → 移走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backend/data/sc6113.db*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重启）已验证有效，见第三部分 §3.2。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E-03（文档缺口）README 引用的 </w:t>
      </w:r>
      <w:r>
        <w:rPr>
          <w:rFonts w:ascii="Consolas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.env.example</w:t>
      </w: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 在仓库中不存在。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按 README 执行复制命令会失败。已按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config.ts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默认值补建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；建议把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.env.example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提交进仓库。</w:t>
      </w:r>
    </w:p>
    <w:p>
      <w:pPr>
        <w:spacing w:after="60" w:before="120"/>
        <w:jc w:val="center"/>
      </w:pPr>
      <w:r>
        <w:rPr>
          <w:rFonts w:ascii="Times New Roman" w:eastAsia="宋体"/>
          <w:b/>
          <w:bCs/>
          <w:color w:val="4D4D4D"/>
          <w:sz w:val="24"/>
          <w:szCs w:val="24"/>
        </w:rPr>
        <w:t xml:space="preserve">E-04（前端缺陷，已修复）争议链上 ID 解析字段名错误，导致仲裁/举证必然失败。** `frontend/src/services/api/index.ts` 从 `DisputeRaised` 事件重建 `chainDisputeId` 时读取 `args.milestoneIndex`，而合约事件参数名为 `index`，匹配永远失败 → 前端以 id=0 调用 `resolveDispute`/`submitEvidence`，合约 revert。已将字段名改为 `args.index`，复测争议全流程（含仲裁 RESOLVED）通过。**该修复需随分支提交。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E-05（前端小缺陷，建议修复）项目详情页整页刷新首次加载 401。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整页刷新直达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/projects/:id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时，详情页数据加载先于会话 token 恢复执行，首个请求 401，需再次导航才恢复；SPA 内点击导航不受影响。建议详情页在会话就绪后再发起加载。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说明项（设计使然，非缺陷）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GET /api/disputes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不返回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chainDisputeId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，前端从事件解析；回执核验被拒时链上与数据库状态有意保持分叉（链上已发生、库中不记录），由后续业务动作收敛。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2.5 复现方式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终端1：contracts → npm run node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终端2：contracts → $env:SEED_DEMO='true'; npm run deploy:localhost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终端3：backend  → pnpm start（需先有 .env，见 E-03）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终端4：backend  → node e2e/e2e-integration.mjs</w:t>
      </w:r>
    </w:p>
    <w:p>
      <w:pPr>
        <w:spacing w:after="120"/>
      </w:pP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第三部分　部署说明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3.1 最终运行环境（本地演示环境）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2288"/>
        <w:gridCol w:w="3610"/>
        <w:gridCol w:w="1271"/>
      </w:tblGrid>
      <w:tr>
        <w:trPr>
          <w:cantSplit/>
          <w:tblHeader/>
        </w:trPr>
        <w:tc>
          <w:tcPr>
            <w:tcW w:type="dxa" w:w="2288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服务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地址</w:t>
            </w:r>
          </w:p>
        </w:tc>
        <w:tc>
          <w:tcPr>
            <w:tcW w:type="dxa" w:w="1271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状态</w:t>
            </w:r>
          </w:p>
        </w:tc>
      </w:tr>
      <w:tr>
        <w:trPr>
          <w:cantSplit/>
        </w:trP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Hardhat 本地链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http://127.0.0.1:8546（chainId 31337）</w:t>
            </w:r>
          </w:p>
        </w:tc>
        <w:tc>
          <w:tcPr>
            <w:tcW w:type="dxa" w:w="1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运行中</w:t>
            </w:r>
          </w:p>
        </w:tc>
      </w:tr>
      <w:tr>
        <w:trPr>
          <w:cantSplit/>
        </w:trPr>
        <w:tc>
          <w:tcPr>
            <w:tcW w:type="dxa" w:w="22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后端 REST API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http://localhost:3001（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CHAIN_MODE=evm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  <w:tc>
          <w:tcPr>
            <w:tcW w:type="dxa" w:w="127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运行中</w:t>
            </w:r>
          </w:p>
        </w:tc>
      </w:tr>
      <w:tr>
        <w:trPr>
          <w:cantSplit/>
        </w:trPr>
        <w:tc>
          <w:tcPr>
            <w:tcW w:type="dxa" w:w="2288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前端（Vite）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http://localhost:5173</w:t>
            </w:r>
          </w:p>
        </w:tc>
        <w:tc>
          <w:tcPr>
            <w:tcW w:type="dxa" w:w="1271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运行中</w:t>
            </w:r>
          </w:p>
        </w:tc>
      </w:tr>
    </w:tbl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合约地址（localhost 首次部署的确定性地址）：RoleManager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0x5FbDB2315678afecb367f032d93F642f64180aa3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、ProjectEscrow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0xe7f1725E7734CE288F8367e1Bb143E90bb3F0512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、DisputeManager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0x9fE46736679d2D9a65F0992F2272dE9f3c7fa6e0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演示角色（仅本地测试，勿用于真实资金）：Hardhat 账户 #1 = Client、#2 = Freelancer、#3 = Arbitrator（部署时经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SEED_DEMO=true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自动在链上注册角色）。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3.2 从零复现本地环境（四个终端）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前置：Node.js ≥ 22、npm、pnpm（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i -g pnpm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）、MetaMask 扩展。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 1：本地链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ci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node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 2：部署 + 播种角色（每次重启链后必须重做）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$env:SEED_DEMO='true'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deploy:localhost        # 生成 deployments/localhost.json 与 abi/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 3：后端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D-integration\backend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pnpm install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仓库缺 .env.example（见 E-03），手工创建 backend\.env：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CHAIN_MODE=evm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PORT=3001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FRONTEND_ORIGIN=http://localhost:5173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RPC_URL=http://127.0.0.1:8546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CHAIN_ID=31337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CHAIN_CONFIRMATIONS=0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ROLE_MANAGER_ADDRESS / PROJECT_ESCROW_ADDRESS / DISPUTE_MANAGER_ADDRESS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  （取自 deployments/localhost.json；首次部署与 §3.1 相同）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pnpm start                      # 演示建议 start（无 watch），避免文件变动触发重启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# 终端 4：前端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cd D-integration\frontend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ci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npm run dev                     # 前端直接读仓库内 localhost.json，无需 .env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验证：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http://localhost:3001/health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返回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{"status":"ok","chainMode":"evm"}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；浏览器打开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http://localhost:5173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MetaMask 配置：添加网络（RPC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http://127.0.0.1:8546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、Chain ID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31337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、符号 ETH）并切换到该网络；导入 Hardhat 启动时打印的 #1/#2/#3 私钥。若重启过链后 MetaMask nonce 异常：清除该网络的活动数据（Settings → Advanced → Clear activity tab data）后重连。</w:t>
      </w:r>
    </w:p>
    <w:p>
      <w:pPr>
        <w:pBdr>
          <w:left w:val="single" w:color="808080" w:sz="12" w:space="8"/>
        </w:pBdr>
        <w:spacing w:after="80" w:line="360"/>
        <w:ind w:left="320"/>
        <w:jc w:val="left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端口说明：仓库与 README 原默认 8545；因演示机 8545 被其他工具（Ganache）占用，本项目已整体改为 8546（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contracts/package.json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hardhat.config.js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backend/.env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4D4D4D"/>
          <w:sz w:val="24"/>
          <w:szCs w:val="24"/>
        </w:rPr>
        <w:t xml:space="preserve">、MetaMask 网络配置四处同步）。在其他机器复现时保持四处一致即可。</w:t>
      </w:r>
    </w:p>
    <w:p>
      <w:pPr>
        <w:pStyle w:val="Body"/>
        <w:jc w:val="both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重置流程（需要干净演示数据时）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：停后端与链 → 重启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run node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→ 重新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SEED_DEMO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部署 → 核对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localhost.json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与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地址一致 → 移走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backend/data/sc6113.db*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（改名即可，勿直接删除）→ 启动后端。旧库必须随新链重置，否则触发 E-02 的唯一索引冲突。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3.3 Sepolia 测试网部署方案（可选）</w:t>
      </w:r>
    </w:p>
    <w:p>
      <w:pPr>
        <w:pStyle w:val="Body"/>
        <w:jc w:val="both"/>
      </w:pP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hardhat.config.js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已内置 sepolia 网络（读取环境变量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SEPOLIA_RPC_URL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PRIVATE_KEY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）：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准备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：公开 RPC（Alchemy/Infura 免费档即可）、专用部署钱包私钥、少量 SepoliaETH（faucet 领取）、可选 Etherscan API key（合约验证）。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部署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cd contracts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$env:SEPOLIA_RPC_URL='https://…'; $env:PRIVATE_KEY='0x…'   # 勿提交</w:t>
      </w:r>
    </w:p>
    <w:p>
      <w:pPr>
        <w:shd w:fill="F5F5F5" w:val="clear"/>
        <w:spacing w:after="0" w:line="280"/>
        <w:ind w:left="240" w:right="240"/>
        <w:jc w:val="left"/>
      </w:pPr>
      <w:r>
        <w:rPr>
          <w:rFonts w:ascii="Consolas" w:eastAsia="宋体"/>
          <w:color w:val="000000"/>
          <w:sz w:val="21"/>
          <w:szCs w:val="21"/>
        </w:rPr>
        <w:t xml:space="preserve">   npx hardhat run scripts/deploy.js --network sepolia         # 不带 SEED_DEMO</w:t>
      </w:r>
    </w:p>
    <w:p>
      <w:pPr>
        <w:spacing w:after="120"/>
      </w:pP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角色改由真实演示钱包各自调用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registerAsClient/registerAsFreelancer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；仲裁员由部署钱包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grantRole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配置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：三个新合约地址写入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RPC_URL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改公开 RPC、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CHAIN_ID=11155111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CHAIN_CONFIRMATIONS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建议 ≥2）；前端更新地址配置；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FRONTEND_ORIGIN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设为前端公网域名。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后端托管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：单机 SQLite 仅适合演示；多实例需换托管数据库并补正式 migration；CORS 只放行前端域名。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前端托管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：Vercel/Netlify/GitHub Pages 静态托管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npm run build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产物。</w:t>
      </w:r>
    </w:p>
    <w:p>
      <w:pPr>
        <w:pStyle w:val="ListParagraph"/>
        <w:numPr>
          <w:ilvl w:val="0"/>
          <w:numId w:val="2"/>
        </w:numPr>
        <w:spacing w:after="60" w:line="360"/>
        <w:jc w:val="left"/>
      </w:pPr>
      <w:r>
        <w:rPr>
          <w:rFonts w:ascii="Times New Roman" w:eastAsia="宋体"/>
          <w:b/>
          <w:bCs/>
          <w:i w:val="false"/>
          <w:iCs w:val="false"/>
          <w:strike w:val="false"/>
          <w:color w:val="000000"/>
          <w:sz w:val="24"/>
          <w:szCs w:val="24"/>
        </w:rPr>
        <w:t xml:space="preserve">验收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/health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显示 evm 且 chainId 正确；用测试钱包走一遍创建→注资→提交→审批；Etherscan 可见合约与事件。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注意：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、私钥、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deployments/localhost.json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均不得提交；Sepolia 部署记录可另存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deployments/sepolia.json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 提交（属正式部署记录）。</w:t>
      </w:r>
    </w:p>
    <w:p>
      <w:pPr>
        <w:pStyle w:val="Heading1"/>
        <w:spacing w:after="200" w:before="360"/>
        <w:jc w:val="left"/>
      </w:pPr>
      <w:r>
        <w:rPr>
          <w:rFonts w:ascii="Times New Roman" w:eastAsia="黑体"/>
          <w:b/>
          <w:bCs/>
          <w:color w:val="000000"/>
          <w:sz w:val="32"/>
          <w:szCs w:val="32"/>
        </w:rPr>
        <w:t xml:space="preserve">3.4 提交规则（沿用仓库 .gitignore）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提交：源码、测试、lockfile、ABI、部署脚本、文档、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.env.example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（建议补充）、本报告。</w:t>
      </w:r>
    </w:p>
    <w:p>
      <w:pPr>
        <w:pStyle w:val="Body"/>
        <w:jc w:val="both"/>
      </w:pP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不提交：真实 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.env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、node_modules、dist、artifacts/cache、</w:t>
      </w:r>
      <w:r>
        <w:rPr>
          <w:rFonts w:ascii="Consolas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backend/data/*.db*</w:t>
      </w:r>
      <w:r>
        <w:rPr>
          <w:rFonts w:ascii="Times New Roman" w:eastAsia="宋体"/>
          <w:b w:val="false"/>
          <w:bCs w:val="false"/>
          <w:i w:val="false"/>
          <w:iCs w:val="false"/>
          <w:strike w:val="false"/>
          <w:color w:val="000000"/>
          <w:sz w:val="24"/>
          <w:szCs w:val="24"/>
        </w:rPr>
        <w:t xml:space="preserve">、localhost 部署生成物与演示回执、日志与私钥。</w:t>
      </w:r>
    </w:p>
    <w:p>
      <w:pPr>
        <w:pBdr>
          <w:bottom w:val="single" w:color="000000" w:sz="6" w:space="1"/>
        </w:pBdr>
        <w:spacing w:after="160" w:before="160"/>
      </w:pPr>
    </w:p>
    <w:p>
      <w:pPr>
        <w:pStyle w:val="Title"/>
        <w:spacing w:after="200" w:before="240"/>
        <w:jc w:val="center"/>
      </w:pPr>
      <w:r>
        <w:rPr>
          <w:rFonts w:ascii="Times New Roman" w:eastAsia="黑体"/>
          <w:b/>
          <w:bCs/>
          <w:color w:val="000000"/>
          <w:sz w:val="44"/>
          <w:szCs w:val="44"/>
        </w:rPr>
        <w:t xml:space="preserve">附录　交付物清单（成员 E）</w:t>
      </w:r>
    </w:p>
    <w:p>
      <w:pPr>
        <w:spacing w:before="8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3590"/>
        <w:gridCol w:w="3610"/>
      </w:tblGrid>
      <w:tr>
        <w:trPr>
          <w:cantSplit/>
          <w:tblHeader/>
        </w:trPr>
        <w:tc>
          <w:tcPr>
            <w:tcW w:type="dxa" w:w="359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交付物</w:t>
            </w:r>
          </w:p>
        </w:tc>
        <w:tc>
          <w:tcPr>
            <w:tcW w:type="dxa" w:w="3610"/>
            <w:tcBorders>
              <w:top w:val="single" w:color="000000" w:sz="12"/>
              <w:left w:val="none" w:color="FFFFFF" w:sz="0"/>
              <w:bottom w:val="single" w:color="000000" w:sz="6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黑体"/>
                <w:b/>
                <w:bCs/>
                <w:color w:val="000000"/>
                <w:sz w:val="21"/>
                <w:szCs w:val="21"/>
              </w:rPr>
              <w:t xml:space="preserve">文件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架构图（矢量/位图）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docs/E-architecture.svg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docs/E-architecture.png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测试报告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本报告第二部分（独立版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E-TEST-REPORT.md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部署说明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本报告第三部分（独立版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E-DEPLOYMENT.md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端到端联调测试脚本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backend/e2e/e2e-integration.mjs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（+ 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e2e-results.json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）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Demo 操作指南（含 17 张界面截图）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E-DEMO-GUIDE.md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docs/shots/</w:t>
            </w:r>
          </w:p>
        </w:tc>
      </w:tr>
      <w:tr>
        <w:trPr>
          <w:cantSplit/>
        </w:trPr>
        <w:tc>
          <w:tcPr>
            <w:tcW w:type="dxa" w:w="359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本报告</w:t>
            </w:r>
          </w:p>
        </w:tc>
        <w:tc>
          <w:tcPr>
            <w:tcW w:type="dxa" w:w="3610"/>
            <w:tcBorders>
              <w:top w:val="none" w:color="FFFFFF" w:sz="0"/>
              <w:left w:val="none" w:color="FFFFFF" w:sz="0"/>
              <w:bottom w:val="single" w:color="000000" w:sz="12"/>
              <w:right w:val="none" w:color="FFFFFF" w:sz="0"/>
            </w:tcBorders>
            <w:vAlign w:val="center"/>
          </w:tcPr>
          <w:p>
            <w:pPr>
              <w:spacing w:after="0" w:line="260"/>
              <w:jc w:val="center"/>
            </w:pP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E-FINAL-REPORT.md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（中文版）、</w:t>
            </w:r>
            <w:r>
              <w:rPr>
                <w:rFonts w:ascii="Consolas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E-FINAL-REPORT-EN.md</w:t>
            </w:r>
            <w:r>
              <w:rPr>
                <w:rFonts w:ascii="Times New Roman" w:eastAsia="宋体"/>
                <w:b w:val="false"/>
                <w:bCs w:val="false"/>
                <w:i w:val="false"/>
                <w:iCs w:val="false"/>
                <w:strike w:val="false"/>
                <w:color w:val="000000"/>
                <w:sz w:val="21"/>
                <w:szCs w:val="21"/>
              </w:rPr>
              <w:t xml:space="preserve">（英文版）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第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页，共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  <w:r>
      <w:rPr>
        <w:color w:val="808080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宋体"/>
        <w:color w:val="808080"/>
        <w:sz w:val="18"/>
        <w:szCs w:val="18"/>
      </w:rPr>
      <w:t xml:space="preserve">SC6113 小组作业报告 —— 集成测试、部署与最终整合（成员 E）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  <w:lvl w:ilvl="2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  <w:lvl w:ilvl="1" w15:tentative="1">
      <w:start w:val="1"/>
      <w:numFmt w:val="decimal"/>
      <w:lvlText w:val="%2."/>
      <w:lvlJc w:val="left"/>
      <w:pPr>
        <w:ind w:left="840" w:hanging="300"/>
      </w:pPr>
    </w:lvl>
    <w:lvl w:ilvl="2" w15:tentative="1">
      <w:start w:val="1"/>
      <w:numFmt w:val="decimal"/>
      <w:lvlText w:val="%3."/>
      <w:lvlJc w:val="left"/>
      <w:pPr>
        <w:ind w:left="12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/>
        <w:color w:val="000000"/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40"/>
      <w:jc w:val="center"/>
    </w:pPr>
    <w:rPr>
      <w:rFonts w:ascii="Times New Roman" w:eastAsia="黑体"/>
      <w:b/>
      <w:bCs/>
      <w:color w:val="000000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200" w:before="360"/>
      <w:jc w:val="left"/>
      <w:outlineLvl w:val="0"/>
    </w:pPr>
    <w:rPr>
      <w:rFonts w:ascii="Times New Roman" w:eastAsia="黑体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jc w:val="left"/>
      <w:outlineLvl w:val="1"/>
    </w:pPr>
    <w:rPr>
      <w:rFonts w:ascii="Times New Roman" w:eastAsia="黑体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jc w:val="left"/>
      <w:outlineLvl w:val="2"/>
    </w:pPr>
    <w:rPr>
      <w:rFonts w:ascii="Times New Roman" w:eastAsia="黑体"/>
      <w:b/>
      <w:bCs/>
      <w:color w:val="000000"/>
      <w:sz w:val="24"/>
      <w:szCs w:val="24"/>
    </w:rPr>
  </w:style>
  <w:style w:type="paragraph" w:styleId="Body">
    <w:name w:val="Body"/>
    <w:basedOn w:val="Normal"/>
    <w:pPr>
      <w:spacing w:after="120" w:line="360"/>
      <w:ind w:firstLine="480"/>
      <w:jc w:val="both"/>
    </w:pPr>
    <w:rPr>
      <w:rFonts w:ascii="Times New Roman" w:eastAsia="宋体"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624da7a1b8bbb11ed84674ceb491535769c14a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2026-10-16T05:21:47.187Z</dcterms:created>
  <dcterms:modified xsi:type="dcterms:W3CDTF">2026-10-16T05:21:47.190Z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