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в трёх случаях в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p>
      <w:pPr>
        <w:pStyle w:val="BodyText"/>
      </w:pPr>
      <w:r>
        <w:t xml:space="preserve">Более подробно о модели гармонического осциллятора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рис. ?? представлен код, реализованный на Julia, для первого случая. На рис. ?? и рис. ?? представлены график решения и фазовый портрет.</w:t>
      </w:r>
    </w:p>
    <w:p>
      <w:pPr>
        <w:pStyle w:val="CaptionedFigure"/>
      </w:pPr>
      <w:r>
        <w:drawing>
          <wp:inline>
            <wp:extent cx="5334000" cy="2920673"/>
            <wp:effectExtent b="0" l="0" r="0" t="0"/>
            <wp:docPr descr="Код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случая на Julia</w:t>
      </w:r>
    </w:p>
    <w:p>
      <w:pPr>
        <w:pStyle w:val="CaptionedFigure"/>
      </w:pPr>
      <w:r>
        <w:drawing>
          <wp:inline>
            <wp:extent cx="5334000" cy="3572639"/>
            <wp:effectExtent b="0" l="0" r="0" t="0"/>
            <wp:docPr descr="Решение первого случая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первого случая на Julia</w:t>
      </w:r>
    </w:p>
    <w:p>
      <w:pPr>
        <w:pStyle w:val="CaptionedFigure"/>
      </w:pPr>
      <w:r>
        <w:drawing>
          <wp:inline>
            <wp:extent cx="5334000" cy="3520439"/>
            <wp:effectExtent b="0" l="0" r="0" t="0"/>
            <wp:docPr descr="Портрет перв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Портрет первого случая на Julia</w:t>
      </w:r>
    </w:p>
    <w:p>
      <w:pPr>
        <w:pStyle w:val="BodyText"/>
      </w:pPr>
      <w:r>
        <w:t xml:space="preserve">На рис. ?? представлен код, реализованный на Julia, для второго случая. На рис. ?? и рис. ?? представлены график решения и фазовый портрет.</w:t>
      </w:r>
    </w:p>
    <w:p>
      <w:pPr>
        <w:pStyle w:val="CaptionedFigure"/>
      </w:pPr>
      <w:r>
        <w:drawing>
          <wp:inline>
            <wp:extent cx="5334000" cy="2935074"/>
            <wp:effectExtent b="0" l="0" r="0" t="0"/>
            <wp:docPr descr="Код второго случая на Juli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случая на Julia</w:t>
      </w:r>
    </w:p>
    <w:p>
      <w:pPr>
        <w:pStyle w:val="CaptionedFigure"/>
      </w:pPr>
      <w:r>
        <w:drawing>
          <wp:inline>
            <wp:extent cx="5334000" cy="3548859"/>
            <wp:effectExtent b="0" l="0" r="0" t="0"/>
            <wp:docPr descr="Решение второго случая на Juli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второго случая на Julia</w:t>
      </w:r>
    </w:p>
    <w:p>
      <w:pPr>
        <w:pStyle w:val="CaptionedFigure"/>
      </w:pPr>
      <w:r>
        <w:drawing>
          <wp:inline>
            <wp:extent cx="5334000" cy="3558386"/>
            <wp:effectExtent b="0" l="0" r="0" t="0"/>
            <wp:docPr descr="Портрет второго случая на Julia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Портрет второго случая на Julia</w:t>
      </w:r>
    </w:p>
    <w:p>
      <w:pPr>
        <w:pStyle w:val="BodyText"/>
      </w:pPr>
      <w:r>
        <w:t xml:space="preserve">На рис. ?? представлен код, реализованный на Julia, для третьего случая. На рис. ?? и рис. ?? представлены график решения и фазовый портрет.</w:t>
      </w:r>
    </w:p>
    <w:p>
      <w:pPr>
        <w:pStyle w:val="CaptionedFigure"/>
      </w:pPr>
      <w:r>
        <w:drawing>
          <wp:inline>
            <wp:extent cx="5334000" cy="3113152"/>
            <wp:effectExtent b="0" l="0" r="0" t="0"/>
            <wp:docPr descr="Код третьего случая на Juli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третьего случая на Julia</w:t>
      </w:r>
    </w:p>
    <w:p>
      <w:pPr>
        <w:pStyle w:val="CaptionedFigure"/>
      </w:pPr>
      <w:r>
        <w:drawing>
          <wp:inline>
            <wp:extent cx="5334000" cy="3510715"/>
            <wp:effectExtent b="0" l="0" r="0" t="0"/>
            <wp:docPr descr="Решение третьего случая на Julia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третьего случая на Julia</w:t>
      </w:r>
    </w:p>
    <w:p>
      <w:pPr>
        <w:pStyle w:val="CaptionedFigure"/>
      </w:pPr>
      <w:r>
        <w:drawing>
          <wp:inline>
            <wp:extent cx="5334000" cy="3548859"/>
            <wp:effectExtent b="0" l="0" r="0" t="0"/>
            <wp:docPr descr="Портрет третьего случая на Julia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Портрет третьего случая на Julia</w:t>
      </w:r>
    </w:p>
    <w:p>
      <w:pPr>
        <w:pStyle w:val="BodyText"/>
      </w:pPr>
      <w:r>
        <w:t xml:space="preserve">На рис. ?? представлен код, реализованный на OpenModelica, для первого случая. На рис. ?? и рис. ?? представлены график решения и фазовый портрет.</w:t>
      </w:r>
    </w:p>
    <w:p>
      <w:pPr>
        <w:pStyle w:val="CaptionedFigure"/>
      </w:pPr>
      <w:r>
        <w:drawing>
          <wp:inline>
            <wp:extent cx="5186722" cy="2727831"/>
            <wp:effectExtent b="0" l="0" r="0" t="0"/>
            <wp:docPr descr="Код первого случая на OpenModelica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случая на OpenModelica</w:t>
      </w:r>
    </w:p>
    <w:p>
      <w:pPr>
        <w:pStyle w:val="CaptionedFigure"/>
      </w:pPr>
      <w:r>
        <w:drawing>
          <wp:inline>
            <wp:extent cx="5334000" cy="3337060"/>
            <wp:effectExtent b="0" l="0" r="0" t="0"/>
            <wp:docPr descr="Решение первого случая на OpenModelica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первого случая на OpenModelica</w:t>
      </w:r>
    </w:p>
    <w:p>
      <w:pPr>
        <w:pStyle w:val="CaptionedFigure"/>
      </w:pPr>
      <w:r>
        <w:drawing>
          <wp:inline>
            <wp:extent cx="5334000" cy="3441636"/>
            <wp:effectExtent b="0" l="0" r="0" t="0"/>
            <wp:docPr descr="Портрет первого случая на OpenModelica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Портрет первого случая на OpenModelica</w:t>
      </w:r>
    </w:p>
    <w:p>
      <w:pPr>
        <w:pStyle w:val="BodyText"/>
      </w:pPr>
      <w:r>
        <w:t xml:space="preserve">На рис. ?? представлен код, реализованный на OpenModelica, для второго случая. На рис. ?? и рис. ?? представлены график решения и фазовый портрет.</w:t>
      </w:r>
    </w:p>
    <w:p>
      <w:pPr>
        <w:pStyle w:val="CaptionedFigure"/>
      </w:pPr>
      <w:r>
        <w:drawing>
          <wp:inline>
            <wp:extent cx="5309667" cy="2405102"/>
            <wp:effectExtent b="0" l="0" r="0" t="0"/>
            <wp:docPr descr="Код второго случая на OpenModelica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случая на OpenModelica</w:t>
      </w:r>
    </w:p>
    <w:p>
      <w:pPr>
        <w:pStyle w:val="CaptionedFigure"/>
      </w:pPr>
      <w:r>
        <w:drawing>
          <wp:inline>
            <wp:extent cx="5334000" cy="3189785"/>
            <wp:effectExtent b="0" l="0" r="0" t="0"/>
            <wp:docPr descr="Решение второго случая на OpenModelica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второго случая на OpenModelica</w:t>
      </w:r>
    </w:p>
    <w:p>
      <w:pPr>
        <w:pStyle w:val="CaptionedFigure"/>
      </w:pPr>
      <w:r>
        <w:drawing>
          <wp:inline>
            <wp:extent cx="5334000" cy="3359035"/>
            <wp:effectExtent b="0" l="0" r="0" t="0"/>
            <wp:docPr descr="Портрет второго случая на OpenModelica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Портрет второго случая на OpenModelica</w:t>
      </w:r>
    </w:p>
    <w:p>
      <w:pPr>
        <w:pStyle w:val="BodyText"/>
      </w:pPr>
      <w:r>
        <w:t xml:space="preserve">На рис. ?? представлен код, реализованный на Julia, для третьего случая. На рис. ?? и рис. ?? представлены график решения и фазовый портрет.</w:t>
      </w:r>
    </w:p>
    <w:p>
      <w:pPr>
        <w:pStyle w:val="CaptionedFigure"/>
      </w:pPr>
      <w:r>
        <w:drawing>
          <wp:inline>
            <wp:extent cx="5334000" cy="2545427"/>
            <wp:effectExtent b="0" l="0" r="0" t="0"/>
            <wp:docPr descr="Код третьего случая на OpenModelica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третьего случая на OpenModelica</w:t>
      </w:r>
    </w:p>
    <w:p>
      <w:pPr>
        <w:pStyle w:val="CaptionedFigure"/>
      </w:pPr>
      <w:r>
        <w:drawing>
          <wp:inline>
            <wp:extent cx="5334000" cy="3299490"/>
            <wp:effectExtent b="0" l="0" r="0" t="0"/>
            <wp:docPr descr="Решение третьего случая на OpenModelica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третьего случая на OpenModelica</w:t>
      </w:r>
    </w:p>
    <w:p>
      <w:pPr>
        <w:pStyle w:val="CaptionedFigure"/>
      </w:pPr>
      <w:r>
        <w:drawing>
          <wp:inline>
            <wp:extent cx="5334000" cy="3337742"/>
            <wp:effectExtent b="0" l="0" r="0" t="0"/>
            <wp:docPr descr="Портрет третьего случая на OpenModelica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Портрет третьего случая на OpenModelica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выполнена полностью и без ошибок. Код можно прокачать, но жить можно.</w:t>
      </w:r>
    </w:p>
    <w:bookmarkEnd w:id="78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Start w:id="80" w:name="ref-martinson:2002:physic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Л. К. Мартинсон Е.В.С.</w:t>
      </w:r>
      <w:r>
        <w:t xml:space="preserve"> </w:t>
      </w:r>
      <w:hyperlink r:id="rId79">
        <w:r>
          <w:rPr>
            <w:rStyle w:val="Hyperlink"/>
          </w:rPr>
          <w:t xml:space="preserve">Физика в техническом университете. Том 5</w:t>
        </w:r>
      </w:hyperlink>
      <w:r>
        <w:t xml:space="preserve">. МГТУ им. Н.Э.Баумана, 2002.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9" Target="http://fn.bmstu.ru/data-physics/library/physbook/tom5/ch4/texthtml/ch4_5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fn.bmstu.ru/data-physics/library/physbook/tom5/ch4/texthtml/ch4_5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Аникин Константин Сергеевич</dc:creator>
  <dc:language>ru-RU</dc:language>
  <cp:keywords/>
  <dcterms:created xsi:type="dcterms:W3CDTF">2023-03-01T17:24:16Z</dcterms:created>
  <dcterms:modified xsi:type="dcterms:W3CDTF">2023-03-01T17:24:16Z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