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об эпидемии в Julia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</w:t>
      </w:r>
    </w:p>
    <w:p>
      <w:pPr>
        <w:numPr>
          <w:ilvl w:val="0"/>
          <w:numId w:val="1001"/>
        </w:numPr>
        <w:pStyle w:val="Compact"/>
      </w:pPr>
      <w:r>
        <w:t xml:space="preserve">На одном острове вспыхнула эпидемия. Известно, что из всех проживающих на острове (N=12 000) в момент начала эпидемии (t=0) число заболевших людей (являющихся распространителями инфекции) I(0)=212, А число здоровых людей с иммунитетом к болезни R(0)=12. Таким образом, число людей восприимчивых к болезни, но пока здоровых, в начальный момент времени S(0)=N-I(0)-R(0). Постройте графики изменения числа особей в каждой из трех групп. Рассмотрите, как будет протекать эпидемия в обоих случаях.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Istar, считаем, что все больные изолированы и не заражают здоровых. Когда I(t)&gt;Istar,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Подробней о задаче эпидемии см. в</w:t>
      </w:r>
      <w:r>
        <w:t xml:space="preserve"> </w:t>
      </w:r>
      <w:r>
        <w:t xml:space="preserve">[1]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рис. ?? представлен код программы на Julia. На рис. ?? представлен график изменения всех трёх групп населения при достижении критической массы заболевших, а на рис. ?? - тот же график, но когда масса не достигнута.</w:t>
      </w:r>
    </w:p>
    <w:p>
      <w:pPr>
        <w:pStyle w:val="CaptionedFigure"/>
      </w:pPr>
      <w:r>
        <w:drawing>
          <wp:inline>
            <wp:extent cx="5334000" cy="3917588"/>
            <wp:effectExtent b="0" l="0" r="0" t="0"/>
            <wp:docPr descr="Код программы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5334000" cy="3520297"/>
            <wp:effectExtent b="0" l="0" r="0" t="0"/>
            <wp:docPr descr="График с критической массой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критической массой на Julia</w:t>
      </w:r>
    </w:p>
    <w:p>
      <w:pPr>
        <w:pStyle w:val="CaptionedFigure"/>
      </w:pPr>
      <w:r>
        <w:drawing>
          <wp:inline>
            <wp:extent cx="5334000" cy="3506016"/>
            <wp:effectExtent b="0" l="0" r="0" t="0"/>
            <wp:docPr descr="График без критической массы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без критической массы на Julia</w:t>
      </w:r>
    </w:p>
    <w:p>
      <w:pPr>
        <w:pStyle w:val="BodyText"/>
      </w:pPr>
      <w:r>
        <w:t xml:space="preserve">На рис. ?? представлен код программы на OpenModelica. На рис. ?? представлен график изменения всех трёх групп населения при достижении критической массы заболевших, а на рис. ?? - тот же график, но когда масса не достигнута.</w:t>
      </w:r>
    </w:p>
    <w:p>
      <w:pPr>
        <w:pStyle w:val="CaptionedFigure"/>
      </w:pPr>
      <w:r>
        <w:drawing>
          <wp:inline>
            <wp:extent cx="5334000" cy="3602614"/>
            <wp:effectExtent b="0" l="0" r="0" t="0"/>
            <wp:docPr descr="Код программы на OpenModelica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</w:t>
      </w:r>
    </w:p>
    <w:p>
      <w:pPr>
        <w:pStyle w:val="CaptionedFigure"/>
      </w:pPr>
      <w:r>
        <w:drawing>
          <wp:inline>
            <wp:extent cx="5334000" cy="3216402"/>
            <wp:effectExtent b="0" l="0" r="0" t="0"/>
            <wp:docPr descr="График с критической массой на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критической массой на OpenModelica</w:t>
      </w:r>
    </w:p>
    <w:p>
      <w:pPr>
        <w:pStyle w:val="CaptionedFigure"/>
      </w:pPr>
      <w:r>
        <w:drawing>
          <wp:inline>
            <wp:extent cx="5334000" cy="3263530"/>
            <wp:effectExtent b="0" l="0" r="0" t="0"/>
            <wp:docPr descr="График без критической массы на OpenModelica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без критической массы на OpenModelica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решена задача об эпидемии и построены необходимые графики.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ochkov:1999:mathc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Очков В.Ф.</w:t>
      </w:r>
      <w:r>
        <w:t xml:space="preserve"> </w:t>
      </w:r>
      <w:hyperlink r:id="rId43">
        <w:r>
          <w:rPr>
            <w:rStyle w:val="Hyperlink"/>
          </w:rPr>
          <w:t xml:space="preserve">Mathcad 8 Pro для студентов и инженеров</w:t>
        </w:r>
      </w:hyperlink>
      <w:r>
        <w:t xml:space="preserve">. КомпьютерПресс, 1999.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://twt.mpei.ac.ru/ochkov/mc8pro.book/5_tex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twt.mpei.ac.ru/ochkov/mc8pro.book/5_tex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Аникин Константин Сергеевич</dc:creator>
  <dc:language>ru-RU</dc:language>
  <cp:keywords/>
  <dcterms:created xsi:type="dcterms:W3CDTF">2023-03-13T14:39:52Z</dcterms:created>
  <dcterms:modified xsi:type="dcterms:W3CDTF">2023-03-13T14:39:52Z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