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50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цели-работы"/>
    <w:p>
      <w:pPr>
        <w:pStyle w:val="Heading1"/>
      </w:pPr>
      <w:r>
        <w:t xml:space="preserve">Цели работы</w:t>
      </w:r>
    </w:p>
    <w:bookmarkEnd w:id="21"/>
    <w:p>
      <w:pPr>
        <w:numPr>
          <w:numId w:val="2"/>
          <w:ilvl w:val="0"/>
        </w:numPr>
      </w:pPr>
      <w:r>
        <w:t xml:space="preserve">Изучить основы программирования в оболочке ОС UNIX/Linux.</w:t>
      </w:r>
    </w:p>
    <w:p>
      <w:pPr>
        <w:numPr>
          <w:numId w:val="2"/>
          <w:ilvl w:val="0"/>
        </w:numPr>
      </w:pPr>
      <w:r>
        <w:t xml:space="preserve">Научиться писать более сложные командные файлы.</w:t>
      </w:r>
    </w:p>
    <w:bookmarkStart w:id="22" w:name="задание"/>
    <w:p>
      <w:pPr>
        <w:pStyle w:val="Heading1"/>
      </w:pPr>
      <w:r>
        <w:t xml:space="preserve">Задание</w:t>
      </w:r>
    </w:p>
    <w:bookmarkEnd w:id="22"/>
    <w:p>
      <w:pPr>
        <w:numPr>
          <w:numId w:val="3"/>
          <w:ilvl w:val="0"/>
        </w:numPr>
      </w:pPr>
      <w:r>
        <w:t xml:space="preserve">Ознакомиться с теоретическим материалом.</w:t>
      </w:r>
    </w:p>
    <w:p>
      <w:pPr>
        <w:numPr>
          <w:numId w:val="3"/>
          <w:ilvl w:val="0"/>
        </w:numPr>
      </w:pPr>
      <w:r>
        <w:t xml:space="preserve">Написать три скрипта из задания.</w:t>
      </w:r>
    </w:p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End w:id="23"/>
    <w:p>
      <w:r>
        <w:t xml:space="preserve">Для написания скрипта 1 необходимо выяснить, что такое семафоры.</w:t>
      </w:r>
      <w:r>
        <w:t xml:space="preserve"> </w:t>
      </w:r>
      <w:hyperlink r:id="rId24">
        <w:r>
          <w:rPr>
            <w:rStyle w:val="Link"/>
          </w:rPr>
          <w:t xml:space="preserve">[1]</w:t>
        </w:r>
      </w:hyperlink>
    </w:p>
    <w:p>
      <w:r>
        <w:t xml:space="preserve">Семафор – это механизм, который позволяет конкурирующим процессам и потокам работать с общими ресурсами и помогает в решении различных проблем синхронизации таких как гонки, дедлоки (взаимные блокировки) и неправильное поведение потоков.</w:t>
      </w:r>
    </w:p>
    <w:p>
      <w:r>
        <w:t xml:space="preserve">Для решения этих проблем в ядре присутствуют такие средства как мьютексы, семафоры, сигналы и барьеры.</w:t>
      </w:r>
    </w:p>
    <w:p>
      <w:r>
        <w:t xml:space="preserve">Есть три вида семафоров:</w:t>
      </w:r>
    </w:p>
    <w:p>
      <w:pPr>
        <w:numPr>
          <w:numId w:val="4"/>
          <w:ilvl w:val="0"/>
        </w:numPr>
      </w:pPr>
      <w:r>
        <w:t xml:space="preserve">Бинарные семафоры (binary semaphore)</w:t>
      </w:r>
    </w:p>
    <w:p>
      <w:pPr>
        <w:numPr>
          <w:numId w:val="4"/>
          <w:ilvl w:val="0"/>
        </w:numPr>
      </w:pPr>
      <w:r>
        <w:t xml:space="preserve">Семафоры-счетчики (counting semaphore)</w:t>
      </w:r>
    </w:p>
    <w:p>
      <w:pPr>
        <w:numPr>
          <w:numId w:val="4"/>
          <w:ilvl w:val="0"/>
        </w:numPr>
      </w:pPr>
      <w:r>
        <w:t xml:space="preserve">Массивы семафоров (semaphore set)</w:t>
      </w:r>
    </w:p>
    <w:p>
      <w:r>
        <w:t xml:space="preserve">Краткий справочник команд Linux</w:t>
      </w:r>
      <w:r>
        <w:t xml:space="preserve"> </w:t>
      </w:r>
      <w:hyperlink r:id="rId25">
        <w:r>
          <w:rPr>
            <w:rStyle w:val="Link"/>
          </w:rPr>
          <w:t xml:space="preserve">[2]</w:t>
        </w:r>
      </w:hyperlink>
    </w:p>
    <w:bookmarkStart w:id="2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6"/>
    <w:bookmarkStart w:id="27" w:name="скрипт-1"/>
    <w:p>
      <w:pPr>
        <w:pStyle w:val="Heading2"/>
      </w:pPr>
      <w:r>
        <w:t xml:space="preserve">Скрипт 1</w:t>
      </w:r>
    </w:p>
    <w:bookmarkEnd w:id="27"/>
    <w:p>
      <w:r>
        <w:t xml:space="preserve">Непосредственно сам скрипт. (рис. 1)</w:t>
      </w:r>
    </w:p>
    <w:p>
      <w:r>
        <w:t xml:space="preserve">Пока файл открыт, проверяем его на используемость. Если файл используется, выводим Locked,</w:t>
      </w:r>
    </w:p>
    <w:p>
      <w:r>
        <w:t xml:space="preserve">ждём 3 секунды и перестаём использовать файл. Если файл уже используется, выводим Couldn't lock,</w:t>
      </w:r>
    </w:p>
    <w:p>
      <w:r>
        <w:t xml:space="preserve">ждём 4 секунды и пробуем открыть файл снова.</w:t>
      </w:r>
    </w:p>
    <w:p>
      <w:r>
        <w:drawing>
          <wp:inline>
            <wp:extent cx="5981700" cy="454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3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1: Скрипт 1</w:t>
      </w:r>
    </w:p>
    <w:p>
      <w:r>
        <w:t xml:space="preserve">Результаты работы скрипта 1, первый терминал (рис. 2)</w:t>
      </w:r>
    </w:p>
    <w:p>
      <w:r>
        <w:drawing>
          <wp:inline>
            <wp:extent cx="6223000" cy="466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3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2: Результаты работы скрипта 1</w:t>
      </w:r>
    </w:p>
    <w:p>
      <w:r>
        <w:t xml:space="preserve">Результаты работы скрипта 1, второй терминал (рис. 3)</w:t>
      </w:r>
    </w:p>
    <w:p>
      <w:r>
        <w:drawing>
          <wp:inline>
            <wp:extent cx="5892800" cy="447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3/main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3: Результаты работы скрипта 1</w:t>
      </w:r>
    </w:p>
    <w:bookmarkStart w:id="37" w:name="скрипт-2"/>
    <w:p>
      <w:pPr>
        <w:pStyle w:val="Heading2"/>
      </w:pPr>
      <w:r>
        <w:t xml:space="preserve">Скрипт 2</w:t>
      </w:r>
    </w:p>
    <w:bookmarkEnd w:id="37"/>
    <w:p>
      <w:r>
        <w:t xml:space="preserve">Непосредственно сам скрипт. (рис. 4)</w:t>
      </w:r>
    </w:p>
    <w:p>
      <w:r>
        <w:t xml:space="preserve">Определяем строчку, переданную аргументом. Проверяем, существует ли файл.</w:t>
      </w:r>
    </w:p>
    <w:p>
      <w:r>
        <w:t xml:space="preserve">Если да, командой less выводим справку о нём. Иначе выводим "No info found".</w:t>
      </w:r>
    </w:p>
    <w:p>
      <w:r>
        <w:drawing>
          <wp:inline>
            <wp:extent cx="5854700" cy="430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3/main/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4: Скрипт 2</w:t>
      </w:r>
    </w:p>
    <w:p>
      <w:r>
        <w:t xml:space="preserve">Результаты работы скрипта 2 с несуществующей справкой (рис. 5)</w:t>
      </w:r>
    </w:p>
    <w:p>
      <w:r>
        <w:t xml:space="preserve">(выведение пути к файлу - остаток от дебага кода, в финальной версии путь не выводится)</w:t>
      </w:r>
    </w:p>
    <w:p>
      <w:r>
        <w:drawing>
          <wp:inline>
            <wp:extent cx="4165600" cy="119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3/main/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5: Результаты работы скрипта 2</w:t>
      </w:r>
    </w:p>
    <w:p>
      <w:r>
        <w:t xml:space="preserve">Результаты работы скрипта 2 с существующей справкой (рис. 6)</w:t>
      </w:r>
    </w:p>
    <w:p>
      <w:r>
        <w:drawing>
          <wp:inline>
            <wp:extent cx="5930900" cy="443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3/main/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6: Результаты работы скрипта 2</w:t>
      </w:r>
    </w:p>
    <w:bookmarkStart w:id="47" w:name="скрипт-3"/>
    <w:p>
      <w:pPr>
        <w:pStyle w:val="Heading2"/>
      </w:pPr>
      <w:r>
        <w:t xml:space="preserve">Скрипт 3</w:t>
      </w:r>
    </w:p>
    <w:bookmarkEnd w:id="47"/>
    <w:p>
      <w:r>
        <w:t xml:space="preserve">Непосредственно сам скрипт. (рис. 7)</w:t>
      </w:r>
    </w:p>
    <w:p>
      <w:r>
        <w:t xml:space="preserve">Создаём массив символов, после чего в цикле указанное аргументом число раз</w:t>
      </w:r>
    </w:p>
    <w:p>
      <w:r>
        <w:t xml:space="preserve">выбираем случайный элемент массива и выводим его на экран</w:t>
      </w:r>
    </w:p>
    <w:p>
      <w:r>
        <w:drawing>
          <wp:inline>
            <wp:extent cx="6121400" cy="454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3/main/images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7: Скрипт 3</w:t>
      </w:r>
    </w:p>
    <w:p>
      <w:r>
        <w:t xml:space="preserve">Результаты работы скрипта 3 (рис. 8)</w:t>
      </w:r>
    </w:p>
    <w:p>
      <w:r>
        <w:drawing>
          <wp:inline>
            <wp:extent cx="5537200" cy="138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3/main/images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8: Результаты работы скрипта 3</w:t>
      </w:r>
    </w:p>
    <w:bookmarkStart w:id="54" w:name="выводы"/>
    <w:p>
      <w:pPr>
        <w:pStyle w:val="Heading1"/>
      </w:pPr>
      <w:r>
        <w:t xml:space="preserve">Выводы</w:t>
      </w:r>
    </w:p>
    <w:bookmarkEnd w:id="54"/>
    <w:p>
      <w:r>
        <w:t xml:space="preserve">Скрипты созданы и работают. Работа выполнена полностью.</w:t>
      </w:r>
    </w:p>
    <w:bookmarkStart w:id="55" w:name="библиографический-список"/>
    <w:p>
      <w:pPr>
        <w:pStyle w:val="Heading2"/>
      </w:pPr>
      <w:r>
        <w:t xml:space="preserve">Библиографический список</w:t>
      </w:r>
    </w:p>
    <w:bookmarkEnd w:id="55"/>
    <w:p>
      <w:r>
        <w:t xml:space="preserve">[1]:</w:t>
      </w:r>
      <w:r>
        <w:t xml:space="preserve"> </w:t>
      </w:r>
      <w:hyperlink r:id="rId24">
        <w:r>
          <w:rPr>
            <w:rStyle w:val="Link"/>
          </w:rPr>
          <w:t xml:space="preserve">Знакомимся с семафорами в Linux</w:t>
        </w:r>
      </w:hyperlink>
    </w:p>
    <w:p>
      <w:r>
        <w:t xml:space="preserve">[2]:</w:t>
      </w:r>
      <w:r>
        <w:t xml:space="preserve"> </w:t>
      </w:r>
      <w:hyperlink r:id="rId25">
        <w:r>
          <w:rPr>
            <w:rStyle w:val="Link"/>
          </w:rPr>
          <w:t xml:space="preserve">Краткий справочник команд Linux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48b8719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7aa37b9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hyperlink" Id="rId24" Target="https://habr.com/ru/company/otus/blog/522418/" TargetMode="External" /><Relationship Type="http://schemas.openxmlformats.org/officeDocument/2006/relationships/hyperlink" Id="rId25" Target="https://hpc.icc.ru/documentation/cmnds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habr.com/ru/company/otus/blog/522418/" TargetMode="External" /><Relationship Type="http://schemas.openxmlformats.org/officeDocument/2006/relationships/hyperlink" Id="rId25" Target="https://hpc.icc.ru/documentation/cmnd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