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8"/>
        </w:rPr>
        <w:t>OmniKernal: A Security-First Microkernel</w:t>
        <w:br/>
        <w:t>Architecture for Transport-Agnostic</w:t>
        <w:br/>
        <w:t>Multi-Platform Automation Orchestration</w:t>
      </w:r>
    </w:p>
    <w:p>
      <w:pPr>
        <w:spacing w:after="40"/>
        <w:jc w:val="center"/>
      </w:pPr>
      <w:r>
        <w:rPr>
          <w:rFonts w:ascii="Times New Roman" w:hAnsi="Times New Roman"/>
          <w:sz w:val="22"/>
        </w:rPr>
        <w:t>Rohit Kumar</w:t>
      </w:r>
    </w:p>
    <w:p>
      <w:pPr>
        <w:spacing w:after="320"/>
        <w:jc w:val="center"/>
      </w:pPr>
      <w:r>
        <w:rPr>
          <w:rFonts w:ascii="Times New Roman" w:hAnsi="Times New Roman"/>
          <w:i/>
          <w:sz w:val="20"/>
        </w:rPr>
        <w:t>Birla Institute of Technology and Science (BITS), India</w:t>
      </w:r>
    </w:p>
    <w:p>
      <w:pPr>
        <w:spacing w:before="240" w:after="80"/>
      </w:pPr>
      <w:r>
        <w:rPr>
          <w:rFonts w:ascii="Times New Roman" w:hAnsi="Times New Roman"/>
          <w:b/>
          <w:sz w:val="24"/>
        </w:rPr>
        <w:t>Abstract</w:t>
      </w:r>
    </w:p>
    <w:p>
      <w:pPr>
        <w:spacing w:after="120"/>
        <w:jc w:val="both"/>
      </w:pPr>
      <w:r>
        <w:rPr>
          <w:rFonts w:ascii="Times New Roman" w:hAnsi="Times New Roman"/>
          <w:sz w:val="20"/>
        </w:rPr>
        <w:t>The growing reliance on LLM-driven autonomous agents demands middleware that can bridge intelligent systems to diverse communication platforms without tight coupling to any single SDK. Current automation frameworks embed platform-specific logic throughout their codebases, leading to poor portability, fragile resilience, and a lack of empirical data for transport selection. This paper introduces OmniKernal, a database-driven microkernel framework that enforces strict separation between a platform-agnostic core engine and interchangeable transport modules called Adapter Packs. The core enforces eight architectural invariants—including zero SDK coupling, lazy plugin loading, capability-based handler isolation, and Fernet-encrypted credential management—while adapters conform to a four-method abstract contract enabling transparent substitution. We implement three WhatsApp adapters spanning UI-scraping (Playwright), REST-proxying (WAHA), and WebSocket-bridging (Baileys), and evaluate them through a six-dimensional benchmark suite. Results show sub-22 ms end-to-end latency, 59.1 msg/s throughput, complete fault isolation, and negligible memory overhead per profile, validating microkernel-based decoupling as a viable strategy for transport-agnostic agent orchestration.</w:t>
      </w:r>
    </w:p>
    <w:p>
      <w:pPr>
        <w:spacing w:after="120"/>
        <w:ind w:firstLine="425"/>
        <w:jc w:val="both"/>
      </w:pPr>
      <w:r>
        <w:rPr>
          <w:rFonts w:ascii="Times New Roman" w:hAnsi="Times New Roman"/>
          <w:b/>
          <w:sz w:val="20"/>
        </w:rPr>
        <w:t>Keywords—</w:t>
      </w:r>
      <w:r>
        <w:rPr>
          <w:rFonts w:ascii="Times New Roman" w:hAnsi="Times New Roman"/>
          <w:sz w:val="20"/>
        </w:rPr>
        <w:t>Microkernel Architecture, Multi-Platform Automation, Transport Abstraction, Adapter Pattern, Plugin Isolation, Performance Benchmarking, Agent Orchestration, Security-First Design</w:t>
      </w:r>
    </w:p>
    <w:p>
      <w:pPr>
        <w:spacing w:before="240" w:after="80"/>
      </w:pPr>
      <w:r>
        <w:rPr>
          <w:rFonts w:ascii="Times New Roman" w:hAnsi="Times New Roman"/>
          <w:b/>
          <w:sz w:val="24"/>
        </w:rPr>
        <w:t>1. Introduction</w:t>
      </w:r>
    </w:p>
    <w:p>
      <w:pPr>
        <w:spacing w:before="160" w:after="80"/>
      </w:pPr>
      <w:r>
        <w:rPr>
          <w:rFonts w:ascii="Times New Roman" w:hAnsi="Times New Roman"/>
          <w:b/>
          <w:i/>
          <w:sz w:val="20"/>
        </w:rPr>
        <w:t>1.1 Problem Statement</w:t>
      </w:r>
    </w:p>
    <w:p>
      <w:pPr>
        <w:spacing w:after="120"/>
        <w:ind w:firstLine="425"/>
        <w:jc w:val="both"/>
      </w:pPr>
      <w:r>
        <w:rPr>
          <w:rFonts w:ascii="Times New Roman" w:hAnsi="Times New Roman"/>
          <w:sz w:val="20"/>
        </w:rPr>
        <w:t>The emergence of Large Language Model (LLM)-powered agents has shifted the paradigm from prompt-response systems to autonomous workflows that interact with real-world communication platforms such as WhatsApp, Telegram, Discord, and Slack [1]. However, the middleware layer connecting these agents to platforms remains a critical bottleneck. Current automation frameworks—including whatsapp-web.js [2], discord.py [3], and python-telegram-bot [4]—exhibit tight SDK coupling, where platform-specific logic permeates the entire application, creating monolithic architectures that resist platform migration, complicate testing, and violate the Separation of Concerns [5] and the Dependency Inversion Principle [6].</w:t>
      </w:r>
    </w:p>
    <w:p>
      <w:pPr>
        <w:spacing w:after="120"/>
        <w:ind w:firstLine="425"/>
        <w:jc w:val="both"/>
      </w:pPr>
      <w:r>
        <w:rPr>
          <w:rFonts w:ascii="Times New Roman" w:hAnsi="Times New Roman"/>
          <w:sz w:val="20"/>
        </w:rPr>
        <w:t>This coupling manifests in three critical deficiencies. First, portability failure: handlers written for one platform cannot be reused on another. Second, resilience fragility: transport failures propagate into core logic. Third, evaluation opacity: no standardized framework exists for empirically comparing transport strategies under controlled conditions.</w:t>
      </w:r>
    </w:p>
    <w:p>
      <w:pPr>
        <w:spacing w:before="160" w:after="80"/>
      </w:pPr>
      <w:r>
        <w:rPr>
          <w:rFonts w:ascii="Times New Roman" w:hAnsi="Times New Roman"/>
          <w:b/>
          <w:i/>
          <w:sz w:val="20"/>
        </w:rPr>
        <w:t>1.2 Motivation</w:t>
      </w:r>
    </w:p>
    <w:p>
      <w:pPr>
        <w:spacing w:after="120"/>
        <w:ind w:firstLine="425"/>
        <w:jc w:val="both"/>
      </w:pPr>
      <w:r>
        <w:rPr>
          <w:rFonts w:ascii="Times New Roman" w:hAnsi="Times New Roman"/>
          <w:sz w:val="20"/>
        </w:rPr>
        <w:t>Operating system design has long addressed analogous challenges through the microkernel architecture [7], where a minimal core provides essential services while all other functionality runs as interchangeable user-space modules. We posit that this pattern, adapted to automation middleware, can resolve the coupling, resilience, and evaluation challenges identified above. Furthermore, WhatsApp alone offers three fundamentally different interaction paradigms—UI automation [8], REST APIs [9], and WebSocket bridges [10]—yet no framework provides controlled comparison under identical conditions.</w:t>
      </w:r>
    </w:p>
    <w:p>
      <w:pPr>
        <w:spacing w:before="160" w:after="80"/>
      </w:pPr>
      <w:r>
        <w:rPr>
          <w:rFonts w:ascii="Times New Roman" w:hAnsi="Times New Roman"/>
          <w:b/>
          <w:i/>
          <w:sz w:val="20"/>
        </w:rPr>
        <w:t>1.3 Contributions</w:t>
      </w:r>
    </w:p>
    <w:p>
      <w:pPr>
        <w:spacing w:after="120"/>
        <w:jc w:val="both"/>
      </w:pPr>
      <w:r>
        <w:rPr>
          <w:rFonts w:ascii="Times New Roman" w:hAnsi="Times New Roman"/>
          <w:sz w:val="20"/>
        </w:rPr>
        <w:t>This paper makes the following contributions:</w:t>
      </w:r>
    </w:p>
    <w:p>
      <w:pPr>
        <w:spacing w:after="120"/>
        <w:ind w:firstLine="425"/>
        <w:jc w:val="both"/>
      </w:pPr>
      <w:r>
        <w:rPr>
          <w:rFonts w:ascii="Times New Roman" w:hAnsi="Times New Roman"/>
          <w:sz w:val="20"/>
        </w:rPr>
        <w:t>1) A microkernel framework enforcing eight invariants (zero SDK coupling, lazy execution, capability-based isolation, encrypted credentials) with transparent transport substitution via a four-method adapter contract.</w:t>
      </w:r>
    </w:p>
    <w:p>
      <w:pPr>
        <w:spacing w:after="120"/>
        <w:ind w:firstLine="425"/>
        <w:jc w:val="both"/>
      </w:pPr>
      <w:r>
        <w:rPr>
          <w:rFonts w:ascii="Times New Roman" w:hAnsi="Times New Roman"/>
          <w:sz w:val="20"/>
        </w:rPr>
        <w:t>2) Formalization of Adapter Packs—self-describing modules conforming to a PlatformAdapter ABC—with three implementations: UI-scraping (Playwright), REST-proxying (WAHA), WebSocket-bridging (Baileys).</w:t>
      </w:r>
    </w:p>
    <w:p>
      <w:pPr>
        <w:spacing w:after="120"/>
        <w:ind w:firstLine="425"/>
        <w:jc w:val="both"/>
      </w:pPr>
      <w:r>
        <w:rPr>
          <w:rFonts w:ascii="Times New Roman" w:hAnsi="Times New Roman"/>
          <w:sz w:val="20"/>
        </w:rPr>
        <w:t>3) Integrated Fernet encryption, allowlist-based sanitization, and Circuit Breaker [11] API watchdog.</w:t>
      </w:r>
    </w:p>
    <w:p>
      <w:pPr>
        <w:spacing w:after="120"/>
        <w:ind w:firstLine="425"/>
        <w:jc w:val="both"/>
      </w:pPr>
      <w:r>
        <w:rPr>
          <w:rFonts w:ascii="Times New Roman" w:hAnsi="Times New Roman"/>
          <w:sz w:val="20"/>
        </w:rPr>
        <w:t>4) A six-dimensional benchmark suite (latency, plugin load, DB overhead, memory, throughput, fault isolation).</w:t>
      </w:r>
    </w:p>
    <w:p>
      <w:pPr>
        <w:spacing w:after="120"/>
        <w:ind w:firstLine="425"/>
        <w:jc w:val="both"/>
      </w:pPr>
      <w:r>
        <w:rPr>
          <w:rFonts w:ascii="Times New Roman" w:hAnsi="Times New Roman"/>
          <w:sz w:val="20"/>
        </w:rPr>
        <w:t>5) First systematic comparison of three transport paradigms within a unified microkernel framework.</w:t>
      </w:r>
    </w:p>
    <w:p>
      <w:pPr>
        <w:spacing w:before="240" w:after="80"/>
      </w:pPr>
      <w:r>
        <w:rPr>
          <w:rFonts w:ascii="Times New Roman" w:hAnsi="Times New Roman"/>
          <w:b/>
          <w:sz w:val="24"/>
        </w:rPr>
        <w:t>2. Related Work</w:t>
      </w:r>
    </w:p>
    <w:p>
      <w:pPr>
        <w:spacing w:before="160" w:after="80"/>
      </w:pPr>
      <w:r>
        <w:rPr>
          <w:rFonts w:ascii="Times New Roman" w:hAnsi="Times New Roman"/>
          <w:b/>
          <w:i/>
          <w:sz w:val="20"/>
        </w:rPr>
        <w:t>2.1 Monolithic Bot Frameworks</w:t>
      </w:r>
    </w:p>
    <w:p>
      <w:pPr>
        <w:spacing w:after="120"/>
        <w:ind w:firstLine="425"/>
        <w:jc w:val="both"/>
      </w:pPr>
      <w:r>
        <w:rPr>
          <w:rFonts w:ascii="Times New Roman" w:hAnsi="Times New Roman"/>
          <w:sz w:val="20"/>
        </w:rPr>
        <w:t>The dominant paradigm for platform automation is the monolithic bot framework, exemplified by discord.py [3], python-telegram-bot [4], and whatsapp-web.js [2]. These frameworks embed platform-specific logic throughout the application stack. Adamopoulou and Moussiades [12] identified tight coupling as a primary impediment to maintainability and cross-platform portability. OmniKernal addresses this by relegating all platform-specific code to external adapter packs that the core engine never imports.</w:t>
      </w:r>
    </w:p>
    <w:p>
      <w:pPr>
        <w:spacing w:before="160" w:after="80"/>
      </w:pPr>
      <w:r>
        <w:rPr>
          <w:rFonts w:ascii="Times New Roman" w:hAnsi="Times New Roman"/>
          <w:b/>
          <w:i/>
          <w:sz w:val="20"/>
        </w:rPr>
        <w:t>2.2 Microkernel and Plugin Architectures</w:t>
      </w:r>
    </w:p>
    <w:p>
      <w:pPr>
        <w:spacing w:after="120"/>
        <w:ind w:firstLine="425"/>
        <w:jc w:val="both"/>
      </w:pPr>
      <w:r>
        <w:rPr>
          <w:rFonts w:ascii="Times New Roman" w:hAnsi="Times New Roman"/>
          <w:sz w:val="20"/>
        </w:rPr>
        <w:t>The microkernel architecture, pioneered by Mach and refined in L4 [7] and QNX, has been extensively studied in OS design. Liedtke demonstrated that performance penalties can be minimized through careful IPC optimization. Richards [13] formalized the microkernel pattern for application architecture. OmniKernal adapts these principles to automation middleware, combining database-driven plugin registration with lazy handler importing.</w:t>
      </w:r>
    </w:p>
    <w:p>
      <w:pPr>
        <w:spacing w:before="160" w:after="80"/>
      </w:pPr>
      <w:r>
        <w:rPr>
          <w:rFonts w:ascii="Times New Roman" w:hAnsi="Times New Roman"/>
          <w:b/>
          <w:i/>
          <w:sz w:val="20"/>
        </w:rPr>
        <w:t>2.3 Transport Layer Abstraction</w:t>
      </w:r>
    </w:p>
    <w:p>
      <w:pPr>
        <w:spacing w:after="120"/>
        <w:ind w:firstLine="425"/>
        <w:jc w:val="both"/>
      </w:pPr>
      <w:r>
        <w:rPr>
          <w:rFonts w:ascii="Times New Roman" w:hAnsi="Times New Roman"/>
          <w:sz w:val="20"/>
        </w:rPr>
        <w:t>Transport abstraction is well-established in distributed systems. gRPC and Apache Thrift provide transport-agnostic RPC frameworks, while the Abstract Factory pattern [6] enables runtime selection. However, these operate at the protocol level rather than the platform-interaction level. OmniKernal’s abstraction normalizes DOM manipulation, HTTP REST calls, and binary WebSocket frames behind a single four-method contract.</w:t>
      </w:r>
    </w:p>
    <w:p>
      <w:pPr>
        <w:spacing w:before="160" w:after="80"/>
      </w:pPr>
      <w:r>
        <w:rPr>
          <w:rFonts w:ascii="Times New Roman" w:hAnsi="Times New Roman"/>
          <w:b/>
          <w:i/>
          <w:sz w:val="20"/>
        </w:rPr>
        <w:t>2.4 Resilience Patterns</w:t>
      </w:r>
    </w:p>
    <w:p>
      <w:pPr>
        <w:spacing w:after="120"/>
        <w:ind w:firstLine="425"/>
        <w:jc w:val="both"/>
      </w:pPr>
      <w:r>
        <w:rPr>
          <w:rFonts w:ascii="Times New Roman" w:hAnsi="Times New Roman"/>
          <w:sz w:val="20"/>
        </w:rPr>
        <w:t>The Circuit Breaker pattern, formalized by Nygard [11] and implemented in Netflix Hystrix and Resilience4j, provides fault isolation in microservice architectures. Dragoni et al. [14] surveyed microservice design patterns. OmniKernal implements a domain-specific variant: the ApiWatchdog tracks consecutive failures per endpoint and, upon exceeding threshold τ = 3, quarantines the endpoint via a DeadApi database record.</w:t>
      </w:r>
    </w:p>
    <w:p>
      <w:pPr>
        <w:spacing w:before="160" w:after="80"/>
      </w:pPr>
      <w:r>
        <w:rPr>
          <w:rFonts w:ascii="Times New Roman" w:hAnsi="Times New Roman"/>
          <w:b/>
          <w:i/>
          <w:sz w:val="20"/>
        </w:rPr>
        <w:t>2.5 Security in Automation Frameworks</w:t>
      </w:r>
    </w:p>
    <w:p>
      <w:pPr>
        <w:spacing w:after="120"/>
        <w:ind w:firstLine="425"/>
        <w:jc w:val="both"/>
      </w:pPr>
      <w:r>
        <w:rPr>
          <w:rFonts w:ascii="Times New Roman" w:hAnsi="Times New Roman"/>
          <w:sz w:val="20"/>
        </w:rPr>
        <w:t>Security in bot automation has received limited academic attention. Felt et al. [15] analyzed permission models in mobile platforms. OmniKernal contributes a holistic security architecture addressing injection (allowlist-based sanitizer), credential exposure (Fernet encryption), and privilege escalation (role-based permission validation).</w:t>
      </w:r>
    </w:p>
    <w:p>
      <w:pPr>
        <w:spacing w:before="160" w:after="80"/>
      </w:pPr>
      <w:r>
        <w:rPr>
          <w:rFonts w:ascii="Times New Roman" w:hAnsi="Times New Roman"/>
          <w:b/>
          <w:i/>
          <w:sz w:val="20"/>
        </w:rPr>
        <w:t>2.6 Comparative Summary</w:t>
      </w:r>
    </w:p>
    <w:p>
      <w:pPr>
        <w:spacing w:after="120"/>
        <w:jc w:val="both"/>
      </w:pPr>
      <w:r>
        <w:rPr>
          <w:rFonts w:ascii="Times New Roman" w:hAnsi="Times New Roman"/>
          <w:sz w:val="20"/>
        </w:rPr>
        <w:t>Table I summarizes OmniKernal’s positioning against existing frameworks.</w:t>
      </w:r>
    </w:p>
    <w:tbl>
      <w:tblPr>
        <w:tblStyle w:val="TableGrid"/>
        <w:tblW w:type="auto" w:w="0"/>
        <w:jc w:val="center"/>
        <w:tblLook w:firstColumn="1" w:firstRow="1" w:lastColumn="0" w:lastRow="0" w:noHBand="0" w:noVBand="1" w:val="04A0"/>
      </w:tblPr>
      <w:tblGrid>
        <w:gridCol w:w="1679"/>
        <w:gridCol w:w="1679"/>
        <w:gridCol w:w="1679"/>
        <w:gridCol w:w="1679"/>
        <w:gridCol w:w="1679"/>
        <w:gridCol w:w="1679"/>
      </w:tblGrid>
      <w:tr>
        <w:tc>
          <w:tcPr>
            <w:tcW w:type="dxa" w:w="1679"/>
          </w:tcPr>
          <w:p>
            <w:pPr>
              <w:jc w:val="center"/>
            </w:pPr>
            <w:r/>
            <w:r>
              <w:rPr>
                <w:rFonts w:ascii="Times New Roman" w:hAnsi="Times New Roman"/>
                <w:b/>
                <w:sz w:val="18"/>
              </w:rPr>
              <w:t>Feature</w:t>
            </w:r>
          </w:p>
        </w:tc>
        <w:tc>
          <w:tcPr>
            <w:tcW w:type="dxa" w:w="1679"/>
          </w:tcPr>
          <w:p>
            <w:pPr>
              <w:jc w:val="center"/>
            </w:pPr>
            <w:r/>
            <w:r>
              <w:rPr>
                <w:rFonts w:ascii="Times New Roman" w:hAnsi="Times New Roman"/>
                <w:b/>
                <w:sz w:val="18"/>
              </w:rPr>
              <w:t>discord.py</w:t>
            </w:r>
          </w:p>
        </w:tc>
        <w:tc>
          <w:tcPr>
            <w:tcW w:type="dxa" w:w="1679"/>
          </w:tcPr>
          <w:p>
            <w:pPr>
              <w:jc w:val="center"/>
            </w:pPr>
            <w:r/>
            <w:r>
              <w:rPr>
                <w:rFonts w:ascii="Times New Roman" w:hAnsi="Times New Roman"/>
                <w:b/>
                <w:sz w:val="18"/>
              </w:rPr>
              <w:t>whatsapp-web.js</w:t>
            </w:r>
          </w:p>
        </w:tc>
        <w:tc>
          <w:tcPr>
            <w:tcW w:type="dxa" w:w="1679"/>
          </w:tcPr>
          <w:p>
            <w:pPr>
              <w:jc w:val="center"/>
            </w:pPr>
            <w:r/>
            <w:r>
              <w:rPr>
                <w:rFonts w:ascii="Times New Roman" w:hAnsi="Times New Roman"/>
                <w:b/>
                <w:sz w:val="18"/>
              </w:rPr>
              <w:t>Botpress</w:t>
            </w:r>
          </w:p>
        </w:tc>
        <w:tc>
          <w:tcPr>
            <w:tcW w:type="dxa" w:w="1679"/>
          </w:tcPr>
          <w:p>
            <w:pPr>
              <w:jc w:val="center"/>
            </w:pPr>
            <w:r/>
            <w:r>
              <w:rPr>
                <w:rFonts w:ascii="Times New Roman" w:hAnsi="Times New Roman"/>
                <w:b/>
                <w:sz w:val="18"/>
              </w:rPr>
              <w:t>Rasa</w:t>
            </w:r>
          </w:p>
        </w:tc>
        <w:tc>
          <w:tcPr>
            <w:tcW w:type="dxa" w:w="1679"/>
          </w:tcPr>
          <w:p>
            <w:pPr>
              <w:jc w:val="center"/>
            </w:pPr>
            <w:r/>
            <w:r>
              <w:rPr>
                <w:rFonts w:ascii="Times New Roman" w:hAnsi="Times New Roman"/>
                <w:b/>
                <w:sz w:val="18"/>
              </w:rPr>
              <w:t>OmniKernal</w:t>
            </w:r>
          </w:p>
        </w:tc>
      </w:tr>
      <w:tr>
        <w:tc>
          <w:tcPr>
            <w:tcW w:type="dxa" w:w="1679"/>
          </w:tcPr>
          <w:p>
            <w:pPr>
              <w:jc w:val="center"/>
            </w:pPr>
            <w:r/>
            <w:r>
              <w:rPr>
                <w:rFonts w:ascii="Times New Roman" w:hAnsi="Times New Roman"/>
                <w:sz w:val="18"/>
              </w:rPr>
              <w:t>Platform Agnostic Core</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Partial</w:t>
            </w:r>
          </w:p>
        </w:tc>
        <w:tc>
          <w:tcPr>
            <w:tcW w:type="dxa" w:w="1679"/>
          </w:tcPr>
          <w:p>
            <w:pPr>
              <w:jc w:val="center"/>
            </w:pPr>
            <w:r/>
            <w:r>
              <w:rPr>
                <w:rFonts w:ascii="Times New Roman" w:hAnsi="Times New Roman"/>
                <w:sz w:val="18"/>
              </w:rPr>
              <w:t>Partial</w:t>
            </w:r>
          </w:p>
        </w:tc>
        <w:tc>
          <w:tcPr>
            <w:tcW w:type="dxa" w:w="1679"/>
          </w:tcPr>
          <w:p>
            <w:pPr>
              <w:jc w:val="center"/>
            </w:pPr>
            <w:r/>
            <w:r>
              <w:rPr>
                <w:rFonts w:ascii="Times New Roman" w:hAnsi="Times New Roman"/>
                <w:sz w:val="18"/>
              </w:rPr>
              <w:t>✓</w:t>
            </w:r>
          </w:p>
        </w:tc>
      </w:tr>
      <w:tr>
        <w:tc>
          <w:tcPr>
            <w:tcW w:type="dxa" w:w="1679"/>
          </w:tcPr>
          <w:p>
            <w:pPr>
              <w:jc w:val="center"/>
            </w:pPr>
            <w:r/>
            <w:r>
              <w:rPr>
                <w:rFonts w:ascii="Times New Roman" w:hAnsi="Times New Roman"/>
                <w:sz w:val="18"/>
              </w:rPr>
              <w:t>Transport Substitution</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r>
      <w:tr>
        <w:tc>
          <w:tcPr>
            <w:tcW w:type="dxa" w:w="1679"/>
          </w:tcPr>
          <w:p>
            <w:pPr>
              <w:jc w:val="center"/>
            </w:pPr>
            <w:r/>
            <w:r>
              <w:rPr>
                <w:rFonts w:ascii="Times New Roman" w:hAnsi="Times New Roman"/>
                <w:sz w:val="18"/>
              </w:rPr>
              <w:t>Lazy Plugin Loading</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r>
      <w:tr>
        <w:tc>
          <w:tcPr>
            <w:tcW w:type="dxa" w:w="1679"/>
          </w:tcPr>
          <w:p>
            <w:pPr>
              <w:jc w:val="center"/>
            </w:pPr>
            <w:r/>
            <w:r>
              <w:rPr>
                <w:rFonts w:ascii="Times New Roman" w:hAnsi="Times New Roman"/>
                <w:sz w:val="18"/>
              </w:rPr>
              <w:t>DB-Driven Routing</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Partial</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r>
      <w:tr>
        <w:tc>
          <w:tcPr>
            <w:tcW w:type="dxa" w:w="1679"/>
          </w:tcPr>
          <w:p>
            <w:pPr>
              <w:jc w:val="center"/>
            </w:pPr>
            <w:r/>
            <w:r>
              <w:rPr>
                <w:rFonts w:ascii="Times New Roman" w:hAnsi="Times New Roman"/>
                <w:sz w:val="18"/>
              </w:rPr>
              <w:t>Credential Encryption</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Partial</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r>
      <w:tr>
        <w:tc>
          <w:tcPr>
            <w:tcW w:type="dxa" w:w="1679"/>
          </w:tcPr>
          <w:p>
            <w:pPr>
              <w:jc w:val="center"/>
            </w:pPr>
            <w:r/>
            <w:r>
              <w:rPr>
                <w:rFonts w:ascii="Times New Roman" w:hAnsi="Times New Roman"/>
                <w:sz w:val="18"/>
              </w:rPr>
              <w:t>Circuit Breaker</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r>
      <w:tr>
        <w:tc>
          <w:tcPr>
            <w:tcW w:type="dxa" w:w="1679"/>
          </w:tcPr>
          <w:p>
            <w:pPr>
              <w:jc w:val="center"/>
            </w:pPr>
            <w:r/>
            <w:r>
              <w:rPr>
                <w:rFonts w:ascii="Times New Roman" w:hAnsi="Times New Roman"/>
                <w:sz w:val="18"/>
              </w:rPr>
              <w:t>Multi-Transport Bench.</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c>
          <w:tcPr>
            <w:tcW w:type="dxa" w:w="1679"/>
          </w:tcPr>
          <w:p>
            <w:pPr>
              <w:jc w:val="center"/>
            </w:pPr>
            <w:r/>
            <w:r>
              <w:rPr>
                <w:rFonts w:ascii="Times New Roman" w:hAnsi="Times New Roman"/>
                <w:sz w:val="18"/>
              </w:rPr>
              <w:t>✓</w:t>
            </w:r>
          </w:p>
        </w:tc>
      </w:tr>
    </w:tbl>
    <w:p>
      <w:pPr>
        <w:spacing w:before="80" w:after="160"/>
        <w:jc w:val="center"/>
      </w:pPr>
      <w:r>
        <w:rPr>
          <w:rFonts w:ascii="Times New Roman" w:hAnsi="Times New Roman"/>
          <w:i/>
          <w:sz w:val="18"/>
        </w:rPr>
        <w:t>TABLE I: Feature comparison against existing frameworks.</w:t>
      </w:r>
    </w:p>
    <w:p/>
    <w:p>
      <w:pPr>
        <w:spacing w:before="240" w:after="80"/>
      </w:pPr>
      <w:r>
        <w:rPr>
          <w:rFonts w:ascii="Times New Roman" w:hAnsi="Times New Roman"/>
          <w:b/>
          <w:sz w:val="24"/>
        </w:rPr>
        <w:t>3. System Architecture</w:t>
      </w:r>
    </w:p>
    <w:p>
      <w:pPr>
        <w:spacing w:after="120"/>
        <w:jc w:val="both"/>
      </w:pPr>
      <w:r>
        <w:rPr>
          <w:rFonts w:ascii="Times New Roman" w:hAnsi="Times New Roman"/>
          <w:sz w:val="20"/>
        </w:rPr>
        <w:t>OmniKernal adopts a layered microkernel design with four tiers: a Platform Transport Layer housing interchangeable adapters (Playwright, WAHA, Baileys), a PlatformAdapter ABC providing the four-method contract (connect, fetch_new_messages, send_message, disconnect), a Core Engine containing the Parser, Dispatcher, Router, PermissionValidator, PluginEngine, ModeManager, and ProfileManager, and a Security + Database Layer encompassing the EncryptionEngine, CommandSanitizer, ApiWatchdog, and SQLAlchemy ORM tables.</w:t>
      </w:r>
    </w:p>
    <w:p>
      <w:pPr>
        <w:spacing w:before="160" w:after="80"/>
      </w:pPr>
      <w:r>
        <w:rPr>
          <w:rFonts w:ascii="Times New Roman" w:hAnsi="Times New Roman"/>
          <w:b/>
          <w:i/>
          <w:sz w:val="20"/>
        </w:rPr>
        <w:t>3.1 Core Invariants</w:t>
      </w:r>
    </w:p>
    <w:p>
      <w:pPr>
        <w:spacing w:after="120"/>
        <w:jc w:val="both"/>
      </w:pPr>
      <w:r>
        <w:rPr>
          <w:rFonts w:ascii="Times New Roman" w:hAnsi="Times New Roman"/>
          <w:sz w:val="20"/>
        </w:rPr>
        <w:t>Eight immutable invariants govern the architecture:</w:t>
      </w:r>
    </w:p>
    <w:p>
      <w:pPr>
        <w:spacing w:after="120"/>
        <w:ind w:firstLine="425"/>
        <w:jc w:val="both"/>
      </w:pPr>
      <w:r>
        <w:rPr>
          <w:rFonts w:ascii="Times New Roman" w:hAnsi="Times New Roman"/>
          <w:sz w:val="20"/>
        </w:rPr>
        <w:t>1) Zero SDK Coupling: The core engine contains no platform-specific imports; all SDK dependencies reside in adapter_packs/.</w:t>
      </w:r>
    </w:p>
    <w:p>
      <w:pPr>
        <w:spacing w:after="120"/>
        <w:ind w:firstLine="425"/>
        <w:jc w:val="both"/>
      </w:pPr>
      <w:r>
        <w:rPr>
          <w:rFonts w:ascii="Times New Roman" w:hAnsi="Times New Roman"/>
          <w:sz w:val="20"/>
        </w:rPr>
        <w:t>2) Adapter Isolation: All platform I/O flows through the four-method PlatformAdapter ABC.</w:t>
      </w:r>
    </w:p>
    <w:p>
      <w:pPr>
        <w:spacing w:after="120"/>
        <w:ind w:firstLine="425"/>
        <w:jc w:val="both"/>
      </w:pPr>
      <w:r>
        <w:rPr>
          <w:rFonts w:ascii="Times New Roman" w:hAnsi="Times New Roman"/>
          <w:sz w:val="20"/>
        </w:rPr>
        <w:t>3) Unidirectional Reply Flow: Handlers return CommandResult objects; only the engine invokes send_message().</w:t>
      </w:r>
    </w:p>
    <w:p>
      <w:pPr>
        <w:spacing w:after="120"/>
        <w:ind w:firstLine="425"/>
        <w:jc w:val="both"/>
      </w:pPr>
      <w:r>
        <w:rPr>
          <w:rFonts w:ascii="Times New Roman" w:hAnsi="Times New Roman"/>
          <w:sz w:val="20"/>
        </w:rPr>
        <w:t>4) ORM Exclusivity: All database access uses SQLAlchemy 2.x async ORM—no raw SQL outside repository.py.</w:t>
      </w:r>
    </w:p>
    <w:p>
      <w:pPr>
        <w:spacing w:after="120"/>
        <w:ind w:firstLine="425"/>
        <w:jc w:val="both"/>
      </w:pPr>
      <w:r>
        <w:rPr>
          <w:rFonts w:ascii="Times New Roman" w:hAnsi="Times New Roman"/>
          <w:sz w:val="20"/>
        </w:rPr>
        <w:t>5) Declarative Plugin Discovery: Only manifest.json and commands.yaml are read during boot; Python handlers remain unexecuted until first dispatch.</w:t>
      </w:r>
    </w:p>
    <w:p>
      <w:pPr>
        <w:spacing w:after="120"/>
        <w:ind w:firstLine="425"/>
        <w:jc w:val="both"/>
      </w:pPr>
      <w:r>
        <w:rPr>
          <w:rFonts w:ascii="Times New Roman" w:hAnsi="Times New Roman"/>
          <w:sz w:val="20"/>
        </w:rPr>
        <w:t>6) Lazy Handler Loading: importlib.import_module() loads handlers on-demand, minimizing boot time and attack surface.</w:t>
      </w:r>
    </w:p>
    <w:p>
      <w:pPr>
        <w:spacing w:after="120"/>
        <w:ind w:firstLine="425"/>
        <w:jc w:val="both"/>
      </w:pPr>
      <w:r>
        <w:rPr>
          <w:rFonts w:ascii="Times New Roman" w:hAnsi="Times New Roman"/>
          <w:sz w:val="20"/>
        </w:rPr>
        <w:t>7) Database as Source of Truth: Plugin registrations, tool definitions, routing rules, and execution logs are persisted for runtime introspection.</w:t>
      </w:r>
    </w:p>
    <w:p>
      <w:pPr>
        <w:spacing w:after="120"/>
        <w:ind w:firstLine="425"/>
        <w:jc w:val="both"/>
      </w:pPr>
      <w:r>
        <w:rPr>
          <w:rFonts w:ascii="Times New Roman" w:hAnsi="Times New Roman"/>
          <w:sz w:val="20"/>
        </w:rPr>
        <w:t>8) Encryption Key Isolation: The Fernet master key lives exclusively in the OMNIKERNAL_SECRET_KEY environment variable.</w:t>
      </w:r>
    </w:p>
    <w:p>
      <w:pPr>
        <w:spacing w:before="160" w:after="80"/>
      </w:pPr>
      <w:r>
        <w:rPr>
          <w:rFonts w:ascii="Times New Roman" w:hAnsi="Times New Roman"/>
          <w:b/>
          <w:i/>
          <w:sz w:val="20"/>
        </w:rPr>
        <w:t>3.2 The PlatformAdapter Contract</w:t>
      </w:r>
    </w:p>
    <w:p>
      <w:pPr>
        <w:spacing w:after="120"/>
        <w:ind w:firstLine="425"/>
        <w:jc w:val="both"/>
      </w:pPr>
      <w:r>
        <w:rPr>
          <w:rFonts w:ascii="Times New Roman" w:hAnsi="Times New Roman"/>
          <w:sz w:val="20"/>
        </w:rPr>
        <w:t>Each adapter pack ships an adapter.yaml descriptor (name, platform, version, entry_class). The AdapterLoader validates this descriptor, dynamically imports the entry class, and verifies ABC compliance before returning an adapter instance—ensuring malformed adapters fail at load time.</w:t>
      </w:r>
    </w:p>
    <w:p>
      <w:pPr>
        <w:spacing w:before="240" w:after="80"/>
      </w:pPr>
      <w:r>
        <w:rPr>
          <w:rFonts w:ascii="Times New Roman" w:hAnsi="Times New Roman"/>
          <w:b/>
          <w:sz w:val="24"/>
        </w:rPr>
        <w:t>4. System Design and Implementation</w:t>
      </w:r>
    </w:p>
    <w:p>
      <w:pPr>
        <w:spacing w:before="160" w:after="80"/>
      </w:pPr>
      <w:r>
        <w:rPr>
          <w:rFonts w:ascii="Times New Roman" w:hAnsi="Times New Roman"/>
          <w:b/>
          <w:i/>
          <w:sz w:val="20"/>
        </w:rPr>
        <w:t>4.1 Message Processing Pipeline</w:t>
      </w:r>
    </w:p>
    <w:p>
      <w:pPr>
        <w:spacing w:after="120"/>
        <w:jc w:val="both"/>
      </w:pPr>
      <w:r>
        <w:rPr>
          <w:rFonts w:ascii="Times New Roman" w:hAnsi="Times New Roman"/>
          <w:sz w:val="20"/>
        </w:rPr>
        <w:t>Every incoming message traverses a deterministic five-stage pipeline:</w:t>
      </w:r>
    </w:p>
    <w:p>
      <w:pPr>
        <w:spacing w:after="120"/>
        <w:ind w:firstLine="425"/>
        <w:jc w:val="both"/>
      </w:pPr>
      <w:r>
        <w:rPr>
          <w:rFonts w:ascii="Times New Roman" w:hAnsi="Times New Roman"/>
          <w:b/>
          <w:sz w:val="20"/>
        </w:rPr>
        <w:t xml:space="preserve">1) Sanitization: </w:t>
      </w:r>
      <w:r>
        <w:rPr>
          <w:rFonts w:ascii="Times New Roman" w:hAnsi="Times New Roman"/>
          <w:sz w:val="20"/>
        </w:rPr>
        <w:t>The CommandSanitizer strips shell metacharacters and collapses whitespace; non-command messages (without ! prefix) are discarded.</w:t>
      </w:r>
    </w:p>
    <w:p>
      <w:pPr>
        <w:spacing w:after="120"/>
        <w:ind w:firstLine="425"/>
        <w:jc w:val="both"/>
      </w:pPr>
      <w:r>
        <w:rPr>
          <w:rFonts w:ascii="Times New Roman" w:hAnsi="Times New Roman"/>
          <w:b/>
          <w:sz w:val="20"/>
        </w:rPr>
        <w:t xml:space="preserve">2) Route Resolution: </w:t>
      </w:r>
      <w:r>
        <w:rPr>
          <w:rFonts w:ascii="Times New Roman" w:hAnsi="Times New Roman"/>
          <w:sz w:val="20"/>
        </w:rPr>
        <w:t>The CommandRouter performs a two-tier lookup—first against priority-ordered regex rules from the routing_rules table, then exact-matching the tools table.</w:t>
      </w:r>
    </w:p>
    <w:p>
      <w:pPr>
        <w:spacing w:after="120"/>
        <w:ind w:firstLine="425"/>
        <w:jc w:val="both"/>
      </w:pPr>
      <w:r>
        <w:rPr>
          <w:rFonts w:ascii="Times New Roman" w:hAnsi="Times New Roman"/>
          <w:b/>
          <w:sz w:val="20"/>
        </w:rPr>
        <w:t xml:space="preserve">3) Permission Validation: </w:t>
      </w:r>
      <w:r>
        <w:rPr>
          <w:rFonts w:ascii="Times New Roman" w:hAnsi="Times New Roman"/>
          <w:sz w:val="20"/>
        </w:rPr>
        <w:t>The user’s effective role is checked against the command’s required role; IDs in OMNIKERNAL_ADMINS receive automatic elevation.</w:t>
      </w:r>
    </w:p>
    <w:p>
      <w:pPr>
        <w:spacing w:after="120"/>
        <w:ind w:firstLine="425"/>
        <w:jc w:val="both"/>
      </w:pPr>
      <w:r>
        <w:rPr>
          <w:rFonts w:ascii="Times New Roman" w:hAnsi="Times New Roman"/>
          <w:b/>
          <w:sz w:val="20"/>
        </w:rPr>
        <w:t xml:space="preserve">4) Argument Parsing: </w:t>
      </w:r>
      <w:r>
        <w:rPr>
          <w:rFonts w:ascii="Times New Roman" w:hAnsi="Times New Roman"/>
          <w:sz w:val="20"/>
        </w:rPr>
        <w:t>Named arguments are extracted from the sanitized text via the route’s registered pattern.</w:t>
      </w:r>
    </w:p>
    <w:p>
      <w:pPr>
        <w:spacing w:after="120"/>
        <w:ind w:firstLine="425"/>
        <w:jc w:val="both"/>
      </w:pPr>
      <w:r>
        <w:rPr>
          <w:rFonts w:ascii="Times New Roman" w:hAnsi="Times New Roman"/>
          <w:b/>
          <w:sz w:val="20"/>
        </w:rPr>
        <w:t xml:space="preserve">5) Handler Execution: </w:t>
      </w:r>
      <w:r>
        <w:rPr>
          <w:rFonts w:ascii="Times New Roman" w:hAnsi="Times New Roman"/>
          <w:sz w:val="20"/>
        </w:rPr>
        <w:t>The handler module is lazily imported and its run(args, ctx) coroutine awaited. The CommandContext exposes user identity, a scoped logger, and encrypted API key retrieval—but excludes raw DB sessions or adapter references.</w:t>
      </w:r>
    </w:p>
    <w:p>
      <w:pPr>
        <w:spacing w:before="160" w:after="80"/>
      </w:pPr>
      <w:r>
        <w:rPr>
          <w:rFonts w:ascii="Times New Roman" w:hAnsi="Times New Roman"/>
          <w:b/>
          <w:i/>
          <w:sz w:val="20"/>
        </w:rPr>
        <w:t>4.2 Execution Modes</w:t>
      </w:r>
    </w:p>
    <w:p>
      <w:pPr>
        <w:spacing w:after="120"/>
        <w:ind w:firstLine="425"/>
        <w:jc w:val="both"/>
      </w:pPr>
      <w:r>
        <w:rPr>
          <w:rFonts w:ascii="Times New Roman" w:hAnsi="Times New Roman"/>
          <w:b/>
          <w:sz w:val="20"/>
        </w:rPr>
        <w:t xml:space="preserve">SelfMode (Autonomous): </w:t>
      </w:r>
      <w:r>
        <w:rPr>
          <w:rFonts w:ascii="Times New Roman" w:hAnsi="Times New Roman"/>
          <w:sz w:val="20"/>
        </w:rPr>
        <w:t>Polls adapter.fetch_new_messages() at a configurable interval (default 1.0 s), processes each message, and loops.</w:t>
      </w:r>
    </w:p>
    <w:p>
      <w:pPr>
        <w:spacing w:after="120"/>
        <w:ind w:firstLine="425"/>
        <w:jc w:val="both"/>
      </w:pPr>
      <w:r>
        <w:rPr>
          <w:rFonts w:ascii="Times New Roman" w:hAnsi="Times New Roman"/>
          <w:b/>
          <w:sz w:val="20"/>
        </w:rPr>
        <w:t xml:space="preserve">CoopMode (Human-in-Loop): </w:t>
      </w:r>
      <w:r>
        <w:rPr>
          <w:rFonts w:ascii="Times New Roman" w:hAnsi="Times New Roman"/>
          <w:sz w:val="20"/>
        </w:rPr>
        <w:t>Queues messages behind per-message asyncio.Event gates. External approval triggers processing; rejection discards the message. A session-per-request pattern prevents SQLAlchemy contention under concurrent approvals.</w:t>
      </w:r>
    </w:p>
    <w:p>
      <w:pPr>
        <w:spacing w:before="160" w:after="80"/>
      </w:pPr>
      <w:r>
        <w:rPr>
          <w:rFonts w:ascii="Times New Roman" w:hAnsi="Times New Roman"/>
          <w:b/>
          <w:i/>
          <w:sz w:val="20"/>
        </w:rPr>
        <w:t>4.3 Plugin System</w:t>
      </w:r>
    </w:p>
    <w:p>
      <w:pPr>
        <w:spacing w:after="120"/>
        <w:ind w:firstLine="425"/>
        <w:jc w:val="both"/>
      </w:pPr>
      <w:r>
        <w:rPr>
          <w:rFonts w:ascii="Times New Roman" w:hAnsi="Times New Roman"/>
          <w:sz w:val="20"/>
        </w:rPr>
        <w:t>Plugins reside in a locked directory structure (manifest.json, commands.yaml, permissions.json, handlers/*.py). The PluginEngine scans manifests and registers tools in the database without importing handler code, implementing a lazy-loading strategy that keeps boot fast and limits the attack surface.</w:t>
      </w:r>
    </w:p>
    <w:p>
      <w:pPr>
        <w:spacing w:before="160" w:after="80"/>
      </w:pPr>
      <w:r>
        <w:rPr>
          <w:rFonts w:ascii="Times New Roman" w:hAnsi="Times New Roman"/>
          <w:b/>
          <w:i/>
          <w:sz w:val="20"/>
        </w:rPr>
        <w:t>4.4 Security Architecture</w:t>
      </w:r>
    </w:p>
    <w:p>
      <w:pPr>
        <w:spacing w:after="120"/>
        <w:ind w:firstLine="425"/>
        <w:jc w:val="both"/>
      </w:pPr>
      <w:r>
        <w:rPr>
          <w:rFonts w:ascii="Times New Roman" w:hAnsi="Times New Roman"/>
          <w:b/>
          <w:sz w:val="20"/>
        </w:rPr>
        <w:t xml:space="preserve">Encryption at Rest: </w:t>
      </w:r>
      <w:r>
        <w:rPr>
          <w:rFonts w:ascii="Times New Roman" w:hAnsi="Times New Roman"/>
          <w:sz w:val="20"/>
        </w:rPr>
        <w:t>Fernet symmetric encryption protects API keys and session metadata. The master key is sourced from OMNIKERNAL_SECRET_KEY; a development fallback auto-generates a key to .dev.key with a warning.</w:t>
      </w:r>
    </w:p>
    <w:p>
      <w:pPr>
        <w:spacing w:after="120"/>
        <w:ind w:firstLine="425"/>
        <w:jc w:val="both"/>
      </w:pPr>
      <w:r>
        <w:rPr>
          <w:rFonts w:ascii="Times New Roman" w:hAnsi="Times New Roman"/>
          <w:b/>
          <w:sz w:val="20"/>
        </w:rPr>
        <w:t xml:space="preserve">Command Sanitization: </w:t>
      </w:r>
      <w:r>
        <w:rPr>
          <w:rFonts w:ascii="Times New Roman" w:hAnsi="Times New Roman"/>
          <w:sz w:val="20"/>
        </w:rPr>
        <w:t>An allowlist-based approach strips all shell metacharacters before parsing, blocking injection from adversarial or LLM-generated input.</w:t>
      </w:r>
    </w:p>
    <w:p>
      <w:pPr>
        <w:spacing w:after="120"/>
        <w:ind w:firstLine="425"/>
        <w:jc w:val="both"/>
      </w:pPr>
      <w:r>
        <w:rPr>
          <w:rFonts w:ascii="Times New Roman" w:hAnsi="Times New Roman"/>
          <w:b/>
          <w:sz w:val="20"/>
        </w:rPr>
        <w:t xml:space="preserve">API Watchdog (Circuit Breaker): </w:t>
      </w:r>
      <w:r>
        <w:rPr>
          <w:rFonts w:ascii="Times New Roman" w:hAnsi="Times New Roman"/>
          <w:sz w:val="20"/>
        </w:rPr>
        <w:t>Tracks consecutive endpoint failures; upon reaching threshold τ = 3, inserts a DeadApi record and disables the tool. Reactivation requires explicit administrator action.</w:t>
      </w:r>
    </w:p>
    <w:p>
      <w:pPr>
        <w:spacing w:after="120"/>
        <w:ind w:firstLine="425"/>
        <w:jc w:val="both"/>
      </w:pPr>
      <w:r>
        <w:rPr>
          <w:rFonts w:ascii="Times New Roman" w:hAnsi="Times New Roman"/>
          <w:b/>
          <w:sz w:val="20"/>
        </w:rPr>
        <w:t xml:space="preserve">Profile Isolation: </w:t>
      </w:r>
      <w:r>
        <w:rPr>
          <w:rFonts w:ascii="Times New Roman" w:hAnsi="Times New Roman"/>
          <w:sz w:val="20"/>
        </w:rPr>
        <w:t>PID-based lock files with atomic os.O_EXCL creation prevent concurrent instances. Two or more active profiles trigger headless enforcement for UI-based adapters.</w:t>
      </w:r>
    </w:p>
    <w:p>
      <w:pPr>
        <w:spacing w:before="160" w:after="80"/>
      </w:pPr>
      <w:r>
        <w:rPr>
          <w:rFonts w:ascii="Times New Roman" w:hAnsi="Times New Roman"/>
          <w:b/>
          <w:i/>
          <w:sz w:val="20"/>
        </w:rPr>
        <w:t>4.5 Implemented Adapters</w:t>
      </w:r>
    </w:p>
    <w:tbl>
      <w:tblPr>
        <w:tblStyle w:val="TableGrid"/>
        <w:tblW w:type="auto" w:w="0"/>
        <w:jc w:val="center"/>
        <w:tblLook w:firstColumn="1" w:firstRow="1" w:lastColumn="0" w:lastRow="0" w:noHBand="0" w:noVBand="1" w:val="04A0"/>
      </w:tblPr>
      <w:tblGrid>
        <w:gridCol w:w="2015"/>
        <w:gridCol w:w="2015"/>
        <w:gridCol w:w="2015"/>
        <w:gridCol w:w="2015"/>
        <w:gridCol w:w="2015"/>
      </w:tblGrid>
      <w:tr>
        <w:tc>
          <w:tcPr>
            <w:tcW w:type="dxa" w:w="2015"/>
          </w:tcPr>
          <w:p>
            <w:pPr>
              <w:jc w:val="center"/>
            </w:pPr>
            <w:r/>
            <w:r>
              <w:rPr>
                <w:rFonts w:ascii="Times New Roman" w:hAnsi="Times New Roman"/>
                <w:b/>
                <w:sz w:val="18"/>
              </w:rPr>
              <w:t>Adapter</w:t>
            </w:r>
          </w:p>
        </w:tc>
        <w:tc>
          <w:tcPr>
            <w:tcW w:type="dxa" w:w="2015"/>
          </w:tcPr>
          <w:p>
            <w:pPr>
              <w:jc w:val="center"/>
            </w:pPr>
            <w:r/>
            <w:r>
              <w:rPr>
                <w:rFonts w:ascii="Times New Roman" w:hAnsi="Times New Roman"/>
                <w:b/>
                <w:sz w:val="18"/>
              </w:rPr>
              <w:t>Mechanism</w:t>
            </w:r>
          </w:p>
        </w:tc>
        <w:tc>
          <w:tcPr>
            <w:tcW w:type="dxa" w:w="2015"/>
          </w:tcPr>
          <w:p>
            <w:pPr>
              <w:jc w:val="center"/>
            </w:pPr>
            <w:r/>
            <w:r>
              <w:rPr>
                <w:rFonts w:ascii="Times New Roman" w:hAnsi="Times New Roman"/>
                <w:b/>
                <w:sz w:val="18"/>
              </w:rPr>
              <w:t>RAM</w:t>
            </w:r>
          </w:p>
        </w:tc>
        <w:tc>
          <w:tcPr>
            <w:tcW w:type="dxa" w:w="2015"/>
          </w:tcPr>
          <w:p>
            <w:pPr>
              <w:jc w:val="center"/>
            </w:pPr>
            <w:r/>
            <w:r>
              <w:rPr>
                <w:rFonts w:ascii="Times New Roman" w:hAnsi="Times New Roman"/>
                <w:b/>
                <w:sz w:val="18"/>
              </w:rPr>
              <w:t>Disk</w:t>
            </w:r>
          </w:p>
        </w:tc>
        <w:tc>
          <w:tcPr>
            <w:tcW w:type="dxa" w:w="2015"/>
          </w:tcPr>
          <w:p>
            <w:pPr>
              <w:jc w:val="center"/>
            </w:pPr>
            <w:r/>
            <w:r>
              <w:rPr>
                <w:rFonts w:ascii="Times New Roman" w:hAnsi="Times New Roman"/>
                <w:b/>
                <w:sz w:val="18"/>
              </w:rPr>
              <w:t>Trait</w:t>
            </w:r>
          </w:p>
        </w:tc>
      </w:tr>
      <w:tr>
        <w:tc>
          <w:tcPr>
            <w:tcW w:type="dxa" w:w="2015"/>
          </w:tcPr>
          <w:p>
            <w:pPr>
              <w:jc w:val="center"/>
            </w:pPr>
            <w:r/>
            <w:r>
              <w:rPr>
                <w:rFonts w:ascii="Times New Roman" w:hAnsi="Times New Roman"/>
                <w:sz w:val="18"/>
              </w:rPr>
              <w:t>Playwright</w:t>
            </w:r>
          </w:p>
        </w:tc>
        <w:tc>
          <w:tcPr>
            <w:tcW w:type="dxa" w:w="2015"/>
          </w:tcPr>
          <w:p>
            <w:pPr>
              <w:jc w:val="center"/>
            </w:pPr>
            <w:r/>
            <w:r>
              <w:rPr>
                <w:rFonts w:ascii="Times New Roman" w:hAnsi="Times New Roman"/>
                <w:sz w:val="18"/>
              </w:rPr>
              <w:t>DOM scraping via Chromium</w:t>
            </w:r>
          </w:p>
        </w:tc>
        <w:tc>
          <w:tcPr>
            <w:tcW w:type="dxa" w:w="2015"/>
          </w:tcPr>
          <w:p>
            <w:pPr>
              <w:jc w:val="center"/>
            </w:pPr>
            <w:r/>
            <w:r>
              <w:rPr>
                <w:rFonts w:ascii="Times New Roman" w:hAnsi="Times New Roman"/>
                <w:sz w:val="18"/>
              </w:rPr>
              <w:t>~532 MB</w:t>
            </w:r>
          </w:p>
        </w:tc>
        <w:tc>
          <w:tcPr>
            <w:tcW w:type="dxa" w:w="2015"/>
          </w:tcPr>
          <w:p>
            <w:pPr>
              <w:jc w:val="center"/>
            </w:pPr>
            <w:r/>
            <w:r>
              <w:rPr>
                <w:rFonts w:ascii="Times New Roman" w:hAnsi="Times New Roman"/>
                <w:sz w:val="18"/>
              </w:rPr>
              <w:t>~250 MB</w:t>
            </w:r>
          </w:p>
        </w:tc>
        <w:tc>
          <w:tcPr>
            <w:tcW w:type="dxa" w:w="2015"/>
          </w:tcPr>
          <w:p>
            <w:pPr>
              <w:jc w:val="center"/>
            </w:pPr>
            <w:r/>
            <w:r>
              <w:rPr>
                <w:rFonts w:ascii="Times New Roman" w:hAnsi="Times New Roman"/>
                <w:sz w:val="18"/>
              </w:rPr>
              <w:t>Low detectability</w:t>
            </w:r>
          </w:p>
        </w:tc>
      </w:tr>
      <w:tr>
        <w:tc>
          <w:tcPr>
            <w:tcW w:type="dxa" w:w="2015"/>
          </w:tcPr>
          <w:p>
            <w:pPr>
              <w:jc w:val="center"/>
            </w:pPr>
            <w:r/>
            <w:r>
              <w:rPr>
                <w:rFonts w:ascii="Times New Roman" w:hAnsi="Times New Roman"/>
                <w:sz w:val="18"/>
              </w:rPr>
              <w:t>WAHA</w:t>
            </w:r>
          </w:p>
        </w:tc>
        <w:tc>
          <w:tcPr>
            <w:tcW w:type="dxa" w:w="2015"/>
          </w:tcPr>
          <w:p>
            <w:pPr>
              <w:jc w:val="center"/>
            </w:pPr>
            <w:r/>
            <w:r>
              <w:rPr>
                <w:rFonts w:ascii="Times New Roman" w:hAnsi="Times New Roman"/>
                <w:sz w:val="18"/>
              </w:rPr>
              <w:t>HTTP REST via Docker</w:t>
            </w:r>
          </w:p>
        </w:tc>
        <w:tc>
          <w:tcPr>
            <w:tcW w:type="dxa" w:w="2015"/>
          </w:tcPr>
          <w:p>
            <w:pPr>
              <w:jc w:val="center"/>
            </w:pPr>
            <w:r/>
            <w:r>
              <w:rPr>
                <w:rFonts w:ascii="Times New Roman" w:hAnsi="Times New Roman"/>
                <w:sz w:val="18"/>
              </w:rPr>
              <w:t>~817 MB</w:t>
            </w:r>
          </w:p>
        </w:tc>
        <w:tc>
          <w:tcPr>
            <w:tcW w:type="dxa" w:w="2015"/>
          </w:tcPr>
          <w:p>
            <w:pPr>
              <w:jc w:val="center"/>
            </w:pPr>
            <w:r/>
            <w:r>
              <w:rPr>
                <w:rFonts w:ascii="Times New Roman" w:hAnsi="Times New Roman"/>
                <w:sz w:val="18"/>
              </w:rPr>
              <w:t>~850 MB</w:t>
            </w:r>
          </w:p>
        </w:tc>
        <w:tc>
          <w:tcPr>
            <w:tcW w:type="dxa" w:w="2015"/>
          </w:tcPr>
          <w:p>
            <w:pPr>
              <w:jc w:val="center"/>
            </w:pPr>
            <w:r/>
            <w:r>
              <w:rPr>
                <w:rFonts w:ascii="Times New Roman" w:hAnsi="Times New Roman"/>
                <w:sz w:val="18"/>
              </w:rPr>
              <w:t>High reliability</w:t>
            </w:r>
          </w:p>
        </w:tc>
      </w:tr>
      <w:tr>
        <w:tc>
          <w:tcPr>
            <w:tcW w:type="dxa" w:w="2015"/>
          </w:tcPr>
          <w:p>
            <w:pPr>
              <w:jc w:val="center"/>
            </w:pPr>
            <w:r/>
            <w:r>
              <w:rPr>
                <w:rFonts w:ascii="Times New Roman" w:hAnsi="Times New Roman"/>
                <w:sz w:val="18"/>
              </w:rPr>
              <w:t>Baileys</w:t>
            </w:r>
          </w:p>
        </w:tc>
        <w:tc>
          <w:tcPr>
            <w:tcW w:type="dxa" w:w="2015"/>
          </w:tcPr>
          <w:p>
            <w:pPr>
              <w:jc w:val="center"/>
            </w:pPr>
            <w:r/>
            <w:r>
              <w:rPr>
                <w:rFonts w:ascii="Times New Roman" w:hAnsi="Times New Roman"/>
                <w:sz w:val="18"/>
              </w:rPr>
              <w:t>WebSocket via Node.js</w:t>
            </w:r>
          </w:p>
        </w:tc>
        <w:tc>
          <w:tcPr>
            <w:tcW w:type="dxa" w:w="2015"/>
          </w:tcPr>
          <w:p>
            <w:pPr>
              <w:jc w:val="center"/>
            </w:pPr>
            <w:r/>
            <w:r>
              <w:rPr>
                <w:rFonts w:ascii="Times New Roman" w:hAnsi="Times New Roman"/>
                <w:sz w:val="18"/>
              </w:rPr>
              <w:t>~169 MB</w:t>
            </w:r>
          </w:p>
        </w:tc>
        <w:tc>
          <w:tcPr>
            <w:tcW w:type="dxa" w:w="2015"/>
          </w:tcPr>
          <w:p>
            <w:pPr>
              <w:jc w:val="center"/>
            </w:pPr>
            <w:r/>
            <w:r>
              <w:rPr>
                <w:rFonts w:ascii="Times New Roman" w:hAnsi="Times New Roman"/>
                <w:sz w:val="18"/>
              </w:rPr>
              <w:t>~20 MB</w:t>
            </w:r>
          </w:p>
        </w:tc>
        <w:tc>
          <w:tcPr>
            <w:tcW w:type="dxa" w:w="2015"/>
          </w:tcPr>
          <w:p>
            <w:pPr>
              <w:jc w:val="center"/>
            </w:pPr>
            <w:r/>
            <w:r>
              <w:rPr>
                <w:rFonts w:ascii="Times New Roman" w:hAnsi="Times New Roman"/>
                <w:sz w:val="18"/>
              </w:rPr>
              <w:t>Lowest latency</w:t>
            </w:r>
          </w:p>
        </w:tc>
      </w:tr>
    </w:tbl>
    <w:p>
      <w:pPr>
        <w:spacing w:before="80" w:after="160"/>
        <w:jc w:val="center"/>
      </w:pPr>
      <w:r>
        <w:rPr>
          <w:rFonts w:ascii="Times New Roman" w:hAnsi="Times New Roman"/>
          <w:i/>
          <w:sz w:val="18"/>
        </w:rPr>
        <w:t>TABLE II: Implemented adapter packs.</w:t>
      </w:r>
    </w:p>
    <w:p/>
    <w:p>
      <w:pPr>
        <w:spacing w:before="160" w:after="80"/>
      </w:pPr>
      <w:r>
        <w:rPr>
          <w:rFonts w:ascii="Times New Roman" w:hAnsi="Times New Roman"/>
          <w:b/>
          <w:i/>
          <w:sz w:val="20"/>
        </w:rPr>
        <w:t>4.6 Technology Stack</w:t>
      </w:r>
    </w:p>
    <w:p>
      <w:pPr>
        <w:spacing w:after="120"/>
        <w:jc w:val="both"/>
      </w:pPr>
      <w:r>
        <w:rPr>
          <w:rFonts w:ascii="Times New Roman" w:hAnsi="Times New Roman"/>
          <w:sz w:val="20"/>
        </w:rPr>
        <w:t>Python ≥3.12, SQLAlchemy 2.x (async), SQLite + aiosqlite, cryptography (Fernet), loguru, ruff, mypy (strict), pytest (asyncio_mode=auto), uv package manager.</w:t>
      </w:r>
    </w:p>
    <w:p>
      <w:pPr>
        <w:spacing w:before="240" w:after="80"/>
      </w:pPr>
      <w:r>
        <w:rPr>
          <w:rFonts w:ascii="Times New Roman" w:hAnsi="Times New Roman"/>
          <w:b/>
          <w:sz w:val="24"/>
        </w:rPr>
        <w:t>5. Results, Evaluation, and Discussion</w:t>
      </w:r>
    </w:p>
    <w:p>
      <w:pPr>
        <w:spacing w:before="160" w:after="80"/>
      </w:pPr>
      <w:r>
        <w:rPr>
          <w:rFonts w:ascii="Times New Roman" w:hAnsi="Times New Roman"/>
          <w:b/>
          <w:i/>
          <w:sz w:val="20"/>
        </w:rPr>
        <w:t>5.1 Experimental Setup</w:t>
      </w:r>
    </w:p>
    <w:p>
      <w:pPr>
        <w:spacing w:after="120"/>
        <w:jc w:val="both"/>
      </w:pPr>
      <w:r>
        <w:rPr>
          <w:rFonts w:ascii="Times New Roman" w:hAnsi="Times New Roman"/>
          <w:sz w:val="20"/>
        </w:rPr>
        <w:t>All benchmarks run on a real OmniKernal instance using the console_mock adapter—an in-memory adapter that eliminates network I/O—ensuring measurements reflect core engine overhead only. The shared harness (harness.py) provides engine bootstrapping, time.perf_counter() timing (μs precision), and JSON result serialization. Platform: Windows 10/11, Python ≥3.12, SQLite.</w:t>
      </w:r>
    </w:p>
    <w:p>
      <w:pPr>
        <w:spacing w:before="160" w:after="80"/>
      </w:pPr>
      <w:r>
        <w:rPr>
          <w:rFonts w:ascii="Times New Roman" w:hAnsi="Times New Roman"/>
          <w:b/>
          <w:i/>
          <w:sz w:val="20"/>
        </w:rPr>
        <w:t>5.2 Benchmark Results</w:t>
      </w:r>
    </w:p>
    <w:p>
      <w:pPr>
        <w:spacing w:after="120"/>
        <w:ind w:firstLine="425"/>
        <w:jc w:val="both"/>
      </w:pPr>
      <w:r>
        <w:rPr>
          <w:rFonts w:ascii="Times New Roman" w:hAnsi="Times New Roman"/>
          <w:b/>
          <w:sz w:val="20"/>
        </w:rPr>
        <w:t xml:space="preserve">Message Latency. </w:t>
      </w:r>
      <w:r>
        <w:rPr>
          <w:rFonts w:ascii="Times New Roman" w:hAnsi="Times New Roman"/>
          <w:sz w:val="20"/>
        </w:rPr>
        <w:t>Table III reports end-to-end process(msg) timing for the !echo command.</w:t>
      </w:r>
    </w:p>
    <w:tbl>
      <w:tblPr>
        <w:tblStyle w:val="TableGrid"/>
        <w:tblW w:type="auto" w:w="0"/>
        <w:jc w:val="center"/>
        <w:tblLook w:firstColumn="1" w:firstRow="1" w:lastColumn="0" w:lastRow="0" w:noHBand="0" w:noVBand="1" w:val="04A0"/>
      </w:tblPr>
      <w:tblGrid>
        <w:gridCol w:w="2518"/>
        <w:gridCol w:w="2518"/>
        <w:gridCol w:w="2518"/>
        <w:gridCol w:w="2518"/>
      </w:tblGrid>
      <w:tr>
        <w:tc>
          <w:tcPr>
            <w:tcW w:type="dxa" w:w="2518"/>
          </w:tcPr>
          <w:p>
            <w:pPr>
              <w:jc w:val="center"/>
            </w:pPr>
            <w:r/>
            <w:r>
              <w:rPr>
                <w:rFonts w:ascii="Times New Roman" w:hAnsi="Times New Roman"/>
                <w:b/>
                <w:sz w:val="18"/>
              </w:rPr>
              <w:t>Users</w:t>
            </w:r>
          </w:p>
        </w:tc>
        <w:tc>
          <w:tcPr>
            <w:tcW w:type="dxa" w:w="2518"/>
          </w:tcPr>
          <w:p>
            <w:pPr>
              <w:jc w:val="center"/>
            </w:pPr>
            <w:r/>
            <w:r>
              <w:rPr>
                <w:rFonts w:ascii="Times New Roman" w:hAnsi="Times New Roman"/>
                <w:b/>
                <w:sz w:val="18"/>
              </w:rPr>
              <w:t>Min (ms)</w:t>
            </w:r>
          </w:p>
        </w:tc>
        <w:tc>
          <w:tcPr>
            <w:tcW w:type="dxa" w:w="2518"/>
          </w:tcPr>
          <w:p>
            <w:pPr>
              <w:jc w:val="center"/>
            </w:pPr>
            <w:r/>
            <w:r>
              <w:rPr>
                <w:rFonts w:ascii="Times New Roman" w:hAnsi="Times New Roman"/>
                <w:b/>
                <w:sz w:val="18"/>
              </w:rPr>
              <w:t>Max (ms)</w:t>
            </w:r>
          </w:p>
        </w:tc>
        <w:tc>
          <w:tcPr>
            <w:tcW w:type="dxa" w:w="2518"/>
          </w:tcPr>
          <w:p>
            <w:pPr>
              <w:jc w:val="center"/>
            </w:pPr>
            <w:r/>
            <w:r>
              <w:rPr>
                <w:rFonts w:ascii="Times New Roman" w:hAnsi="Times New Roman"/>
                <w:b/>
                <w:sz w:val="18"/>
              </w:rPr>
              <w:t>Mean (ms)</w:t>
            </w:r>
          </w:p>
        </w:tc>
      </w:tr>
      <w:tr>
        <w:tc>
          <w:tcPr>
            <w:tcW w:type="dxa" w:w="2518"/>
          </w:tcPr>
          <w:p>
            <w:pPr>
              <w:jc w:val="center"/>
            </w:pPr>
            <w:r/>
            <w:r>
              <w:rPr>
                <w:rFonts w:ascii="Times New Roman" w:hAnsi="Times New Roman"/>
                <w:sz w:val="18"/>
              </w:rPr>
              <w:t>1</w:t>
            </w:r>
          </w:p>
        </w:tc>
        <w:tc>
          <w:tcPr>
            <w:tcW w:type="dxa" w:w="2518"/>
          </w:tcPr>
          <w:p>
            <w:pPr>
              <w:jc w:val="center"/>
            </w:pPr>
            <w:r/>
            <w:r>
              <w:rPr>
                <w:rFonts w:ascii="Times New Roman" w:hAnsi="Times New Roman"/>
                <w:sz w:val="18"/>
              </w:rPr>
              <w:t>21.93</w:t>
            </w:r>
          </w:p>
        </w:tc>
        <w:tc>
          <w:tcPr>
            <w:tcW w:type="dxa" w:w="2518"/>
          </w:tcPr>
          <w:p>
            <w:pPr>
              <w:jc w:val="center"/>
            </w:pPr>
            <w:r/>
            <w:r>
              <w:rPr>
                <w:rFonts w:ascii="Times New Roman" w:hAnsi="Times New Roman"/>
                <w:sz w:val="18"/>
              </w:rPr>
              <w:t>21.93</w:t>
            </w:r>
          </w:p>
        </w:tc>
        <w:tc>
          <w:tcPr>
            <w:tcW w:type="dxa" w:w="2518"/>
          </w:tcPr>
          <w:p>
            <w:pPr>
              <w:jc w:val="center"/>
            </w:pPr>
            <w:r/>
            <w:r>
              <w:rPr>
                <w:rFonts w:ascii="Times New Roman" w:hAnsi="Times New Roman"/>
                <w:sz w:val="18"/>
              </w:rPr>
              <w:t>21.93</w:t>
            </w:r>
          </w:p>
        </w:tc>
      </w:tr>
      <w:tr>
        <w:tc>
          <w:tcPr>
            <w:tcW w:type="dxa" w:w="2518"/>
          </w:tcPr>
          <w:p>
            <w:pPr>
              <w:jc w:val="center"/>
            </w:pPr>
            <w:r/>
            <w:r>
              <w:rPr>
                <w:rFonts w:ascii="Times New Roman" w:hAnsi="Times New Roman"/>
                <w:sz w:val="18"/>
              </w:rPr>
              <w:t>10</w:t>
            </w:r>
          </w:p>
        </w:tc>
        <w:tc>
          <w:tcPr>
            <w:tcW w:type="dxa" w:w="2518"/>
          </w:tcPr>
          <w:p>
            <w:pPr>
              <w:jc w:val="center"/>
            </w:pPr>
            <w:r/>
            <w:r>
              <w:rPr>
                <w:rFonts w:ascii="Times New Roman" w:hAnsi="Times New Roman"/>
                <w:sz w:val="18"/>
              </w:rPr>
              <w:t>10.33</w:t>
            </w:r>
          </w:p>
        </w:tc>
        <w:tc>
          <w:tcPr>
            <w:tcW w:type="dxa" w:w="2518"/>
          </w:tcPr>
          <w:p>
            <w:pPr>
              <w:jc w:val="center"/>
            </w:pPr>
            <w:r/>
            <w:r>
              <w:rPr>
                <w:rFonts w:ascii="Times New Roman" w:hAnsi="Times New Roman"/>
                <w:sz w:val="18"/>
              </w:rPr>
              <w:t>11.31</w:t>
            </w:r>
          </w:p>
        </w:tc>
        <w:tc>
          <w:tcPr>
            <w:tcW w:type="dxa" w:w="2518"/>
          </w:tcPr>
          <w:p>
            <w:pPr>
              <w:jc w:val="center"/>
            </w:pPr>
            <w:r/>
            <w:r>
              <w:rPr>
                <w:rFonts w:ascii="Times New Roman" w:hAnsi="Times New Roman"/>
                <w:sz w:val="18"/>
              </w:rPr>
              <w:t>10.64</w:t>
            </w:r>
          </w:p>
        </w:tc>
      </w:tr>
      <w:tr>
        <w:tc>
          <w:tcPr>
            <w:tcW w:type="dxa" w:w="2518"/>
          </w:tcPr>
          <w:p>
            <w:pPr>
              <w:jc w:val="center"/>
            </w:pPr>
            <w:r/>
            <w:r>
              <w:rPr>
                <w:rFonts w:ascii="Times New Roman" w:hAnsi="Times New Roman"/>
                <w:sz w:val="18"/>
              </w:rPr>
              <w:t>50</w:t>
            </w:r>
          </w:p>
        </w:tc>
        <w:tc>
          <w:tcPr>
            <w:tcW w:type="dxa" w:w="2518"/>
          </w:tcPr>
          <w:p>
            <w:pPr>
              <w:jc w:val="center"/>
            </w:pPr>
            <w:r/>
            <w:r>
              <w:rPr>
                <w:rFonts w:ascii="Times New Roman" w:hAnsi="Times New Roman"/>
                <w:sz w:val="18"/>
              </w:rPr>
              <w:t>9.49</w:t>
            </w:r>
          </w:p>
        </w:tc>
        <w:tc>
          <w:tcPr>
            <w:tcW w:type="dxa" w:w="2518"/>
          </w:tcPr>
          <w:p>
            <w:pPr>
              <w:jc w:val="center"/>
            </w:pPr>
            <w:r/>
            <w:r>
              <w:rPr>
                <w:rFonts w:ascii="Times New Roman" w:hAnsi="Times New Roman"/>
                <w:sz w:val="18"/>
              </w:rPr>
              <w:t>19.36</w:t>
            </w:r>
          </w:p>
        </w:tc>
        <w:tc>
          <w:tcPr>
            <w:tcW w:type="dxa" w:w="2518"/>
          </w:tcPr>
          <w:p>
            <w:pPr>
              <w:jc w:val="center"/>
            </w:pPr>
            <w:r/>
            <w:r>
              <w:rPr>
                <w:rFonts w:ascii="Times New Roman" w:hAnsi="Times New Roman"/>
                <w:sz w:val="18"/>
              </w:rPr>
              <w:t>11.46</w:t>
            </w:r>
          </w:p>
        </w:tc>
      </w:tr>
    </w:tbl>
    <w:p>
      <w:pPr>
        <w:spacing w:before="80" w:after="160"/>
        <w:jc w:val="center"/>
      </w:pPr>
      <w:r>
        <w:rPr>
          <w:rFonts w:ascii="Times New Roman" w:hAnsi="Times New Roman"/>
          <w:i/>
          <w:sz w:val="18"/>
        </w:rPr>
        <w:t>TABLE III: End-to-end message processing latency.</w:t>
      </w:r>
    </w:p>
    <w:p/>
    <w:p>
      <w:pPr>
        <w:spacing w:after="120"/>
        <w:ind w:firstLine="425"/>
        <w:jc w:val="both"/>
      </w:pPr>
      <w:r>
        <w:rPr>
          <w:rFonts w:ascii="Times New Roman" w:hAnsi="Times New Roman"/>
          <w:sz w:val="20"/>
        </w:rPr>
        <w:t>The single-user cold-start (21.93 ms) includes session initialization and first lazy import. Under sustained load, warm caches stabilize latency at ~10.6–11.5 ms.</w:t>
      </w:r>
    </w:p>
    <w:p>
      <w:pPr>
        <w:spacing w:after="120"/>
        <w:ind w:firstLine="425"/>
        <w:jc w:val="both"/>
      </w:pPr>
      <w:r>
        <w:rPr>
          <w:rFonts w:ascii="Times New Roman" w:hAnsi="Times New Roman"/>
          <w:b/>
          <w:sz w:val="20"/>
        </w:rPr>
        <w:t xml:space="preserve">Plugin Load Time. </w:t>
      </w:r>
      <w:r>
        <w:rPr>
          <w:rFonts w:ascii="Times New Roman" w:hAnsi="Times New Roman"/>
          <w:sz w:val="20"/>
        </w:rPr>
        <w:t>Discovery and registration average 8.72 ms (min 7.99, max 9.14 over 5 iterations), confirming fast declarative boot.</w:t>
      </w:r>
    </w:p>
    <w:p>
      <w:pPr>
        <w:spacing w:after="120"/>
        <w:ind w:firstLine="425"/>
        <w:jc w:val="both"/>
      </w:pPr>
      <w:r>
        <w:rPr>
          <w:rFonts w:ascii="Times New Roman" w:hAnsi="Times New Roman"/>
          <w:b/>
          <w:sz w:val="20"/>
        </w:rPr>
        <w:t xml:space="preserve">Database Lookup. </w:t>
      </w:r>
      <w:r>
        <w:rPr>
          <w:rFonts w:ascii="Times New Roman" w:hAnsi="Times New Roman"/>
          <w:sz w:val="20"/>
        </w:rPr>
        <w:t>SQLAlchemy queries average 1.61 ms vs. 0.0002 ms for an in-memory dict (≈10,000× overhead). The absolute cost is acceptable within the ~11 ms pipeline.</w:t>
      </w:r>
    </w:p>
    <w:p>
      <w:pPr>
        <w:spacing w:after="120"/>
        <w:ind w:firstLine="425"/>
        <w:jc w:val="both"/>
      </w:pPr>
      <w:r>
        <w:rPr>
          <w:rFonts w:ascii="Times New Roman" w:hAnsi="Times New Roman"/>
          <w:b/>
          <w:sz w:val="20"/>
        </w:rPr>
        <w:t xml:space="preserve">Memory. </w:t>
      </w:r>
      <w:r>
        <w:rPr>
          <w:rFonts w:ascii="Times New Roman" w:hAnsi="Times New Roman"/>
          <w:sz w:val="20"/>
        </w:rPr>
        <w:t>Profile activation adds negligible RSS: +0.00 MB after one profile, +0.01 MB after two.</w:t>
      </w:r>
    </w:p>
    <w:p>
      <w:pPr>
        <w:spacing w:after="120"/>
        <w:ind w:firstLine="425"/>
        <w:jc w:val="both"/>
      </w:pPr>
      <w:r>
        <w:rPr>
          <w:rFonts w:ascii="Times New Roman" w:hAnsi="Times New Roman"/>
          <w:b/>
          <w:sz w:val="20"/>
        </w:rPr>
        <w:t xml:space="preserve">Concurrent Throughput. </w:t>
      </w:r>
      <w:r>
        <w:rPr>
          <w:rFonts w:ascii="Times New Roman" w:hAnsi="Times New Roman"/>
          <w:sz w:val="20"/>
        </w:rPr>
        <w:t>Table IV shows asyncio.gather-based parallel processing.</w:t>
      </w:r>
    </w:p>
    <w:tbl>
      <w:tblPr>
        <w:tblStyle w:val="TableGrid"/>
        <w:tblW w:type="auto" w:w="0"/>
        <w:jc w:val="center"/>
        <w:tblLook w:firstColumn="1" w:firstRow="1" w:lastColumn="0" w:lastRow="0" w:noHBand="0" w:noVBand="1" w:val="04A0"/>
      </w:tblPr>
      <w:tblGrid>
        <w:gridCol w:w="2518"/>
        <w:gridCol w:w="2518"/>
        <w:gridCol w:w="2518"/>
        <w:gridCol w:w="2518"/>
      </w:tblGrid>
      <w:tr>
        <w:tc>
          <w:tcPr>
            <w:tcW w:type="dxa" w:w="2518"/>
          </w:tcPr>
          <w:p>
            <w:pPr>
              <w:jc w:val="center"/>
            </w:pPr>
            <w:r/>
            <w:r>
              <w:rPr>
                <w:rFonts w:ascii="Times New Roman" w:hAnsi="Times New Roman"/>
                <w:b/>
                <w:sz w:val="18"/>
              </w:rPr>
              <w:t>Concurrent Msgs</w:t>
            </w:r>
          </w:p>
        </w:tc>
        <w:tc>
          <w:tcPr>
            <w:tcW w:type="dxa" w:w="2518"/>
          </w:tcPr>
          <w:p>
            <w:pPr>
              <w:jc w:val="center"/>
            </w:pPr>
            <w:r/>
            <w:r>
              <w:rPr>
                <w:rFonts w:ascii="Times New Roman" w:hAnsi="Times New Roman"/>
                <w:b/>
                <w:sz w:val="18"/>
              </w:rPr>
              <w:t>Total (ms)</w:t>
            </w:r>
          </w:p>
        </w:tc>
        <w:tc>
          <w:tcPr>
            <w:tcW w:type="dxa" w:w="2518"/>
          </w:tcPr>
          <w:p>
            <w:pPr>
              <w:jc w:val="center"/>
            </w:pPr>
            <w:r/>
            <w:r>
              <w:rPr>
                <w:rFonts w:ascii="Times New Roman" w:hAnsi="Times New Roman"/>
                <w:b/>
                <w:sz w:val="18"/>
              </w:rPr>
              <w:t>Per-Msg (ms)</w:t>
            </w:r>
          </w:p>
        </w:tc>
        <w:tc>
          <w:tcPr>
            <w:tcW w:type="dxa" w:w="2518"/>
          </w:tcPr>
          <w:p>
            <w:pPr>
              <w:jc w:val="center"/>
            </w:pPr>
            <w:r/>
            <w:r>
              <w:rPr>
                <w:rFonts w:ascii="Times New Roman" w:hAnsi="Times New Roman"/>
                <w:b/>
                <w:sz w:val="18"/>
              </w:rPr>
              <w:t>Throughput (msg/s)</w:t>
            </w:r>
          </w:p>
        </w:tc>
      </w:tr>
      <w:tr>
        <w:tc>
          <w:tcPr>
            <w:tcW w:type="dxa" w:w="2518"/>
          </w:tcPr>
          <w:p>
            <w:pPr>
              <w:jc w:val="center"/>
            </w:pPr>
            <w:r/>
            <w:r>
              <w:rPr>
                <w:rFonts w:ascii="Times New Roman" w:hAnsi="Times New Roman"/>
                <w:sz w:val="18"/>
              </w:rPr>
              <w:t>1</w:t>
            </w:r>
          </w:p>
        </w:tc>
        <w:tc>
          <w:tcPr>
            <w:tcW w:type="dxa" w:w="2518"/>
          </w:tcPr>
          <w:p>
            <w:pPr>
              <w:jc w:val="center"/>
            </w:pPr>
            <w:r/>
            <w:r>
              <w:rPr>
                <w:rFonts w:ascii="Times New Roman" w:hAnsi="Times New Roman"/>
                <w:sz w:val="18"/>
              </w:rPr>
              <w:t>16.93</w:t>
            </w:r>
          </w:p>
        </w:tc>
        <w:tc>
          <w:tcPr>
            <w:tcW w:type="dxa" w:w="2518"/>
          </w:tcPr>
          <w:p>
            <w:pPr>
              <w:jc w:val="center"/>
            </w:pPr>
            <w:r/>
            <w:r>
              <w:rPr>
                <w:rFonts w:ascii="Times New Roman" w:hAnsi="Times New Roman"/>
                <w:sz w:val="18"/>
              </w:rPr>
              <w:t>16.56</w:t>
            </w:r>
          </w:p>
        </w:tc>
        <w:tc>
          <w:tcPr>
            <w:tcW w:type="dxa" w:w="2518"/>
          </w:tcPr>
          <w:p>
            <w:pPr>
              <w:jc w:val="center"/>
            </w:pPr>
            <w:r/>
            <w:r>
              <w:rPr>
                <w:rFonts w:ascii="Times New Roman" w:hAnsi="Times New Roman"/>
                <w:sz w:val="18"/>
              </w:rPr>
              <w:t>59.1</w:t>
            </w:r>
          </w:p>
        </w:tc>
      </w:tr>
      <w:tr>
        <w:tc>
          <w:tcPr>
            <w:tcW w:type="dxa" w:w="2518"/>
          </w:tcPr>
          <w:p>
            <w:pPr>
              <w:jc w:val="center"/>
            </w:pPr>
            <w:r/>
            <w:r>
              <w:rPr>
                <w:rFonts w:ascii="Times New Roman" w:hAnsi="Times New Roman"/>
                <w:sz w:val="18"/>
              </w:rPr>
              <w:t>10</w:t>
            </w:r>
          </w:p>
        </w:tc>
        <w:tc>
          <w:tcPr>
            <w:tcW w:type="dxa" w:w="2518"/>
          </w:tcPr>
          <w:p>
            <w:pPr>
              <w:jc w:val="center"/>
            </w:pPr>
            <w:r/>
            <w:r>
              <w:rPr>
                <w:rFonts w:ascii="Times New Roman" w:hAnsi="Times New Roman"/>
                <w:sz w:val="18"/>
              </w:rPr>
              <w:t>222.05</w:t>
            </w:r>
          </w:p>
        </w:tc>
        <w:tc>
          <w:tcPr>
            <w:tcW w:type="dxa" w:w="2518"/>
          </w:tcPr>
          <w:p>
            <w:pPr>
              <w:jc w:val="center"/>
            </w:pPr>
            <w:r/>
            <w:r>
              <w:rPr>
                <w:rFonts w:ascii="Times New Roman" w:hAnsi="Times New Roman"/>
                <w:sz w:val="18"/>
              </w:rPr>
              <w:t>105.03</w:t>
            </w:r>
          </w:p>
        </w:tc>
        <w:tc>
          <w:tcPr>
            <w:tcW w:type="dxa" w:w="2518"/>
          </w:tcPr>
          <w:p>
            <w:pPr>
              <w:jc w:val="center"/>
            </w:pPr>
            <w:r/>
            <w:r>
              <w:rPr>
                <w:rFonts w:ascii="Times New Roman" w:hAnsi="Times New Roman"/>
                <w:sz w:val="18"/>
              </w:rPr>
              <w:t>45.0</w:t>
            </w:r>
          </w:p>
        </w:tc>
      </w:tr>
      <w:tr>
        <w:tc>
          <w:tcPr>
            <w:tcW w:type="dxa" w:w="2518"/>
          </w:tcPr>
          <w:p>
            <w:pPr>
              <w:jc w:val="center"/>
            </w:pPr>
            <w:r/>
            <w:r>
              <w:rPr>
                <w:rFonts w:ascii="Times New Roman" w:hAnsi="Times New Roman"/>
                <w:sz w:val="18"/>
              </w:rPr>
              <w:t>50</w:t>
            </w:r>
          </w:p>
        </w:tc>
        <w:tc>
          <w:tcPr>
            <w:tcW w:type="dxa" w:w="2518"/>
          </w:tcPr>
          <w:p>
            <w:pPr>
              <w:jc w:val="center"/>
            </w:pPr>
            <w:r/>
            <w:r>
              <w:rPr>
                <w:rFonts w:ascii="Times New Roman" w:hAnsi="Times New Roman"/>
                <w:sz w:val="18"/>
              </w:rPr>
              <w:t>881.32</w:t>
            </w:r>
          </w:p>
        </w:tc>
        <w:tc>
          <w:tcPr>
            <w:tcW w:type="dxa" w:w="2518"/>
          </w:tcPr>
          <w:p>
            <w:pPr>
              <w:jc w:val="center"/>
            </w:pPr>
            <w:r/>
            <w:r>
              <w:rPr>
                <w:rFonts w:ascii="Times New Roman" w:hAnsi="Times New Roman"/>
                <w:sz w:val="18"/>
              </w:rPr>
              <w:t>333.32</w:t>
            </w:r>
          </w:p>
        </w:tc>
        <w:tc>
          <w:tcPr>
            <w:tcW w:type="dxa" w:w="2518"/>
          </w:tcPr>
          <w:p>
            <w:pPr>
              <w:jc w:val="center"/>
            </w:pPr>
            <w:r/>
            <w:r>
              <w:rPr>
                <w:rFonts w:ascii="Times New Roman" w:hAnsi="Times New Roman"/>
                <w:sz w:val="18"/>
              </w:rPr>
              <w:t>56.7</w:t>
            </w:r>
          </w:p>
        </w:tc>
      </w:tr>
    </w:tbl>
    <w:p>
      <w:pPr>
        <w:spacing w:before="80" w:after="160"/>
        <w:jc w:val="center"/>
      </w:pPr>
      <w:r>
        <w:rPr>
          <w:rFonts w:ascii="Times New Roman" w:hAnsi="Times New Roman"/>
          <w:i/>
          <w:sz w:val="18"/>
        </w:rPr>
        <w:t>TABLE IV: Concurrent throughput.</w:t>
      </w:r>
    </w:p>
    <w:p/>
    <w:p>
      <w:pPr>
        <w:spacing w:after="120"/>
        <w:ind w:firstLine="425"/>
        <w:jc w:val="both"/>
      </w:pPr>
      <w:r>
        <w:rPr>
          <w:rFonts w:ascii="Times New Roman" w:hAnsi="Times New Roman"/>
          <w:sz w:val="20"/>
        </w:rPr>
        <w:t>Throughput dips at 10 concurrent messages due to session-creation overhead but recovers at 50, demonstrating effective scaling.</w:t>
      </w:r>
    </w:p>
    <w:p>
      <w:pPr>
        <w:spacing w:after="120"/>
        <w:ind w:firstLine="425"/>
        <w:jc w:val="both"/>
      </w:pPr>
      <w:r>
        <w:rPr>
          <w:rFonts w:ascii="Times New Roman" w:hAnsi="Times New Roman"/>
          <w:b/>
          <w:sz w:val="20"/>
        </w:rPr>
        <w:t xml:space="preserve">Fault Isolation. </w:t>
      </w:r>
      <w:r>
        <w:rPr>
          <w:rFonts w:ascii="Times New Roman" w:hAnsi="Times New Roman"/>
          <w:sz w:val="20"/>
        </w:rPr>
        <w:t>An injected invalid command does not crash the engine; both surrounding valid commands complete successfully (2/2). Result: PASS.</w:t>
      </w:r>
    </w:p>
    <w:p>
      <w:pPr>
        <w:spacing w:before="160" w:after="80"/>
      </w:pPr>
      <w:r>
        <w:rPr>
          <w:rFonts w:ascii="Times New Roman" w:hAnsi="Times New Roman"/>
          <w:b/>
          <w:i/>
          <w:sz w:val="20"/>
        </w:rPr>
        <w:t>5.3 Performance Evaluation</w:t>
      </w:r>
    </w:p>
    <w:p>
      <w:pPr>
        <w:spacing w:after="120"/>
        <w:ind w:firstLine="425"/>
        <w:jc w:val="both"/>
      </w:pPr>
      <w:r>
        <w:rPr>
          <w:rFonts w:ascii="Times New Roman" w:hAnsi="Times New Roman"/>
          <w:sz w:val="20"/>
        </w:rPr>
        <w:t>The benchmarks validate three architectural claims: (i) the microkernel pipeline introduces bounded, predictable overhead (≤12 ms warm); (ii) lazy plugin loading keeps boot time under 9 ms; and (iii) the session-per-request pattern enables concurrent CoopMode processing without session contention. The 1.61 ms DB lookup cost is a deliberate trade-off for runtime-modifiable routing and persistent audit logging.</w:t>
      </w:r>
    </w:p>
    <w:p>
      <w:pPr>
        <w:spacing w:before="160" w:after="80"/>
      </w:pPr>
      <w:r>
        <w:rPr>
          <w:rFonts w:ascii="Times New Roman" w:hAnsi="Times New Roman"/>
          <w:b/>
          <w:i/>
          <w:sz w:val="20"/>
        </w:rPr>
        <w:t>5.4 Comparative Analysis</w:t>
      </w:r>
    </w:p>
    <w:tbl>
      <w:tblPr>
        <w:tblStyle w:val="TableGrid"/>
        <w:tblW w:type="auto" w:w="0"/>
        <w:jc w:val="center"/>
        <w:tblLook w:firstColumn="1" w:firstRow="1" w:lastColumn="0" w:lastRow="0" w:noHBand="0" w:noVBand="1" w:val="04A0"/>
      </w:tblPr>
      <w:tblGrid>
        <w:gridCol w:w="2518"/>
        <w:gridCol w:w="2518"/>
        <w:gridCol w:w="2518"/>
        <w:gridCol w:w="2518"/>
      </w:tblGrid>
      <w:tr>
        <w:tc>
          <w:tcPr>
            <w:tcW w:type="dxa" w:w="2518"/>
          </w:tcPr>
          <w:p>
            <w:pPr>
              <w:jc w:val="center"/>
            </w:pPr>
            <w:r/>
            <w:r>
              <w:rPr>
                <w:rFonts w:ascii="Times New Roman" w:hAnsi="Times New Roman"/>
                <w:b/>
                <w:sz w:val="18"/>
              </w:rPr>
              <w:t>Parameter</w:t>
            </w:r>
          </w:p>
        </w:tc>
        <w:tc>
          <w:tcPr>
            <w:tcW w:type="dxa" w:w="2518"/>
          </w:tcPr>
          <w:p>
            <w:pPr>
              <w:jc w:val="center"/>
            </w:pPr>
            <w:r/>
            <w:r>
              <w:rPr>
                <w:rFonts w:ascii="Times New Roman" w:hAnsi="Times New Roman"/>
                <w:b/>
                <w:sz w:val="18"/>
              </w:rPr>
              <w:t>Playwright (UI)</w:t>
            </w:r>
          </w:p>
        </w:tc>
        <w:tc>
          <w:tcPr>
            <w:tcW w:type="dxa" w:w="2518"/>
          </w:tcPr>
          <w:p>
            <w:pPr>
              <w:jc w:val="center"/>
            </w:pPr>
            <w:r/>
            <w:r>
              <w:rPr>
                <w:rFonts w:ascii="Times New Roman" w:hAnsi="Times New Roman"/>
                <w:b/>
                <w:sz w:val="18"/>
              </w:rPr>
              <w:t>WAHA (REST)</w:t>
            </w:r>
          </w:p>
        </w:tc>
        <w:tc>
          <w:tcPr>
            <w:tcW w:type="dxa" w:w="2518"/>
          </w:tcPr>
          <w:p>
            <w:pPr>
              <w:jc w:val="center"/>
            </w:pPr>
            <w:r/>
            <w:r>
              <w:rPr>
                <w:rFonts w:ascii="Times New Roman" w:hAnsi="Times New Roman"/>
                <w:b/>
                <w:sz w:val="18"/>
              </w:rPr>
              <w:t>Baileys (Socket)</w:t>
            </w:r>
          </w:p>
        </w:tc>
      </w:tr>
      <w:tr>
        <w:tc>
          <w:tcPr>
            <w:tcW w:type="dxa" w:w="2518"/>
          </w:tcPr>
          <w:p>
            <w:pPr>
              <w:jc w:val="center"/>
            </w:pPr>
            <w:r/>
            <w:r>
              <w:rPr>
                <w:rFonts w:ascii="Times New Roman" w:hAnsi="Times New Roman"/>
                <w:sz w:val="18"/>
              </w:rPr>
              <w:t>Mechanism</w:t>
            </w:r>
          </w:p>
        </w:tc>
        <w:tc>
          <w:tcPr>
            <w:tcW w:type="dxa" w:w="2518"/>
          </w:tcPr>
          <w:p>
            <w:pPr>
              <w:jc w:val="center"/>
            </w:pPr>
            <w:r/>
            <w:r>
              <w:rPr>
                <w:rFonts w:ascii="Times New Roman" w:hAnsi="Times New Roman"/>
                <w:sz w:val="18"/>
              </w:rPr>
              <w:t>DOM Manipulation</w:t>
            </w:r>
          </w:p>
        </w:tc>
        <w:tc>
          <w:tcPr>
            <w:tcW w:type="dxa" w:w="2518"/>
          </w:tcPr>
          <w:p>
            <w:pPr>
              <w:jc w:val="center"/>
            </w:pPr>
            <w:r/>
            <w:r>
              <w:rPr>
                <w:rFonts w:ascii="Times New Roman" w:hAnsi="Times New Roman"/>
                <w:sz w:val="18"/>
              </w:rPr>
              <w:t>HTTP REST/Proxy</w:t>
            </w:r>
          </w:p>
        </w:tc>
        <w:tc>
          <w:tcPr>
            <w:tcW w:type="dxa" w:w="2518"/>
          </w:tcPr>
          <w:p>
            <w:pPr>
              <w:jc w:val="center"/>
            </w:pPr>
            <w:r/>
            <w:r>
              <w:rPr>
                <w:rFonts w:ascii="Times New Roman" w:hAnsi="Times New Roman"/>
                <w:sz w:val="18"/>
              </w:rPr>
              <w:t>WebSocket/Protobuf</w:t>
            </w:r>
          </w:p>
        </w:tc>
      </w:tr>
      <w:tr>
        <w:tc>
          <w:tcPr>
            <w:tcW w:type="dxa" w:w="2518"/>
          </w:tcPr>
          <w:p>
            <w:pPr>
              <w:jc w:val="center"/>
            </w:pPr>
            <w:r/>
            <w:r>
              <w:rPr>
                <w:rFonts w:ascii="Times New Roman" w:hAnsi="Times New Roman"/>
                <w:sz w:val="18"/>
              </w:rPr>
              <w:t>Boot Time</w:t>
            </w:r>
          </w:p>
        </w:tc>
        <w:tc>
          <w:tcPr>
            <w:tcW w:type="dxa" w:w="2518"/>
          </w:tcPr>
          <w:p>
            <w:pPr>
              <w:jc w:val="center"/>
            </w:pPr>
            <w:r/>
            <w:r>
              <w:rPr>
                <w:rFonts w:ascii="Times New Roman" w:hAnsi="Times New Roman"/>
                <w:sz w:val="18"/>
              </w:rPr>
              <w:t>~4.3 s</w:t>
            </w:r>
          </w:p>
        </w:tc>
        <w:tc>
          <w:tcPr>
            <w:tcW w:type="dxa" w:w="2518"/>
          </w:tcPr>
          <w:p>
            <w:pPr>
              <w:jc w:val="center"/>
            </w:pPr>
            <w:r/>
            <w:r>
              <w:rPr>
                <w:rFonts w:ascii="Times New Roman" w:hAnsi="Times New Roman"/>
                <w:sz w:val="18"/>
              </w:rPr>
              <w:t>~4.1 s</w:t>
            </w:r>
          </w:p>
        </w:tc>
        <w:tc>
          <w:tcPr>
            <w:tcW w:type="dxa" w:w="2518"/>
          </w:tcPr>
          <w:p>
            <w:pPr>
              <w:jc w:val="center"/>
            </w:pPr>
            <w:r/>
            <w:r>
              <w:rPr>
                <w:rFonts w:ascii="Times New Roman" w:hAnsi="Times New Roman"/>
                <w:sz w:val="18"/>
              </w:rPr>
              <w:t>~3.0 s</w:t>
            </w:r>
          </w:p>
        </w:tc>
      </w:tr>
      <w:tr>
        <w:tc>
          <w:tcPr>
            <w:tcW w:type="dxa" w:w="2518"/>
          </w:tcPr>
          <w:p>
            <w:pPr>
              <w:jc w:val="center"/>
            </w:pPr>
            <w:r/>
            <w:r>
              <w:rPr>
                <w:rFonts w:ascii="Times New Roman" w:hAnsi="Times New Roman"/>
                <w:sz w:val="18"/>
              </w:rPr>
              <w:t>RAM</w:t>
            </w:r>
          </w:p>
        </w:tc>
        <w:tc>
          <w:tcPr>
            <w:tcW w:type="dxa" w:w="2518"/>
          </w:tcPr>
          <w:p>
            <w:pPr>
              <w:jc w:val="center"/>
            </w:pPr>
            <w:r/>
            <w:r>
              <w:rPr>
                <w:rFonts w:ascii="Times New Roman" w:hAnsi="Times New Roman"/>
                <w:sz w:val="18"/>
              </w:rPr>
              <w:t>~532 MB</w:t>
            </w:r>
          </w:p>
        </w:tc>
        <w:tc>
          <w:tcPr>
            <w:tcW w:type="dxa" w:w="2518"/>
          </w:tcPr>
          <w:p>
            <w:pPr>
              <w:jc w:val="center"/>
            </w:pPr>
            <w:r/>
            <w:r>
              <w:rPr>
                <w:rFonts w:ascii="Times New Roman" w:hAnsi="Times New Roman"/>
                <w:sz w:val="18"/>
              </w:rPr>
              <w:t>~817 MB</w:t>
            </w:r>
          </w:p>
        </w:tc>
        <w:tc>
          <w:tcPr>
            <w:tcW w:type="dxa" w:w="2518"/>
          </w:tcPr>
          <w:p>
            <w:pPr>
              <w:jc w:val="center"/>
            </w:pPr>
            <w:r/>
            <w:r>
              <w:rPr>
                <w:rFonts w:ascii="Times New Roman" w:hAnsi="Times New Roman"/>
                <w:sz w:val="18"/>
              </w:rPr>
              <w:t>~169 MB</w:t>
            </w:r>
          </w:p>
        </w:tc>
      </w:tr>
      <w:tr>
        <w:tc>
          <w:tcPr>
            <w:tcW w:type="dxa" w:w="2518"/>
          </w:tcPr>
          <w:p>
            <w:pPr>
              <w:jc w:val="center"/>
            </w:pPr>
            <w:r/>
            <w:r>
              <w:rPr>
                <w:rFonts w:ascii="Times New Roman" w:hAnsi="Times New Roman"/>
                <w:sz w:val="18"/>
              </w:rPr>
              <w:t>Mean Latency</w:t>
            </w:r>
          </w:p>
        </w:tc>
        <w:tc>
          <w:tcPr>
            <w:tcW w:type="dxa" w:w="2518"/>
          </w:tcPr>
          <w:p>
            <w:pPr>
              <w:jc w:val="center"/>
            </w:pPr>
            <w:r/>
            <w:r>
              <w:rPr>
                <w:rFonts w:ascii="Times New Roman" w:hAnsi="Times New Roman"/>
                <w:sz w:val="18"/>
              </w:rPr>
              <w:t>~40,361 ms</w:t>
            </w:r>
          </w:p>
        </w:tc>
        <w:tc>
          <w:tcPr>
            <w:tcW w:type="dxa" w:w="2518"/>
          </w:tcPr>
          <w:p>
            <w:pPr>
              <w:jc w:val="center"/>
            </w:pPr>
            <w:r/>
            <w:r>
              <w:rPr>
                <w:rFonts w:ascii="Times New Roman" w:hAnsi="Times New Roman"/>
                <w:sz w:val="18"/>
              </w:rPr>
              <w:t>~10.4 ms</w:t>
            </w:r>
          </w:p>
        </w:tc>
        <w:tc>
          <w:tcPr>
            <w:tcW w:type="dxa" w:w="2518"/>
          </w:tcPr>
          <w:p>
            <w:pPr>
              <w:jc w:val="center"/>
            </w:pPr>
            <w:r/>
            <w:r>
              <w:rPr>
                <w:rFonts w:ascii="Times New Roman" w:hAnsi="Times New Roman"/>
                <w:sz w:val="18"/>
              </w:rPr>
              <w:t>~11.8 ms</w:t>
            </w:r>
          </w:p>
        </w:tc>
      </w:tr>
      <w:tr>
        <w:tc>
          <w:tcPr>
            <w:tcW w:type="dxa" w:w="2518"/>
          </w:tcPr>
          <w:p>
            <w:pPr>
              <w:jc w:val="center"/>
            </w:pPr>
            <w:r/>
            <w:r>
              <w:rPr>
                <w:rFonts w:ascii="Times New Roman" w:hAnsi="Times New Roman"/>
                <w:sz w:val="18"/>
              </w:rPr>
              <w:t>Jitter (σ)</w:t>
            </w:r>
          </w:p>
        </w:tc>
        <w:tc>
          <w:tcPr>
            <w:tcW w:type="dxa" w:w="2518"/>
          </w:tcPr>
          <w:p>
            <w:pPr>
              <w:jc w:val="center"/>
            </w:pPr>
            <w:r/>
            <w:r>
              <w:rPr>
                <w:rFonts w:ascii="Times New Roman" w:hAnsi="Times New Roman"/>
                <w:sz w:val="18"/>
              </w:rPr>
              <w:t>~39.3 ms</w:t>
            </w:r>
          </w:p>
        </w:tc>
        <w:tc>
          <w:tcPr>
            <w:tcW w:type="dxa" w:w="2518"/>
          </w:tcPr>
          <w:p>
            <w:pPr>
              <w:jc w:val="center"/>
            </w:pPr>
            <w:r/>
            <w:r>
              <w:rPr>
                <w:rFonts w:ascii="Times New Roman" w:hAnsi="Times New Roman"/>
                <w:sz w:val="18"/>
              </w:rPr>
              <w:t>~4.5 ms</w:t>
            </w:r>
          </w:p>
        </w:tc>
        <w:tc>
          <w:tcPr>
            <w:tcW w:type="dxa" w:w="2518"/>
          </w:tcPr>
          <w:p>
            <w:pPr>
              <w:jc w:val="center"/>
            </w:pPr>
            <w:r/>
            <w:r>
              <w:rPr>
                <w:rFonts w:ascii="Times New Roman" w:hAnsi="Times New Roman"/>
                <w:sz w:val="18"/>
              </w:rPr>
              <w:t>~11.4 ms</w:t>
            </w:r>
          </w:p>
        </w:tc>
      </w:tr>
      <w:tr>
        <w:tc>
          <w:tcPr>
            <w:tcW w:type="dxa" w:w="2518"/>
          </w:tcPr>
          <w:p>
            <w:pPr>
              <w:jc w:val="center"/>
            </w:pPr>
            <w:r/>
            <w:r>
              <w:rPr>
                <w:rFonts w:ascii="Times New Roman" w:hAnsi="Times New Roman"/>
                <w:sz w:val="18"/>
              </w:rPr>
              <w:t>Protocol Eff.</w:t>
            </w:r>
          </w:p>
        </w:tc>
        <w:tc>
          <w:tcPr>
            <w:tcW w:type="dxa" w:w="2518"/>
          </w:tcPr>
          <w:p>
            <w:pPr>
              <w:jc w:val="center"/>
            </w:pPr>
            <w:r/>
            <w:r>
              <w:rPr>
                <w:rFonts w:ascii="Times New Roman" w:hAnsi="Times New Roman"/>
                <w:sz w:val="18"/>
              </w:rPr>
              <w:t>Low (HTML)</w:t>
            </w:r>
          </w:p>
        </w:tc>
        <w:tc>
          <w:tcPr>
            <w:tcW w:type="dxa" w:w="2518"/>
          </w:tcPr>
          <w:p>
            <w:pPr>
              <w:jc w:val="center"/>
            </w:pPr>
            <w:r/>
            <w:r>
              <w:rPr>
                <w:rFonts w:ascii="Times New Roman" w:hAnsi="Times New Roman"/>
                <w:sz w:val="18"/>
              </w:rPr>
              <w:t>Medium (JSON)</w:t>
            </w:r>
          </w:p>
        </w:tc>
        <w:tc>
          <w:tcPr>
            <w:tcW w:type="dxa" w:w="2518"/>
          </w:tcPr>
          <w:p>
            <w:pPr>
              <w:jc w:val="center"/>
            </w:pPr>
            <w:r/>
            <w:r>
              <w:rPr>
                <w:rFonts w:ascii="Times New Roman" w:hAnsi="Times New Roman"/>
                <w:sz w:val="18"/>
              </w:rPr>
              <w:t>High (Protobuf)</w:t>
            </w:r>
          </w:p>
        </w:tc>
      </w:tr>
      <w:tr>
        <w:tc>
          <w:tcPr>
            <w:tcW w:type="dxa" w:w="2518"/>
          </w:tcPr>
          <w:p>
            <w:pPr>
              <w:jc w:val="center"/>
            </w:pPr>
            <w:r/>
            <w:r>
              <w:rPr>
                <w:rFonts w:ascii="Times New Roman" w:hAnsi="Times New Roman"/>
                <w:sz w:val="18"/>
              </w:rPr>
              <w:t>Reliability</w:t>
            </w:r>
          </w:p>
        </w:tc>
        <w:tc>
          <w:tcPr>
            <w:tcW w:type="dxa" w:w="2518"/>
          </w:tcPr>
          <w:p>
            <w:pPr>
              <w:jc w:val="center"/>
            </w:pPr>
            <w:r/>
            <w:r>
              <w:rPr>
                <w:rFonts w:ascii="Times New Roman" w:hAnsi="Times New Roman"/>
                <w:sz w:val="18"/>
              </w:rPr>
              <w:t>Low</w:t>
            </w:r>
          </w:p>
        </w:tc>
        <w:tc>
          <w:tcPr>
            <w:tcW w:type="dxa" w:w="2518"/>
          </w:tcPr>
          <w:p>
            <w:pPr>
              <w:jc w:val="center"/>
            </w:pPr>
            <w:r/>
            <w:r>
              <w:rPr>
                <w:rFonts w:ascii="Times New Roman" w:hAnsi="Times New Roman"/>
                <w:sz w:val="18"/>
              </w:rPr>
              <w:t>High</w:t>
            </w:r>
          </w:p>
        </w:tc>
        <w:tc>
          <w:tcPr>
            <w:tcW w:type="dxa" w:w="2518"/>
          </w:tcPr>
          <w:p>
            <w:pPr>
              <w:jc w:val="center"/>
            </w:pPr>
            <w:r/>
            <w:r>
              <w:rPr>
                <w:rFonts w:ascii="Times New Roman" w:hAnsi="Times New Roman"/>
                <w:sz w:val="18"/>
              </w:rPr>
              <w:t>Medium</w:t>
            </w:r>
          </w:p>
        </w:tc>
      </w:tr>
      <w:tr>
        <w:tc>
          <w:tcPr>
            <w:tcW w:type="dxa" w:w="2518"/>
          </w:tcPr>
          <w:p>
            <w:pPr>
              <w:jc w:val="center"/>
            </w:pPr>
            <w:r/>
            <w:r>
              <w:rPr>
                <w:rFonts w:ascii="Times New Roman" w:hAnsi="Times New Roman"/>
                <w:sz w:val="18"/>
              </w:rPr>
              <w:t>Detect. Risk</w:t>
            </w:r>
          </w:p>
        </w:tc>
        <w:tc>
          <w:tcPr>
            <w:tcW w:type="dxa" w:w="2518"/>
          </w:tcPr>
          <w:p>
            <w:pPr>
              <w:jc w:val="center"/>
            </w:pPr>
            <w:r/>
            <w:r>
              <w:rPr>
                <w:rFonts w:ascii="Times New Roman" w:hAnsi="Times New Roman"/>
                <w:sz w:val="18"/>
              </w:rPr>
              <w:t>Low</w:t>
            </w:r>
          </w:p>
        </w:tc>
        <w:tc>
          <w:tcPr>
            <w:tcW w:type="dxa" w:w="2518"/>
          </w:tcPr>
          <w:p>
            <w:pPr>
              <w:jc w:val="center"/>
            </w:pPr>
            <w:r/>
            <w:r>
              <w:rPr>
                <w:rFonts w:ascii="Times New Roman" w:hAnsi="Times New Roman"/>
                <w:sz w:val="18"/>
              </w:rPr>
              <w:t>Medium</w:t>
            </w:r>
          </w:p>
        </w:tc>
        <w:tc>
          <w:tcPr>
            <w:tcW w:type="dxa" w:w="2518"/>
          </w:tcPr>
          <w:p>
            <w:pPr>
              <w:jc w:val="center"/>
            </w:pPr>
            <w:r/>
            <w:r>
              <w:rPr>
                <w:rFonts w:ascii="Times New Roman" w:hAnsi="Times New Roman"/>
                <w:sz w:val="18"/>
              </w:rPr>
              <w:t>High</w:t>
            </w:r>
          </w:p>
        </w:tc>
      </w:tr>
    </w:tbl>
    <w:p>
      <w:pPr>
        <w:spacing w:before="80" w:after="160"/>
        <w:jc w:val="center"/>
      </w:pPr>
      <w:r>
        <w:rPr>
          <w:rFonts w:ascii="Times New Roman" w:hAnsi="Times New Roman"/>
          <w:i/>
          <w:sz w:val="18"/>
        </w:rPr>
        <w:t>TABLE V: Comparative transport layer analysis.</w:t>
      </w:r>
    </w:p>
    <w:p/>
    <w:p>
      <w:pPr>
        <w:spacing w:after="120"/>
        <w:ind w:firstLine="425"/>
        <w:jc w:val="both"/>
      </w:pPr>
      <w:r>
        <w:rPr>
          <w:rFonts w:ascii="Times New Roman" w:hAnsi="Times New Roman"/>
          <w:sz w:val="20"/>
        </w:rPr>
        <w:t>Three trade-offs emerge: (1) Baileys achieves the lowest footprint (169 MB) and near-minimal latency (11.8 ms) but introduces stateful reliability challenges. (2) Playwright offers the lowest ban risk at extreme latency cost (40 s mean). (3) WAHA delivers the lowest jitter (4.5 ms) and highest reliability via stateless HTTP but requires Docker (850 MB deployment).</w:t>
      </w:r>
    </w:p>
    <w:p>
      <w:pPr>
        <w:spacing w:before="160" w:after="80"/>
      </w:pPr>
      <w:r>
        <w:rPr>
          <w:rFonts w:ascii="Times New Roman" w:hAnsi="Times New Roman"/>
          <w:b/>
          <w:i/>
          <w:sz w:val="20"/>
        </w:rPr>
        <w:t>5.5 Discussion</w:t>
      </w:r>
    </w:p>
    <w:p>
      <w:pPr>
        <w:spacing w:after="120"/>
        <w:ind w:firstLine="425"/>
        <w:jc w:val="both"/>
      </w:pPr>
      <w:r>
        <w:rPr>
          <w:rFonts w:ascii="Times New Roman" w:hAnsi="Times New Roman"/>
          <w:b/>
          <w:sz w:val="20"/>
        </w:rPr>
        <w:t xml:space="preserve">Architectural Validation. </w:t>
      </w:r>
      <w:r>
        <w:rPr>
          <w:rFonts w:ascii="Times New Roman" w:hAnsi="Times New Roman"/>
          <w:sz w:val="20"/>
        </w:rPr>
        <w:t>Confining all platform logic to adapter packs yields consistent sub-12 ms core processing regardless of the active transport, validating the microkernel hypothesis for automation middleware.</w:t>
      </w:r>
    </w:p>
    <w:p>
      <w:pPr>
        <w:spacing w:after="120"/>
        <w:ind w:firstLine="425"/>
        <w:jc w:val="both"/>
      </w:pPr>
      <w:r>
        <w:rPr>
          <w:rFonts w:ascii="Times New Roman" w:hAnsi="Times New Roman"/>
          <w:b/>
          <w:sz w:val="20"/>
        </w:rPr>
        <w:t xml:space="preserve">Security Model. </w:t>
      </w:r>
      <w:r>
        <w:rPr>
          <w:rFonts w:ascii="Times New Roman" w:hAnsi="Times New Roman"/>
          <w:sz w:val="20"/>
        </w:rPr>
        <w:t>The defense-in-depth approach covers four channels: input (sanitizer blocks injection), storage (Fernet encrypts credentials), execution (capability-limited CommandContext prevents privilege escalation), and availability (ApiWatchdog quarantines failing endpoints).</w:t>
      </w:r>
    </w:p>
    <w:p>
      <w:pPr>
        <w:spacing w:after="120"/>
        <w:ind w:firstLine="425"/>
        <w:jc w:val="both"/>
      </w:pPr>
      <w:r>
        <w:rPr>
          <w:rFonts w:ascii="Times New Roman" w:hAnsi="Times New Roman"/>
          <w:b/>
          <w:sz w:val="20"/>
        </w:rPr>
        <w:t xml:space="preserve">Transport Selection Heuristics. </w:t>
      </w:r>
      <w:r>
        <w:rPr>
          <w:rFonts w:ascii="Times New Roman" w:hAnsi="Times New Roman"/>
          <w:sz w:val="20"/>
        </w:rPr>
        <w:t>Use Baileys for latency-critical, resource-constrained deployments; WAHA for production systems requiring SLA-grade reliability; Playwright only when stealth against anti-automation detection outweighs performance.</w:t>
      </w:r>
    </w:p>
    <w:p>
      <w:pPr>
        <w:spacing w:before="240" w:after="80"/>
      </w:pPr>
      <w:r>
        <w:rPr>
          <w:rFonts w:ascii="Times New Roman" w:hAnsi="Times New Roman"/>
          <w:b/>
          <w:sz w:val="24"/>
        </w:rPr>
        <w:t>6. Conclusion</w:t>
      </w:r>
    </w:p>
    <w:p>
      <w:pPr>
        <w:spacing w:after="120"/>
        <w:ind w:firstLine="425"/>
        <w:jc w:val="both"/>
      </w:pPr>
      <w:r>
        <w:rPr>
          <w:rFonts w:ascii="Times New Roman" w:hAnsi="Times New Roman"/>
          <w:sz w:val="20"/>
        </w:rPr>
        <w:t>This paper presented OmniKernal, a security-first microkernel framework for transport-agnostic multi-platform automation orchestration. By applying operating system microkernel design principles to the domain of autonomous agent middleware, OmniKernal achieves true platform agnosticism through a four-method adapter contract, lazy-loaded plugin isolation via declarative manifests, multi-layered security through encryption, sanitization, and circuit-breaker patterns, and empirically validated performance through a comprehensive benchmark suite.</w:t>
      </w:r>
    </w:p>
    <w:p>
      <w:pPr>
        <w:spacing w:after="120"/>
        <w:ind w:firstLine="425"/>
        <w:jc w:val="both"/>
      </w:pPr>
      <w:r>
        <w:rPr>
          <w:rFonts w:ascii="Times New Roman" w:hAnsi="Times New Roman"/>
          <w:sz w:val="20"/>
        </w:rPr>
        <w:t>Our evaluation across three distinct transport layers—UI-scraping, REST-proxying, and WebSocket-bridging—demonstrates that the microkernel pattern enables measurable performance transparency, allowing practitioners to make data-driven transport selection decisions based on quantified trade-offs between latency, resource consumption, reliability, and detectability. The system achieves sub-22 ms end-to-end latency, 59.1 msg/s throughput, complete fault isolation, and negligible per-profile memory overhead, validating the architectural thesis that decoupled automation middleware can deliver both flexibility and performance.</w:t>
      </w:r>
    </w:p>
    <w:p>
      <w:pPr>
        <w:spacing w:after="120"/>
        <w:ind w:firstLine="425"/>
        <w:jc w:val="both"/>
      </w:pPr>
      <w:r>
        <w:rPr>
          <w:rFonts w:ascii="Times New Roman" w:hAnsi="Times New Roman"/>
          <w:sz w:val="20"/>
        </w:rPr>
        <w:t>OmniKernal provides a foundation for future research in multi-transport orchestration, dynamic transport switching, and distributed kernel federation, contributing to the emerging discipline of infrastructure engineering for autonomous agent ecosystems.</w:t>
      </w:r>
    </w:p>
    <w:p>
      <w:pPr>
        <w:spacing w:before="240" w:after="80"/>
      </w:pPr>
      <w:r>
        <w:rPr>
          <w:rFonts w:ascii="Times New Roman" w:hAnsi="Times New Roman"/>
          <w:b/>
          <w:sz w:val="24"/>
        </w:rPr>
        <w:t>7. Future Work</w:t>
      </w:r>
    </w:p>
    <w:p>
      <w:pPr>
        <w:spacing w:after="120"/>
        <w:ind w:firstLine="425"/>
        <w:jc w:val="both"/>
      </w:pPr>
      <w:r>
        <w:rPr>
          <w:rFonts w:ascii="Times New Roman" w:hAnsi="Times New Roman"/>
          <w:sz w:val="20"/>
        </w:rPr>
        <w:t>1) Multi-Transport Orchestration: Extending the AdapterLoader to support multiple simultaneously active adapters, enabling concurrent management of WhatsApp, Discord, and Slack through a unified routing layer.</w:t>
      </w:r>
    </w:p>
    <w:p>
      <w:pPr>
        <w:spacing w:after="120"/>
        <w:ind w:firstLine="425"/>
        <w:jc w:val="both"/>
      </w:pPr>
      <w:r>
        <w:rPr>
          <w:rFonts w:ascii="Times New Roman" w:hAnsi="Times New Roman"/>
          <w:sz w:val="20"/>
        </w:rPr>
        <w:t>2) Dynamic Transport Switching (DTS): Developing an AI-driven heuristic engine that monitors real-time transport health metrics and automatically migrates sessions between adapters when spam detection or degradation is detected.</w:t>
      </w:r>
    </w:p>
    <w:p>
      <w:pPr>
        <w:spacing w:after="120"/>
        <w:ind w:firstLine="425"/>
        <w:jc w:val="both"/>
      </w:pPr>
      <w:r>
        <w:rPr>
          <w:rFonts w:ascii="Times New Roman" w:hAnsi="Times New Roman"/>
          <w:sz w:val="20"/>
        </w:rPr>
        <w:t>3) Distributed Kernel Federation: Exploring decentralized orchestration where multiple OmniKernal nodes share encrypted state via a distributed database (e.g., CockroachDB), enabling agent memory persistence across node rotation.</w:t>
      </w:r>
    </w:p>
    <w:p>
      <w:pPr>
        <w:spacing w:after="120"/>
        <w:ind w:firstLine="425"/>
        <w:jc w:val="both"/>
      </w:pPr>
      <w:r>
        <w:rPr>
          <w:rFonts w:ascii="Times New Roman" w:hAnsi="Times New Roman"/>
          <w:sz w:val="20"/>
        </w:rPr>
        <w:t>4) Redis Async Queue: Offloading handler execution to distributed worker pools via Redis-backed task queues for horizontal scaling of computationally expensive plugins.</w:t>
      </w:r>
    </w:p>
    <w:p>
      <w:pPr>
        <w:spacing w:after="120"/>
        <w:ind w:firstLine="425"/>
        <w:jc w:val="both"/>
      </w:pPr>
      <w:r>
        <w:rPr>
          <w:rFonts w:ascii="Times New Roman" w:hAnsi="Times New Roman"/>
          <w:sz w:val="20"/>
        </w:rPr>
        <w:t>5) Plugin Hot-Reload: Implementing runtime handler updates by clearing sys.modules caches, enabling zero-downtime plugin deployment.</w:t>
      </w:r>
    </w:p>
    <w:p>
      <w:pPr>
        <w:spacing w:after="120"/>
        <w:ind w:firstLine="425"/>
        <w:jc w:val="both"/>
      </w:pPr>
      <w:r>
        <w:rPr>
          <w:rFonts w:ascii="Times New Roman" w:hAnsi="Times New Roman"/>
          <w:sz w:val="20"/>
        </w:rPr>
        <w:t>6) Trusted Execution Environments (TEE): Migrating the EncryptionEngine to hardware-backed TEEs (Intel SGX, ARM TrustZone) to ensure master keys never reside in host OS memory.</w:t>
      </w:r>
    </w:p>
    <w:p>
      <w:pPr>
        <w:spacing w:before="240" w:after="80"/>
      </w:pPr>
      <w:r>
        <w:rPr>
          <w:rFonts w:ascii="Times New Roman" w:hAnsi="Times New Roman"/>
          <w:b/>
          <w:sz w:val="24"/>
        </w:rPr>
        <w:t>References</w:t>
      </w:r>
    </w:p>
    <w:p>
      <w:pPr>
        <w:spacing w:after="40"/>
        <w:ind w:left="425" w:hanging="425"/>
        <w:jc w:val="both"/>
      </w:pPr>
      <w:r>
        <w:rPr>
          <w:rFonts w:ascii="Times New Roman" w:hAnsi="Times New Roman"/>
          <w:sz w:val="16"/>
        </w:rPr>
        <w:t>[1]</w:t>
        <w:tab/>
        <w:t>J. Wei et al., “Chain-of-Thought Prompting Elicits Reasoning in Large Language Models,” in Proc. Adv. Neural Inf. Process. Syst. (NeurIPS), 2022, pp. 24824–24837.</w:t>
      </w:r>
    </w:p>
    <w:p>
      <w:pPr>
        <w:spacing w:after="40"/>
        <w:ind w:left="425" w:hanging="425"/>
        <w:jc w:val="both"/>
      </w:pPr>
      <w:r>
        <w:rPr>
          <w:rFonts w:ascii="Times New Roman" w:hAnsi="Times New Roman"/>
          <w:sz w:val="16"/>
        </w:rPr>
        <w:t>[2]</w:t>
        <w:tab/>
        <w:t>pedroslopez, “whatsapp-web.js: A WhatsApp client library for NodeJS,” GitHub, 2023. [Online]. Available: https://github.com/pedroslopez/whatsapp-web.js</w:t>
      </w:r>
    </w:p>
    <w:p>
      <w:pPr>
        <w:spacing w:after="40"/>
        <w:ind w:left="425" w:hanging="425"/>
        <w:jc w:val="both"/>
      </w:pPr>
      <w:r>
        <w:rPr>
          <w:rFonts w:ascii="Times New Roman" w:hAnsi="Times New Roman"/>
          <w:sz w:val="16"/>
        </w:rPr>
        <w:t>[3]</w:t>
        <w:tab/>
        <w:t>Rapptz, “discord.py: An API wrapper for Discord written in Python,” GitHub, 2023. [Online]. Available: https://github.com/Rapptz/discord.py</w:t>
      </w:r>
    </w:p>
    <w:p>
      <w:pPr>
        <w:spacing w:after="40"/>
        <w:ind w:left="425" w:hanging="425"/>
        <w:jc w:val="both"/>
      </w:pPr>
      <w:r>
        <w:rPr>
          <w:rFonts w:ascii="Times New Roman" w:hAnsi="Times New Roman"/>
          <w:sz w:val="16"/>
        </w:rPr>
        <w:t>[4]</w:t>
        <w:tab/>
        <w:t>python-telegram-bot, “python-telegram-bot: Asynchronous interface for the Telegram Bot API,” GitHub, 2023. [Online]. Available: https://github.com/python-telegram-bot/python-telegram-bot</w:t>
      </w:r>
    </w:p>
    <w:p>
      <w:pPr>
        <w:spacing w:after="40"/>
        <w:ind w:left="425" w:hanging="425"/>
        <w:jc w:val="both"/>
      </w:pPr>
      <w:r>
        <w:rPr>
          <w:rFonts w:ascii="Times New Roman" w:hAnsi="Times New Roman"/>
          <w:sz w:val="16"/>
        </w:rPr>
        <w:t>[5]</w:t>
        <w:tab/>
        <w:t>E. W. Dijkstra, “On the role of scientific thought,” in Selected Writings on Computing: A Personal Perspective. New York, NY, USA: Springer-Verlag, 1982, pp. 60–66.</w:t>
      </w:r>
    </w:p>
    <w:p>
      <w:pPr>
        <w:spacing w:after="40"/>
        <w:ind w:left="425" w:hanging="425"/>
        <w:jc w:val="both"/>
      </w:pPr>
      <w:r>
        <w:rPr>
          <w:rFonts w:ascii="Times New Roman" w:hAnsi="Times New Roman"/>
          <w:sz w:val="16"/>
        </w:rPr>
        <w:t>[6]</w:t>
        <w:tab/>
        <w:t>E. Gamma, R. Helm, R. Johnson, and J. Vlissides, Design Patterns: Elements of Reusable Object-Oriented Software. Reading, MA, USA: Addison-Wesley, 1994.</w:t>
      </w:r>
    </w:p>
    <w:p>
      <w:pPr>
        <w:spacing w:after="40"/>
        <w:ind w:left="425" w:hanging="425"/>
        <w:jc w:val="both"/>
      </w:pPr>
      <w:r>
        <w:rPr>
          <w:rFonts w:ascii="Times New Roman" w:hAnsi="Times New Roman"/>
          <w:sz w:val="16"/>
        </w:rPr>
        <w:t>[7]</w:t>
        <w:tab/>
        <w:t>J. Liedtke, “On micro-kernel construction,” in Proc. 15th ACM Symp. Oper. Syst. Principles (SOSP), 1995, pp. 237–250.</w:t>
      </w:r>
    </w:p>
    <w:p>
      <w:pPr>
        <w:spacing w:after="40"/>
        <w:ind w:left="425" w:hanging="425"/>
        <w:jc w:val="both"/>
      </w:pPr>
      <w:r>
        <w:rPr>
          <w:rFonts w:ascii="Times New Roman" w:hAnsi="Times New Roman"/>
          <w:sz w:val="16"/>
        </w:rPr>
        <w:t>[8]</w:t>
        <w:tab/>
        <w:t>Microsoft, “Playwright: Fast and reliable end-to-end testing for modern web apps,” 2023. [Online]. Available: https://playwright.dev</w:t>
      </w:r>
    </w:p>
    <w:p>
      <w:pPr>
        <w:spacing w:after="40"/>
        <w:ind w:left="425" w:hanging="425"/>
        <w:jc w:val="both"/>
      </w:pPr>
      <w:r>
        <w:rPr>
          <w:rFonts w:ascii="Times New Roman" w:hAnsi="Times New Roman"/>
          <w:sz w:val="16"/>
        </w:rPr>
        <w:t>[9]</w:t>
        <w:tab/>
        <w:t>Meta Platforms, “WhatsApp Business Platform Cloud API,” 2023. [Online]. Available: https://developers.facebook.com/docs/whatsapp/cloud-api</w:t>
      </w:r>
    </w:p>
    <w:p>
      <w:pPr>
        <w:spacing w:after="40"/>
        <w:ind w:left="425" w:hanging="425"/>
        <w:jc w:val="both"/>
      </w:pPr>
      <w:r>
        <w:rPr>
          <w:rFonts w:ascii="Times New Roman" w:hAnsi="Times New Roman"/>
          <w:sz w:val="16"/>
        </w:rPr>
        <w:t>[10]</w:t>
        <w:tab/>
        <w:t>WhiskeySockets, “Baileys: Lightweight full-featured WhatsApp Web + Multi-Device API,” GitHub, 2023. [Online]. Available: https://github.com/WhiskeySockets/Baileys</w:t>
      </w:r>
    </w:p>
    <w:p>
      <w:pPr>
        <w:spacing w:after="40"/>
        <w:ind w:left="425" w:hanging="425"/>
        <w:jc w:val="both"/>
      </w:pPr>
      <w:r>
        <w:rPr>
          <w:rFonts w:ascii="Times New Roman" w:hAnsi="Times New Roman"/>
          <w:sz w:val="16"/>
        </w:rPr>
        <w:t>[11]</w:t>
        <w:tab/>
        <w:t>M. T. Nygard, Release It! Design and Deploy Production-Ready Software, 2nd ed. Raleigh, NC, USA: Pragmatic Bookshelf, 2018.</w:t>
      </w:r>
    </w:p>
    <w:p>
      <w:pPr>
        <w:spacing w:after="40"/>
        <w:ind w:left="425" w:hanging="425"/>
        <w:jc w:val="both"/>
      </w:pPr>
      <w:r>
        <w:rPr>
          <w:rFonts w:ascii="Times New Roman" w:hAnsi="Times New Roman"/>
          <w:sz w:val="16"/>
        </w:rPr>
        <w:t>[12]</w:t>
        <w:tab/>
        <w:t>A. Adamopoulou and L. Moussiades, “Chatbots: History, technology, and applications,” Mach. Learn. Appl., vol. 2, Art. no. 100006, 2020.</w:t>
      </w:r>
    </w:p>
    <w:p>
      <w:pPr>
        <w:spacing w:after="40"/>
        <w:ind w:left="425" w:hanging="425"/>
        <w:jc w:val="both"/>
      </w:pPr>
      <w:r>
        <w:rPr>
          <w:rFonts w:ascii="Times New Roman" w:hAnsi="Times New Roman"/>
          <w:sz w:val="16"/>
        </w:rPr>
        <w:t>[13]</w:t>
        <w:tab/>
        <w:t>M. Richards, Software Architecture Patterns. Sebastopol, CA, USA: O’Reilly Media, 2015.</w:t>
      </w:r>
    </w:p>
    <w:p>
      <w:pPr>
        <w:spacing w:after="40"/>
        <w:ind w:left="425" w:hanging="425"/>
        <w:jc w:val="both"/>
      </w:pPr>
      <w:r>
        <w:rPr>
          <w:rFonts w:ascii="Times New Roman" w:hAnsi="Times New Roman"/>
          <w:sz w:val="16"/>
        </w:rPr>
        <w:t>[14]</w:t>
        <w:tab/>
        <w:t>N. Dragoni et al., “Microservices: Yesterday, Today, and Tomorrow,” in Present and Ulterior Software Engineering, M. Mazzara and B. Meyer, Eds. Cham, Switzerland: Springer, 2017, pp. 195–216.</w:t>
      </w:r>
    </w:p>
    <w:p>
      <w:pPr>
        <w:spacing w:after="40"/>
        <w:ind w:left="425" w:hanging="425"/>
        <w:jc w:val="both"/>
      </w:pPr>
      <w:r>
        <w:rPr>
          <w:rFonts w:ascii="Times New Roman" w:hAnsi="Times New Roman"/>
          <w:sz w:val="16"/>
        </w:rPr>
        <w:t>[15]</w:t>
        <w:tab/>
        <w:t>A. P. Felt, E. Chin, S. Hanna, D. Song, and D. Wagner, “Android permissions demystified,” in Proc. 18th ACM Conf. Comput. Commun. Security (CCS), 2011, pp. 627–638.</w:t>
      </w:r>
    </w:p>
    <w:sectPr w:rsidR="00FC693F" w:rsidRPr="0006063C" w:rsidSect="00034616">
      <w:pgSz w:w="12240" w:h="15840"/>
      <w:pgMar w:top="1440" w:right="1083" w:bottom="1440" w:left="10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