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8"/>
        </w:rPr>
        <w:t>OmniKernal: A Security-First Microkernel</w:t>
        <w:br/>
        <w:t>Architecture for Transport-Agnostic</w:t>
        <w:br/>
        <w:t>Multi-Platform Automation Orchestration</w:t>
      </w:r>
    </w:p>
    <w:p>
      <w:pPr>
        <w:spacing w:after="40"/>
        <w:jc w:val="center"/>
      </w:pPr>
      <w:r>
        <w:rPr>
          <w:rFonts w:ascii="Times New Roman" w:hAnsi="Times New Roman"/>
          <w:sz w:val="22"/>
        </w:rPr>
        <w:t>Rohit Kumar</w:t>
      </w:r>
    </w:p>
    <w:p>
      <w:pPr>
        <w:spacing w:after="320"/>
        <w:jc w:val="center"/>
      </w:pPr>
      <w:r>
        <w:rPr>
          <w:rFonts w:ascii="Times New Roman" w:hAnsi="Times New Roman"/>
          <w:i/>
          <w:sz w:val="20"/>
        </w:rPr>
        <w:t>Birla Institute of Technology and Science (BITS), India</w:t>
      </w:r>
    </w:p>
    <w:p>
      <w:pPr>
        <w:spacing w:before="240" w:after="80"/>
        <w:jc w:val="left"/>
      </w:pPr>
      <w:r>
        <w:rPr>
          <w:rFonts w:ascii="Times New Roman" w:hAnsi="Times New Roman"/>
          <w:b/>
          <w:sz w:val="24"/>
        </w:rPr>
        <w:t>Abstract</w:t>
      </w:r>
    </w:p>
    <w:p>
      <w:pPr>
        <w:spacing w:after="120"/>
        <w:jc w:val="both"/>
      </w:pPr>
      <w:r>
        <w:rPr>
          <w:rFonts w:ascii="Times New Roman" w:hAnsi="Times New Roman"/>
          <w:sz w:val="20"/>
        </w:rPr>
        <w:t>The proliferation of autonomous agents and LLM-driven workflows has created a critical need for middleware capable of bridging intelligent systems to heterogeneous communication platforms. Existing automation frameworks are tightly coupled to specific platform SDKs, resulting in brittle architectures that cannot adapt to evolving transport protocols or scale across deployment environments. This paper introduces OmniKernal, a security-first, database-driven microkernel framework that applies operating system design principles—specifically the microkernel pattern—to multi-platform automation orchestration. OmniKernal enforces strict architectural invariants: zero SDK coupling in the core engine, lazy plugin execution via declarative manifests, capability-based handler isolation, and Fernet-encrypted credential management. The framework abstracts platform interaction into interchangeable Adapter Packs conforming to a four-method abstract contract, enabling transparent substitution of transport layers without modifying application logic. We implement and evaluate three representative transport strategies—UI-scraping via Playwright, REST-proxying via WAHA, and native WebSocket bridging via Baileys—targeting the WhatsApp platform as a case study. Our empirical evaluation demonstrates that OmniKernal achieves sub-22ms mean end-to-end message processing latency, sustains 59.1 messages/second throughput under sequential load, maintains complete fault isolation across handler failures, and introduces negligible memory overhead (+0.01 MB) per additional active profile. The results validate the architectural hypothesis that microkernel-based decoupling enables measurable performance transparency across fundamentally different transport paradigms, offering practitioners a data-driven framework for transport selection in agentic deployments.</w:t>
      </w:r>
    </w:p>
    <w:p>
      <w:pPr>
        <w:spacing w:after="120"/>
        <w:ind w:firstLine="425"/>
        <w:jc w:val="both"/>
      </w:pPr>
      <w:r>
        <w:rPr>
          <w:rFonts w:ascii="Times New Roman" w:hAnsi="Times New Roman"/>
          <w:b/>
          <w:sz w:val="20"/>
        </w:rPr>
        <w:t>Keywords—</w:t>
      </w:r>
      <w:r>
        <w:rPr>
          <w:rFonts w:ascii="Times New Roman" w:hAnsi="Times New Roman"/>
          <w:sz w:val="20"/>
        </w:rPr>
        <w:t>Microkernel Architecture, Multi-Platform Automation, Transport Abstraction, Adapter Pattern, Plugin Isolation, Performance Benchmarking, Agent Orchestration, Security-First Design</w:t>
      </w:r>
    </w:p>
    <w:p>
      <w:pPr>
        <w:spacing w:before="240" w:after="80"/>
        <w:jc w:val="left"/>
      </w:pPr>
      <w:r>
        <w:rPr>
          <w:rFonts w:ascii="Times New Roman" w:hAnsi="Times New Roman"/>
          <w:b/>
          <w:sz w:val="24"/>
        </w:rPr>
        <w:t>1. Introduction</w:t>
      </w:r>
    </w:p>
    <w:p>
      <w:pPr>
        <w:spacing w:before="160" w:after="80"/>
        <w:jc w:val="left"/>
      </w:pPr>
      <w:r>
        <w:rPr>
          <w:rFonts w:ascii="Times New Roman" w:hAnsi="Times New Roman"/>
          <w:b/>
          <w:i/>
          <w:sz w:val="20"/>
        </w:rPr>
        <w:t>1.1 Problem Statement</w:t>
      </w:r>
    </w:p>
    <w:p>
      <w:pPr>
        <w:spacing w:after="120"/>
        <w:ind w:firstLine="425"/>
        <w:jc w:val="both"/>
      </w:pPr>
      <w:r>
        <w:rPr>
          <w:rFonts w:ascii="Times New Roman" w:hAnsi="Times New Roman"/>
          <w:sz w:val="20"/>
        </w:rPr>
        <w:t>The emergence of Large Language Model (LLM)-powered agents has shifted the paradigm from prompt-response systems to autonomous workflows that interact with real-world communication platforms such as WhatsApp, Telegram, Discord, and Slack [1]. However, the middleware layer connecting these agents to platforms remains a critical bottleneck. Current automation frameworks—including popular libraries such as whatsapp-web.js [2], discord.py [3], and python-telegram-bot [4]—exhibit tight SDK coupling, where platform-specific logic permeates the entire application, creating monolithic architectures that resist platform migration, complicate testing, and violate fundamental software engineering principles such as the Separation of Concerns [5] and the Dependency Inversion Principle [6].</w:t>
      </w:r>
    </w:p>
    <w:p>
      <w:pPr>
        <w:spacing w:after="120"/>
        <w:ind w:firstLine="425"/>
        <w:jc w:val="both"/>
      </w:pPr>
      <w:r>
        <w:rPr>
          <w:rFonts w:ascii="Times New Roman" w:hAnsi="Times New Roman"/>
          <w:sz w:val="20"/>
        </w:rPr>
        <w:t>This coupling manifests in three critical deficiencies. First, portability failure: plugins and command handlers written for one platform cannot be reused on another without substantial rewriting. Second, resilience fragility: a failure in the transport layer (e.g., a WebSocket disconnection or API rate limit) propagates into the core logic, potentially crashing the entire application. Third, evaluation opacity: there exists no standardized framework for empirically comparing different transport strategies under controlled conditions, forcing practitioners to select transport layers based on anecdotal evidence rather than quantitative data.</w:t>
      </w:r>
    </w:p>
    <w:p>
      <w:pPr>
        <w:spacing w:before="160" w:after="80"/>
        <w:jc w:val="left"/>
      </w:pPr>
      <w:r>
        <w:rPr>
          <w:rFonts w:ascii="Times New Roman" w:hAnsi="Times New Roman"/>
          <w:b/>
          <w:i/>
          <w:sz w:val="20"/>
        </w:rPr>
        <w:t>1.2 Motivation</w:t>
      </w:r>
    </w:p>
    <w:p>
      <w:pPr>
        <w:spacing w:after="120"/>
        <w:ind w:firstLine="425"/>
        <w:jc w:val="both"/>
      </w:pPr>
      <w:r>
        <w:rPr>
          <w:rFonts w:ascii="Times New Roman" w:hAnsi="Times New Roman"/>
          <w:sz w:val="20"/>
        </w:rPr>
        <w:t>Operating system design has long addressed analogous challenges through the microkernel architecture [7], where a minimal core provides essential services (scheduling, IPC, memory management) while all other functionality—file systems, device drivers, network stacks—runs in user-space as interchangeable modules. This architectural pattern provides fault isolation, modularity, and the ability to swap subsystems without affecting the core. We posit that this same pattern, when adapted to the domain of automation middleware, can resolve the coupling, resilience, and evaluation challenges identified above.</w:t>
      </w:r>
    </w:p>
    <w:p>
      <w:pPr>
        <w:spacing w:after="120"/>
        <w:ind w:firstLine="425"/>
        <w:jc w:val="both"/>
      </w:pPr>
      <w:r>
        <w:rPr>
          <w:rFonts w:ascii="Times New Roman" w:hAnsi="Times New Roman"/>
          <w:sz w:val="20"/>
        </w:rPr>
        <w:t>Furthermore, the rapid evolution of platform APIs creates a unique challenge: WhatsApp alone offers three fundamentally different interaction paradigms—browser-based UI automation [8], cloud-hosted REST APIs [9], and native WebSocket protocol bridges [10]—each with distinct performance characteristics, resource requirements, and operational trade-offs. No existing framework provides a controlled environment for comparing these paradigms under identical workload conditions.</w:t>
      </w:r>
    </w:p>
    <w:p>
      <w:pPr>
        <w:spacing w:before="160" w:after="80"/>
        <w:jc w:val="left"/>
      </w:pPr>
      <w:r>
        <w:rPr>
          <w:rFonts w:ascii="Times New Roman" w:hAnsi="Times New Roman"/>
          <w:b/>
          <w:i/>
          <w:sz w:val="20"/>
        </w:rPr>
        <w:t>1.3 Contributions</w:t>
      </w:r>
    </w:p>
    <w:p>
      <w:pPr>
        <w:spacing w:after="120"/>
        <w:jc w:val="both"/>
      </w:pPr>
      <w:r>
        <w:rPr>
          <w:rFonts w:ascii="Times New Roman" w:hAnsi="Times New Roman"/>
          <w:sz w:val="20"/>
        </w:rPr>
        <w:t>This paper makes the following contributions:</w:t>
      </w:r>
    </w:p>
    <w:p>
      <w:pPr>
        <w:spacing w:after="120"/>
        <w:ind w:firstLine="425"/>
        <w:jc w:val="both"/>
      </w:pPr>
      <w:r>
        <w:rPr>
          <w:rFonts w:ascii="Times New Roman" w:hAnsi="Times New Roman"/>
          <w:sz w:val="20"/>
        </w:rPr>
        <w:t>1) Architectural Contribution: We present OmniKernal, a microkernel framework that enforces eight architectural invariants ensuring zero SDK coupling, lazy plugin execution, capability-based handler isolation, and encrypted credential management. The architecture enables transparent transport substitution through a four-method abstract adapter contract.</w:t>
      </w:r>
    </w:p>
    <w:p>
      <w:pPr>
        <w:spacing w:after="120"/>
        <w:ind w:firstLine="425"/>
        <w:jc w:val="both"/>
      </w:pPr>
      <w:r>
        <w:rPr>
          <w:rFonts w:ascii="Times New Roman" w:hAnsi="Times New Roman"/>
          <w:sz w:val="20"/>
        </w:rPr>
        <w:t>2) Transport Abstraction Model: We formalize the concept of Adapter Packs—self-describing, independently loadable transport modules that conform to a platform-agnostic PlatformAdapter abstract base class. We implement three representative adapters spanning three transport paradigms: UI-scraping (Playwright), REST-proxying (WAHA), and native WebSocket bridging (Baileys).</w:t>
      </w:r>
    </w:p>
    <w:p>
      <w:pPr>
        <w:spacing w:after="120"/>
        <w:ind w:firstLine="425"/>
        <w:jc w:val="both"/>
      </w:pPr>
      <w:r>
        <w:rPr>
          <w:rFonts w:ascii="Times New Roman" w:hAnsi="Times New Roman"/>
          <w:sz w:val="20"/>
        </w:rPr>
        <w:t>3) Security-First Design: We present an integrated security architecture comprising Fernet symmetric encryption for credentials at rest, allowlist-based command sanitization against injection attacks, and an automated API health watchdog implementing the Circuit Breaker pattern [11] with configurable failure thresholds.</w:t>
      </w:r>
    </w:p>
    <w:p>
      <w:pPr>
        <w:spacing w:after="120"/>
        <w:ind w:firstLine="425"/>
        <w:jc w:val="both"/>
      </w:pPr>
      <w:r>
        <w:rPr>
          <w:rFonts w:ascii="Times New Roman" w:hAnsi="Times New Roman"/>
          <w:sz w:val="20"/>
        </w:rPr>
        <w:t>4) Empirical Evaluation: We design and execute a comprehensive benchmark suite measuring six performance dimensions—message processing latency, plugin load time, database lookup overhead, memory footprint per profile, concurrent message throughput, and fault isolation—providing quantitative evidence for transport selection decisions.</w:t>
      </w:r>
    </w:p>
    <w:p>
      <w:pPr>
        <w:spacing w:after="120"/>
        <w:ind w:firstLine="425"/>
        <w:jc w:val="both"/>
      </w:pPr>
      <w:r>
        <w:rPr>
          <w:rFonts w:ascii="Times New Roman" w:hAnsi="Times New Roman"/>
          <w:sz w:val="20"/>
        </w:rPr>
        <w:t>5) Comparative Transport Analysis: We present the first systematic comparison of UI-scraping, REST-proxying, and WebSocket-bridging transport strategies within a controlled microkernel framework, quantifying trade-offs across latency, resource consumption, protocol efficiency, reliability, and detectability.</w:t>
      </w:r>
    </w:p>
    <w:p>
      <w:pPr>
        <w:spacing w:before="240" w:after="80"/>
        <w:jc w:val="left"/>
      </w:pPr>
      <w:r>
        <w:rPr>
          <w:rFonts w:ascii="Times New Roman" w:hAnsi="Times New Roman"/>
          <w:b/>
          <w:sz w:val="24"/>
        </w:rPr>
        <w:t>2. Related Work</w:t>
      </w:r>
    </w:p>
    <w:p>
      <w:pPr>
        <w:spacing w:before="160" w:after="80"/>
        <w:jc w:val="left"/>
      </w:pPr>
      <w:r>
        <w:rPr>
          <w:rFonts w:ascii="Times New Roman" w:hAnsi="Times New Roman"/>
          <w:b/>
          <w:i/>
          <w:sz w:val="20"/>
        </w:rPr>
        <w:t>2.1 Monolithic Bot Frameworks</w:t>
      </w:r>
    </w:p>
    <w:p>
      <w:pPr>
        <w:spacing w:after="120"/>
        <w:ind w:firstLine="425"/>
        <w:jc w:val="both"/>
      </w:pPr>
      <w:r>
        <w:rPr>
          <w:rFonts w:ascii="Times New Roman" w:hAnsi="Times New Roman"/>
          <w:sz w:val="20"/>
        </w:rPr>
        <w:t>The dominant paradigm for platform automation is the monolithic bot framework, exemplified by discord.py [3], python-telegram-bot [4], and whatsapp-web.js [2]. These frameworks provide convenient high-level APIs but fundamentally embed platform-specific logic throughout the application stack. Adamopoulou and Moussiades [12] analyzed architectural patterns in chatbot development and identified tight coupling as a primary impediment to maintainability and cross-platform portability. OmniKernal addresses this by relegating all platform-specific code to external adapter packs that the core engine never imports.</w:t>
      </w:r>
    </w:p>
    <w:p>
      <w:pPr>
        <w:spacing w:before="160" w:after="80"/>
        <w:jc w:val="left"/>
      </w:pPr>
      <w:r>
        <w:rPr>
          <w:rFonts w:ascii="Times New Roman" w:hAnsi="Times New Roman"/>
          <w:b/>
          <w:i/>
          <w:sz w:val="20"/>
        </w:rPr>
        <w:t>2.2 Microkernel and Plugin Architectures in Software Systems</w:t>
      </w:r>
    </w:p>
    <w:p>
      <w:pPr>
        <w:spacing w:after="120"/>
        <w:ind w:firstLine="425"/>
        <w:jc w:val="both"/>
      </w:pPr>
      <w:r>
        <w:rPr>
          <w:rFonts w:ascii="Times New Roman" w:hAnsi="Times New Roman"/>
          <w:sz w:val="20"/>
        </w:rPr>
        <w:t>The microkernel architecture, pioneered by Mach [13] and later refined in L4 [14] and QNX [15], has been extensively studied in operating system design. Liedtke [16] demonstrated that microkernel performance penalties can be minimized through careful IPC optimization. In the application domain, the Eclipse IDE [17] and OSGi specification [18] established the viability of plugin-based extensibility in non-OS contexts. Richards [19] formalized the microkernel pattern for application architecture, distinguishing core infrastructure from plug-in components. OmniKernal adapts these principles to automation middleware, uniquely combining database-driven plugin registration with lazy handler importing to minimize boot-time overhead while maintaining dynamic extensibility.</w:t>
      </w:r>
    </w:p>
    <w:p>
      <w:pPr>
        <w:spacing w:before="160" w:after="80"/>
        <w:jc w:val="left"/>
      </w:pPr>
      <w:r>
        <w:rPr>
          <w:rFonts w:ascii="Times New Roman" w:hAnsi="Times New Roman"/>
          <w:b/>
          <w:i/>
          <w:sz w:val="20"/>
        </w:rPr>
        <w:t>2.3 Transport Layer Abstraction</w:t>
      </w:r>
    </w:p>
    <w:p>
      <w:pPr>
        <w:spacing w:after="120"/>
        <w:ind w:firstLine="425"/>
        <w:jc w:val="both"/>
      </w:pPr>
      <w:r>
        <w:rPr>
          <w:rFonts w:ascii="Times New Roman" w:hAnsi="Times New Roman"/>
          <w:sz w:val="20"/>
        </w:rPr>
        <w:t>The concept of transport abstraction is well-established in distributed systems. gRPC [20] and Apache Thrift [21] provide transport-agnostic RPC frameworks, while the Abstract Factory pattern [22] enables runtime transport selection. In the messaging domain, WAMP (Web Application Messaging Protocol) [23] attempts to unify different messaging patterns. However, these abstractions operate at the protocol level rather than the platform-interaction level. OmniKernal’s adapter abstraction is unique in that it normalizes fundamentally different interaction paradigms—DOM manipulation, HTTP REST calls, and binary WebSocket frames—behind a single four-method contract.</w:t>
      </w:r>
    </w:p>
    <w:p>
      <w:pPr>
        <w:spacing w:before="160" w:after="80"/>
        <w:jc w:val="left"/>
      </w:pPr>
      <w:r>
        <w:rPr>
          <w:rFonts w:ascii="Times New Roman" w:hAnsi="Times New Roman"/>
          <w:b/>
          <w:i/>
          <w:sz w:val="20"/>
        </w:rPr>
        <w:t>2.4 Resilience Patterns in Distributed Automation</w:t>
      </w:r>
    </w:p>
    <w:p>
      <w:pPr>
        <w:spacing w:after="120"/>
        <w:ind w:firstLine="425"/>
        <w:jc w:val="both"/>
      </w:pPr>
      <w:r>
        <w:rPr>
          <w:rFonts w:ascii="Times New Roman" w:hAnsi="Times New Roman"/>
          <w:sz w:val="20"/>
        </w:rPr>
        <w:t>The Circuit Breaker pattern, formalized by Nygard [11] and implemented in libraries such as Netflix Hystrix [24] and Resilience4j [25], provides fault isolation in microservice architectures. Dragoni et al. [26] surveyed microservice design patterns, emphasizing the importance of failure containment. OmniKernal implements a domain-specific variant: the ApiWatchdog component tracks consecutive failures per transport endpoint and, upon exceeding a configurable threshold (τ = 3), quarantines the endpoint by persisting a DeadApi record in the database, preventing core-exhaustion from cascading transport failures.</w:t>
      </w:r>
    </w:p>
    <w:p>
      <w:pPr>
        <w:spacing w:before="160" w:after="80"/>
        <w:jc w:val="left"/>
      </w:pPr>
      <w:r>
        <w:rPr>
          <w:rFonts w:ascii="Times New Roman" w:hAnsi="Times New Roman"/>
          <w:b/>
          <w:i/>
          <w:sz w:val="20"/>
        </w:rPr>
        <w:t>2.5 Security in Automation Frameworks</w:t>
      </w:r>
    </w:p>
    <w:p>
      <w:pPr>
        <w:spacing w:after="120"/>
        <w:ind w:firstLine="425"/>
        <w:jc w:val="both"/>
      </w:pPr>
      <w:r>
        <w:rPr>
          <w:rFonts w:ascii="Times New Roman" w:hAnsi="Times New Roman"/>
          <w:sz w:val="20"/>
        </w:rPr>
        <w:t>Security in bot automation has received limited academic attention. Felt et al. [27] analyzed permission models in mobile platforms, while Barth et al. [28] studied web-based injection attacks. In the automation domain, OWASP guidelines for API security [29] provide relevant principles. OmniKernal contributes a holistic security architecture that addresses injection (allowlist-based sanitizer), credential exposure (Fernet encryption with environment-variable key management), and privilege escalation (role-based permission validation with environment-driven admin elevation).</w:t>
      </w:r>
    </w:p>
    <w:p>
      <w:pPr>
        <w:spacing w:before="160" w:after="80"/>
        <w:jc w:val="left"/>
      </w:pPr>
      <w:r>
        <w:rPr>
          <w:rFonts w:ascii="Times New Roman" w:hAnsi="Times New Roman"/>
          <w:b/>
          <w:i/>
          <w:sz w:val="20"/>
        </w:rPr>
        <w:t>2.6 Limitations of Existing Approaches</w:t>
      </w:r>
    </w:p>
    <w:p>
      <w:pPr>
        <w:spacing w:after="120"/>
        <w:jc w:val="both"/>
      </w:pPr>
      <w:r>
        <w:rPr>
          <w:rFonts w:ascii="Times New Roman" w:hAnsi="Times New Roman"/>
          <w:sz w:val="20"/>
        </w:rPr>
        <w:t>Table I summarizes the comparative positioning of OmniKernal against existing frameworks.</w:t>
      </w:r>
    </w:p>
    <w:tbl>
      <w:tblPr>
        <w:tblStyle w:val="TableGrid"/>
        <w:tblW w:type="auto" w:w="0"/>
        <w:jc w:val="center"/>
        <w:tblLook w:firstColumn="1" w:firstRow="1" w:lastColumn="0" w:lastRow="0" w:noHBand="0" w:noVBand="1" w:val="04A0"/>
      </w:tblPr>
      <w:tblGrid>
        <w:gridCol w:w="1679"/>
        <w:gridCol w:w="1679"/>
        <w:gridCol w:w="1679"/>
        <w:gridCol w:w="1679"/>
        <w:gridCol w:w="1679"/>
        <w:gridCol w:w="1679"/>
      </w:tblGrid>
      <w:tr>
        <w:tc>
          <w:tcPr>
            <w:tcW w:type="dxa" w:w="1679"/>
          </w:tcPr>
          <w:p>
            <w:pPr>
              <w:jc w:val="center"/>
            </w:pPr>
            <w:r/>
            <w:r>
              <w:rPr>
                <w:rFonts w:ascii="Times New Roman" w:hAnsi="Times New Roman"/>
                <w:b/>
                <w:sz w:val="18"/>
              </w:rPr>
              <w:t>Feature</w:t>
            </w:r>
          </w:p>
        </w:tc>
        <w:tc>
          <w:tcPr>
            <w:tcW w:type="dxa" w:w="1679"/>
          </w:tcPr>
          <w:p>
            <w:pPr>
              <w:jc w:val="center"/>
            </w:pPr>
            <w:r/>
            <w:r>
              <w:rPr>
                <w:rFonts w:ascii="Times New Roman" w:hAnsi="Times New Roman"/>
                <w:b/>
                <w:sz w:val="18"/>
              </w:rPr>
              <w:t>discord.py [3]</w:t>
            </w:r>
          </w:p>
        </w:tc>
        <w:tc>
          <w:tcPr>
            <w:tcW w:type="dxa" w:w="1679"/>
          </w:tcPr>
          <w:p>
            <w:pPr>
              <w:jc w:val="center"/>
            </w:pPr>
            <w:r/>
            <w:r>
              <w:rPr>
                <w:rFonts w:ascii="Times New Roman" w:hAnsi="Times New Roman"/>
                <w:b/>
                <w:sz w:val="18"/>
              </w:rPr>
              <w:t>whatsapp-web.js [2]</w:t>
            </w:r>
          </w:p>
        </w:tc>
        <w:tc>
          <w:tcPr>
            <w:tcW w:type="dxa" w:w="1679"/>
          </w:tcPr>
          <w:p>
            <w:pPr>
              <w:jc w:val="center"/>
            </w:pPr>
            <w:r/>
            <w:r>
              <w:rPr>
                <w:rFonts w:ascii="Times New Roman" w:hAnsi="Times New Roman"/>
                <w:b/>
                <w:sz w:val="18"/>
              </w:rPr>
              <w:t>Botpress [30]</w:t>
            </w:r>
          </w:p>
        </w:tc>
        <w:tc>
          <w:tcPr>
            <w:tcW w:type="dxa" w:w="1679"/>
          </w:tcPr>
          <w:p>
            <w:pPr>
              <w:jc w:val="center"/>
            </w:pPr>
            <w:r/>
            <w:r>
              <w:rPr>
                <w:rFonts w:ascii="Times New Roman" w:hAnsi="Times New Roman"/>
                <w:b/>
                <w:sz w:val="18"/>
              </w:rPr>
              <w:t>Rasa [31]</w:t>
            </w:r>
          </w:p>
        </w:tc>
        <w:tc>
          <w:tcPr>
            <w:tcW w:type="dxa" w:w="1679"/>
          </w:tcPr>
          <w:p>
            <w:pPr>
              <w:jc w:val="center"/>
            </w:pPr>
            <w:r/>
            <w:r>
              <w:rPr>
                <w:rFonts w:ascii="Times New Roman" w:hAnsi="Times New Roman"/>
                <w:b/>
                <w:sz w:val="18"/>
              </w:rPr>
              <w:t>OmniKernal</w:t>
            </w:r>
          </w:p>
        </w:tc>
      </w:tr>
      <w:tr>
        <w:tc>
          <w:tcPr>
            <w:tcW w:type="dxa" w:w="1679"/>
          </w:tcPr>
          <w:p>
            <w:pPr>
              <w:jc w:val="center"/>
            </w:pPr>
            <w:r/>
            <w:r>
              <w:rPr>
                <w:rFonts w:ascii="Times New Roman" w:hAnsi="Times New Roman"/>
                <w:sz w:val="18"/>
              </w:rPr>
              <w:t>Platform Agnostic Core</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Partial</w:t>
            </w:r>
          </w:p>
        </w:tc>
        <w:tc>
          <w:tcPr>
            <w:tcW w:type="dxa" w:w="1679"/>
          </w:tcPr>
          <w:p>
            <w:pPr>
              <w:jc w:val="center"/>
            </w:pPr>
            <w:r/>
            <w:r>
              <w:rPr>
                <w:rFonts w:ascii="Times New Roman" w:hAnsi="Times New Roman"/>
                <w:sz w:val="18"/>
              </w:rPr>
              <w:t>Partial</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Transport Substitution</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Lazy Plugin Loading</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DB-Driven Routing</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Partial</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Credential Encryption</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Partial</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Circuit Breaker</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Multi-Transport Benchmarking</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bl>
    <w:p>
      <w:pPr>
        <w:spacing w:before="80" w:after="160"/>
        <w:jc w:val="center"/>
      </w:pPr>
      <w:r>
        <w:rPr>
          <w:rFonts w:ascii="Times New Roman" w:hAnsi="Times New Roman"/>
          <w:i/>
          <w:sz w:val="18"/>
        </w:rPr>
        <w:t>TABLE I: Feature comparison of OmniKernal against existing automation frameworks.</w:t>
      </w:r>
    </w:p>
    <w:p/>
    <w:p>
      <w:pPr>
        <w:spacing w:before="240" w:after="80"/>
        <w:jc w:val="left"/>
      </w:pPr>
      <w:r>
        <w:rPr>
          <w:rFonts w:ascii="Times New Roman" w:hAnsi="Times New Roman"/>
          <w:b/>
          <w:sz w:val="24"/>
        </w:rPr>
        <w:t>3. System Architecture</w:t>
      </w:r>
    </w:p>
    <w:p>
      <w:pPr>
        <w:spacing w:before="160" w:after="80"/>
        <w:jc w:val="left"/>
      </w:pPr>
      <w:r>
        <w:rPr>
          <w:rFonts w:ascii="Times New Roman" w:hAnsi="Times New Roman"/>
          <w:b/>
          <w:i/>
          <w:sz w:val="20"/>
        </w:rPr>
        <w:t>3.1 Architectural Overview</w:t>
      </w:r>
    </w:p>
    <w:p>
      <w:pPr>
        <w:spacing w:after="120"/>
        <w:ind w:firstLine="425"/>
        <w:jc w:val="both"/>
      </w:pPr>
      <w:r>
        <w:rPr>
          <w:rFonts w:ascii="Times New Roman" w:hAnsi="Times New Roman"/>
          <w:sz w:val="20"/>
        </w:rPr>
        <w:t>OmniKernal follows a layered microkernel architecture comprising four primary layers. At the top, the User/Agent layer initiates interactions. The Platform Transport Layer contains three interchangeable adapters: Playwright (UI/DOM scraping), WAHA (REST API proxy), and Baileys (WebSocket/Protobuf). These connect through the PlatformAdapter ABC (4 methods) to the OmniKernal Core Engine, which houses the Parser, Dispatcher, Router, PermissionValidator, PluginEngine, ModeManager, and ProfileManager. Below this sits the Security Layer (EncryptionEngine, CommandSanitizer, ApiWatchdog), and at the base, the Database Layer (SQLAlchemy ORM managing plugins, tools, routing_rules, execution_logs, api_health, dead_apis, and tool_requirements tables).</w:t>
      </w:r>
    </w:p>
    <w:p>
      <w:pPr>
        <w:spacing w:before="160" w:after="80"/>
        <w:jc w:val="left"/>
      </w:pPr>
      <w:r>
        <w:rPr>
          <w:rFonts w:ascii="Times New Roman" w:hAnsi="Times New Roman"/>
          <w:b/>
          <w:i/>
          <w:sz w:val="20"/>
        </w:rPr>
        <w:t>3.2 Core Invariants</w:t>
      </w:r>
    </w:p>
    <w:p>
      <w:pPr>
        <w:spacing w:after="120"/>
        <w:jc w:val="both"/>
      </w:pPr>
      <w:r>
        <w:rPr>
          <w:rFonts w:ascii="Times New Roman" w:hAnsi="Times New Roman"/>
          <w:sz w:val="20"/>
        </w:rPr>
        <w:t>The architecture enforces eight immutable invariants that guarantee decoupling and security:</w:t>
      </w:r>
    </w:p>
    <w:p>
      <w:pPr>
        <w:spacing w:after="120"/>
        <w:ind w:firstLine="425"/>
        <w:jc w:val="both"/>
      </w:pPr>
      <w:r>
        <w:rPr>
          <w:rFonts w:ascii="Times New Roman" w:hAnsi="Times New Roman"/>
          <w:sz w:val="20"/>
        </w:rPr>
        <w:t>1) Zero SDK Coupling: The core engine (src/core/) contains zero platform-specific imports. All platform SDK dependencies reside exclusively in adapter_packs/.</w:t>
      </w:r>
    </w:p>
    <w:p>
      <w:pPr>
        <w:spacing w:after="120"/>
        <w:ind w:firstLine="425"/>
        <w:jc w:val="both"/>
      </w:pPr>
      <w:r>
        <w:rPr>
          <w:rFonts w:ascii="Times New Roman" w:hAnsi="Times New Roman"/>
          <w:sz w:val="20"/>
        </w:rPr>
        <w:t>2) Adapter Isolation: Platform I/O is exclusively mediated through the PlatformAdapter abstract base class, which defines exactly four async methods: connect(), fetch_new_messages(), send_message(), and disconnect().</w:t>
      </w:r>
    </w:p>
    <w:p>
      <w:pPr>
        <w:spacing w:after="120"/>
        <w:ind w:firstLine="425"/>
        <w:jc w:val="both"/>
      </w:pPr>
      <w:r>
        <w:rPr>
          <w:rFonts w:ascii="Times New Roman" w:hAnsi="Times New Roman"/>
          <w:sz w:val="20"/>
        </w:rPr>
        <w:t>3) Unidirectional Reply Flow: Command handlers never invoke send_message() directly. Instead, they return a CommandResult object, and the core engine handles reply routing.</w:t>
      </w:r>
    </w:p>
    <w:p>
      <w:pPr>
        <w:spacing w:after="120"/>
        <w:ind w:firstLine="425"/>
        <w:jc w:val="both"/>
      </w:pPr>
      <w:r>
        <w:rPr>
          <w:rFonts w:ascii="Times New Roman" w:hAnsi="Times New Roman"/>
          <w:sz w:val="20"/>
        </w:rPr>
        <w:t>4) ORM Exclusivity: No raw SQL exists outside repository.py. All database operations use SQLAlchemy 2.x async ORM, preventing SQL injection by construction.</w:t>
      </w:r>
    </w:p>
    <w:p>
      <w:pPr>
        <w:spacing w:after="120"/>
        <w:ind w:firstLine="425"/>
        <w:jc w:val="both"/>
      </w:pPr>
      <w:r>
        <w:rPr>
          <w:rFonts w:ascii="Times New Roman" w:hAnsi="Times New Roman"/>
          <w:sz w:val="20"/>
        </w:rPr>
        <w:t>5) Declarative Plugin Discovery: Plugin Python files are never executed during discovery. The PluginEngine scans manifest.json and commands.yaml files only; handler modules are imported lazily on first invocation.</w:t>
      </w:r>
    </w:p>
    <w:p>
      <w:pPr>
        <w:spacing w:after="120"/>
        <w:ind w:firstLine="425"/>
        <w:jc w:val="both"/>
      </w:pPr>
      <w:r>
        <w:rPr>
          <w:rFonts w:ascii="Times New Roman" w:hAnsi="Times New Roman"/>
          <w:sz w:val="20"/>
        </w:rPr>
        <w:t>6) Lazy Handler Loading: Handler code is loaded via importlib.import_module() only when a matching command is first dispatched, minimizing boot-time overhead and attack surface.</w:t>
      </w:r>
    </w:p>
    <w:p>
      <w:pPr>
        <w:spacing w:after="120"/>
        <w:ind w:firstLine="425"/>
        <w:jc w:val="both"/>
      </w:pPr>
      <w:r>
        <w:rPr>
          <w:rFonts w:ascii="Times New Roman" w:hAnsi="Times New Roman"/>
          <w:sz w:val="20"/>
        </w:rPr>
        <w:t>7) Database as Source of Truth: All plugin registrations, tool definitions, routing rules, and execution logs are persisted in the database, enabling runtime introspection and auditing.</w:t>
      </w:r>
    </w:p>
    <w:p>
      <w:pPr>
        <w:spacing w:after="120"/>
        <w:ind w:firstLine="425"/>
        <w:jc w:val="both"/>
      </w:pPr>
      <w:r>
        <w:rPr>
          <w:rFonts w:ascii="Times New Roman" w:hAnsi="Times New Roman"/>
          <w:sz w:val="20"/>
        </w:rPr>
        <w:t>8) Encryption Key Isolation: The Fernet master encryption key is stored exclusively in the OMNIKERNAL_SECRET_KEY environment variable and never persists to the database.</w:t>
      </w:r>
    </w:p>
    <w:p>
      <w:pPr>
        <w:spacing w:before="160" w:after="80"/>
        <w:jc w:val="left"/>
      </w:pPr>
      <w:r>
        <w:rPr>
          <w:rFonts w:ascii="Times New Roman" w:hAnsi="Times New Roman"/>
          <w:b/>
          <w:i/>
          <w:sz w:val="20"/>
        </w:rPr>
        <w:t>3.3 The PlatformAdapter Contract</w:t>
      </w:r>
    </w:p>
    <w:p>
      <w:pPr>
        <w:spacing w:after="120"/>
        <w:ind w:firstLine="425"/>
        <w:jc w:val="both"/>
      </w:pPr>
      <w:r>
        <w:rPr>
          <w:rFonts w:ascii="Times New Roman" w:hAnsi="Times New Roman"/>
          <w:sz w:val="20"/>
        </w:rPr>
        <w:t>The adapter abstraction is formalized as a Python abstract base class with four mandatory async methods: connect() → None, fetch_new_messages() → list[Message], send_message(to, content) → None, and disconnect() → None, plus a platform_name property. Each adapter pack is self-describing via an adapter.yaml descriptor containing name, platform, version, and entry_class. The AdapterLoader validates descriptor schemas, dynamically imports the entry_class, and verifies ABC compliance before returning an adapter instance—ensuring that malformed adapters fail fast during loading rather than at runtime.</w:t>
      </w:r>
    </w:p>
    <w:p>
      <w:pPr>
        <w:spacing w:before="240" w:after="80"/>
        <w:jc w:val="left"/>
      </w:pPr>
      <w:r>
        <w:rPr>
          <w:rFonts w:ascii="Times New Roman" w:hAnsi="Times New Roman"/>
          <w:b/>
          <w:sz w:val="24"/>
        </w:rPr>
        <w:t>4. Methodology</w:t>
      </w:r>
    </w:p>
    <w:p>
      <w:pPr>
        <w:spacing w:before="160" w:after="80"/>
        <w:jc w:val="left"/>
      </w:pPr>
      <w:r>
        <w:rPr>
          <w:rFonts w:ascii="Times New Roman" w:hAnsi="Times New Roman"/>
          <w:b/>
          <w:i/>
          <w:sz w:val="20"/>
        </w:rPr>
        <w:t>4.1 Message Processing Pipeline</w:t>
      </w:r>
    </w:p>
    <w:p>
      <w:pPr>
        <w:spacing w:after="120"/>
        <w:jc w:val="both"/>
      </w:pPr>
      <w:r>
        <w:rPr>
          <w:rFonts w:ascii="Times New Roman" w:hAnsi="Times New Roman"/>
          <w:sz w:val="20"/>
        </w:rPr>
        <w:t>The core processing pipeline follows a deterministic five-stage workflow:</w:t>
      </w:r>
    </w:p>
    <w:p>
      <w:pPr>
        <w:spacing w:after="120"/>
        <w:ind w:firstLine="425"/>
        <w:jc w:val="both"/>
      </w:pPr>
      <w:r>
        <w:rPr>
          <w:rFonts w:ascii="Times New Roman" w:hAnsi="Times New Roman"/>
          <w:b/>
          <w:sz w:val="20"/>
        </w:rPr>
        <w:t xml:space="preserve">Stage 1 — Sanitization: </w:t>
      </w:r>
      <w:r>
        <w:rPr>
          <w:rFonts w:ascii="Times New Roman" w:hAnsi="Times New Roman"/>
          <w:sz w:val="20"/>
        </w:rPr>
        <w:t>Incoming raw text passes through the CommandSanitizer, which strips shell metacharacters (; &amp; | ` $ ( ) [ ] { } &lt; &gt;) and collapses whitespace. Non-command messages (those not prefixed with !) are silently discarded.</w:t>
      </w:r>
    </w:p>
    <w:p>
      <w:pPr>
        <w:spacing w:after="120"/>
        <w:ind w:firstLine="425"/>
        <w:jc w:val="both"/>
      </w:pPr>
      <w:r>
        <w:rPr>
          <w:rFonts w:ascii="Times New Roman" w:hAnsi="Times New Roman"/>
          <w:b/>
          <w:sz w:val="20"/>
        </w:rPr>
        <w:t xml:space="preserve">Stage 2 — Route Resolution: </w:t>
      </w:r>
      <w:r>
        <w:rPr>
          <w:rFonts w:ascii="Times New Roman" w:hAnsi="Times New Roman"/>
          <w:sz w:val="20"/>
        </w:rPr>
        <w:t>The CommandRouter resolves the command trigger through a two-tier lookup: first, an in-memory regex cache loaded from the routing_rules table (ordered by priority descending); second, an exact match against the tools table.</w:t>
      </w:r>
    </w:p>
    <w:p>
      <w:pPr>
        <w:spacing w:after="120"/>
        <w:ind w:firstLine="425"/>
        <w:jc w:val="both"/>
      </w:pPr>
      <w:r>
        <w:rPr>
          <w:rFonts w:ascii="Times New Roman" w:hAnsi="Times New Roman"/>
          <w:b/>
          <w:sz w:val="20"/>
        </w:rPr>
        <w:t xml:space="preserve">Stage 3 — Permission Validation: </w:t>
      </w:r>
      <w:r>
        <w:rPr>
          <w:rFonts w:ascii="Times New Roman" w:hAnsi="Times New Roman"/>
          <w:sz w:val="20"/>
        </w:rPr>
        <w:t>The PermissionValidator checks the user’s effective role against the command’s required role. Users listed in the OMNIKERNAL_ADMINS environment variable receive automatic role elevation.</w:t>
      </w:r>
    </w:p>
    <w:p>
      <w:pPr>
        <w:spacing w:after="120"/>
        <w:ind w:firstLine="425"/>
        <w:jc w:val="both"/>
      </w:pPr>
      <w:r>
        <w:rPr>
          <w:rFonts w:ascii="Times New Roman" w:hAnsi="Times New Roman"/>
          <w:b/>
          <w:sz w:val="20"/>
        </w:rPr>
        <w:t xml:space="preserve">Stage 4 — Argument Parsing: </w:t>
      </w:r>
      <w:r>
        <w:rPr>
          <w:rFonts w:ascii="Times New Roman" w:hAnsi="Times New Roman"/>
          <w:sz w:val="20"/>
        </w:rPr>
        <w:t>The CommandParser matches the sanitized text against the route’s registered pattern and extracts named arguments into a dictionary.</w:t>
      </w:r>
    </w:p>
    <w:p>
      <w:pPr>
        <w:spacing w:after="120"/>
        <w:ind w:firstLine="425"/>
        <w:jc w:val="both"/>
      </w:pPr>
      <w:r>
        <w:rPr>
          <w:rFonts w:ascii="Times New Roman" w:hAnsi="Times New Roman"/>
          <w:b/>
          <w:sz w:val="20"/>
        </w:rPr>
        <w:t xml:space="preserve">Stage 5 — Handler Execution: </w:t>
      </w:r>
      <w:r>
        <w:rPr>
          <w:rFonts w:ascii="Times New Roman" w:hAnsi="Times New Roman"/>
          <w:sz w:val="20"/>
        </w:rPr>
        <w:t>The handler module is lazily imported via importlib.import_module() and its run(args, ctx) coroutine is awaited. The handler receives a CommandContext object—a capability-based surface providing access to the user identity, a scoped logger, and encrypted API key retrieval, but explicitly excluding raw database sessions or adapter references.</w:t>
      </w:r>
    </w:p>
    <w:p>
      <w:pPr>
        <w:spacing w:before="160" w:after="80"/>
        <w:jc w:val="left"/>
      </w:pPr>
      <w:r>
        <w:rPr>
          <w:rFonts w:ascii="Times New Roman" w:hAnsi="Times New Roman"/>
          <w:b/>
          <w:i/>
          <w:sz w:val="20"/>
        </w:rPr>
        <w:t>4.2 Boot Sequence</w:t>
      </w:r>
    </w:p>
    <w:p>
      <w:pPr>
        <w:spacing w:after="120"/>
        <w:ind w:firstLine="425"/>
        <w:jc w:val="both"/>
      </w:pPr>
      <w:r>
        <w:rPr>
          <w:rFonts w:ascii="Times New Roman" w:hAnsi="Times New Roman"/>
          <w:sz w:val="20"/>
        </w:rPr>
        <w:t>The engine boot follows a reproducible six-step sequence: (1) init_db() initializes the SQLAlchemy async engine; (2) ProfileManager.activate() acquires a PID lock and resolves headless mode; (3) PluginEngine.discover_and_load() scans the plugins/ directory using YAML-only discovery; (4) adapter.connect() establishes the platform-specific session; (5) ModeManager.start() launches SelfMode or CoopMode; and (6) _stop_event.wait() blocks until a shutdown signal is received.</w:t>
      </w:r>
    </w:p>
    <w:p>
      <w:pPr>
        <w:spacing w:before="160" w:after="80"/>
        <w:jc w:val="left"/>
      </w:pPr>
      <w:r>
        <w:rPr>
          <w:rFonts w:ascii="Times New Roman" w:hAnsi="Times New Roman"/>
          <w:b/>
          <w:i/>
          <w:sz w:val="20"/>
        </w:rPr>
        <w:t>4.3 Execution Modes</w:t>
      </w:r>
    </w:p>
    <w:p>
      <w:pPr>
        <w:spacing w:after="120"/>
        <w:ind w:firstLine="425"/>
        <w:jc w:val="both"/>
      </w:pPr>
      <w:r>
        <w:rPr>
          <w:rFonts w:ascii="Times New Roman" w:hAnsi="Times New Roman"/>
          <w:b/>
          <w:sz w:val="20"/>
        </w:rPr>
        <w:t xml:space="preserve">SelfMode (Autonomous): </w:t>
      </w:r>
      <w:r>
        <w:rPr>
          <w:rFonts w:ascii="Times New Roman" w:hAnsi="Times New Roman"/>
          <w:sz w:val="20"/>
        </w:rPr>
        <w:t>A polling loop that repeatedly calls adapter.fetch_new_messages(), processes each message through the pipeline, and sleeps for a configurable poll_interval (default: 1.0s).</w:t>
      </w:r>
    </w:p>
    <w:p>
      <w:pPr>
        <w:spacing w:after="120"/>
        <w:ind w:firstLine="425"/>
        <w:jc w:val="both"/>
      </w:pPr>
      <w:r>
        <w:rPr>
          <w:rFonts w:ascii="Times New Roman" w:hAnsi="Times New Roman"/>
          <w:b/>
          <w:sz w:val="20"/>
        </w:rPr>
        <w:t xml:space="preserve">CoopMode (Human-in-Loop): </w:t>
      </w:r>
      <w:r>
        <w:rPr>
          <w:rFonts w:ascii="Times New Roman" w:hAnsi="Times New Roman"/>
          <w:sz w:val="20"/>
        </w:rPr>
        <w:t>Messages are queued in a pending buffer. Each message receives an asyncio.Event. External approval (approve(msg_id)) triggers the event, allowing core.process() to execute. This mode uses per-request session creation (session factory pattern) to prevent SQLAlchemy IllegalStateError under concurrent approval processing.</w:t>
      </w:r>
    </w:p>
    <w:p>
      <w:pPr>
        <w:spacing w:before="160" w:after="80"/>
        <w:jc w:val="left"/>
      </w:pPr>
      <w:r>
        <w:rPr>
          <w:rFonts w:ascii="Times New Roman" w:hAnsi="Times New Roman"/>
          <w:b/>
          <w:i/>
          <w:sz w:val="20"/>
        </w:rPr>
        <w:t>4.4 Session-Per-Request Pattern</w:t>
      </w:r>
    </w:p>
    <w:p>
      <w:pPr>
        <w:spacing w:after="120"/>
        <w:ind w:firstLine="425"/>
        <w:jc w:val="both"/>
      </w:pPr>
      <w:r>
        <w:rPr>
          <w:rFonts w:ascii="Times New Roman" w:hAnsi="Times New Roman"/>
          <w:sz w:val="20"/>
        </w:rPr>
        <w:t>To support concurrent message processing in CoopMode, OmniKernal implements a session-per-request pattern. When initialized with an async_sessionmaker, each process() invocation creates an independent AsyncSession and OmniRepository, eliminating session contention. A RulesCache container is shared across per-request dispatchers to avoid redundant database queries for routing rules.</w:t>
      </w:r>
    </w:p>
    <w:p>
      <w:pPr>
        <w:spacing w:before="160" w:after="80"/>
        <w:jc w:val="left"/>
      </w:pPr>
      <w:r>
        <w:rPr>
          <w:rFonts w:ascii="Times New Roman" w:hAnsi="Times New Roman"/>
          <w:b/>
          <w:i/>
          <w:sz w:val="20"/>
        </w:rPr>
        <w:t>4.5 Plugin System</w:t>
      </w:r>
    </w:p>
    <w:p>
      <w:pPr>
        <w:spacing w:after="120"/>
        <w:ind w:firstLine="425"/>
        <w:jc w:val="both"/>
      </w:pPr>
      <w:r>
        <w:rPr>
          <w:rFonts w:ascii="Times New Roman" w:hAnsi="Times New Roman"/>
          <w:sz w:val="20"/>
        </w:rPr>
        <w:t>Plugins follow a locked directory structure: plugins/&lt;name&gt;/ contains manifest.json (identity metadata), commands.yaml (command definitions with patterns, handler paths, and API requirements), permissions.json (role-based access control per command), and handlers/&lt;cmd&gt;.py (async handler functions). The PluginEngine performs discovery by scanning plugin directories for manifest.json files, parsing commands.yaml for tool definitions, and registering entries in the database. Handler Python files are never imported during discovery—only when a command is first dispatched does importlib load the handler module, implementing a lazy-loading strategy that minimizes boot time and reduces the attack surface of untrusted plugin code.</w:t>
      </w:r>
    </w:p>
    <w:p>
      <w:pPr>
        <w:spacing w:before="240" w:after="80"/>
        <w:jc w:val="left"/>
      </w:pPr>
      <w:r>
        <w:rPr>
          <w:rFonts w:ascii="Times New Roman" w:hAnsi="Times New Roman"/>
          <w:b/>
          <w:sz w:val="24"/>
        </w:rPr>
        <w:t>5. Implementation</w:t>
      </w:r>
    </w:p>
    <w:p>
      <w:pPr>
        <w:spacing w:before="160" w:after="80"/>
        <w:jc w:val="left"/>
      </w:pPr>
      <w:r>
        <w:rPr>
          <w:rFonts w:ascii="Times New Roman" w:hAnsi="Times New Roman"/>
          <w:b/>
          <w:i/>
          <w:sz w:val="20"/>
        </w:rPr>
        <w:t>5.1 Technology Stack</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pPr>
              <w:jc w:val="center"/>
            </w:pPr>
            <w:r/>
            <w:r>
              <w:rPr>
                <w:rFonts w:ascii="Times New Roman" w:hAnsi="Times New Roman"/>
                <w:b/>
                <w:sz w:val="18"/>
              </w:rPr>
              <w:t>Component</w:t>
            </w:r>
          </w:p>
        </w:tc>
        <w:tc>
          <w:tcPr>
            <w:tcW w:type="dxa" w:w="3358"/>
          </w:tcPr>
          <w:p>
            <w:pPr>
              <w:jc w:val="center"/>
            </w:pPr>
            <w:r/>
            <w:r>
              <w:rPr>
                <w:rFonts w:ascii="Times New Roman" w:hAnsi="Times New Roman"/>
                <w:b/>
                <w:sz w:val="18"/>
              </w:rPr>
              <w:t>Technology</w:t>
            </w:r>
          </w:p>
        </w:tc>
        <w:tc>
          <w:tcPr>
            <w:tcW w:type="dxa" w:w="3358"/>
          </w:tcPr>
          <w:p>
            <w:pPr>
              <w:jc w:val="center"/>
            </w:pPr>
            <w:r/>
            <w:r>
              <w:rPr>
                <w:rFonts w:ascii="Times New Roman" w:hAnsi="Times New Roman"/>
                <w:b/>
                <w:sz w:val="18"/>
              </w:rPr>
              <w:t>Rationale</w:t>
            </w:r>
          </w:p>
        </w:tc>
      </w:tr>
      <w:tr>
        <w:tc>
          <w:tcPr>
            <w:tcW w:type="dxa" w:w="3358"/>
          </w:tcPr>
          <w:p>
            <w:pPr>
              <w:jc w:val="center"/>
            </w:pPr>
            <w:r/>
            <w:r>
              <w:rPr>
                <w:rFonts w:ascii="Times New Roman" w:hAnsi="Times New Roman"/>
                <w:sz w:val="18"/>
              </w:rPr>
              <w:t>Language</w:t>
            </w:r>
          </w:p>
        </w:tc>
        <w:tc>
          <w:tcPr>
            <w:tcW w:type="dxa" w:w="3358"/>
          </w:tcPr>
          <w:p>
            <w:pPr>
              <w:jc w:val="center"/>
            </w:pPr>
            <w:r/>
            <w:r>
              <w:rPr>
                <w:rFonts w:ascii="Times New Roman" w:hAnsi="Times New Roman"/>
                <w:sz w:val="18"/>
              </w:rPr>
              <w:t>Python ≥3.12</w:t>
            </w:r>
          </w:p>
        </w:tc>
        <w:tc>
          <w:tcPr>
            <w:tcW w:type="dxa" w:w="3358"/>
          </w:tcPr>
          <w:p>
            <w:pPr>
              <w:jc w:val="center"/>
            </w:pPr>
            <w:r/>
            <w:r>
              <w:rPr>
                <w:rFonts w:ascii="Times New Roman" w:hAnsi="Times New Roman"/>
                <w:sz w:val="18"/>
              </w:rPr>
              <w:t>Async-first ecosystem, typing support</w:t>
            </w:r>
          </w:p>
        </w:tc>
      </w:tr>
      <w:tr>
        <w:tc>
          <w:tcPr>
            <w:tcW w:type="dxa" w:w="3358"/>
          </w:tcPr>
          <w:p>
            <w:pPr>
              <w:jc w:val="center"/>
            </w:pPr>
            <w:r/>
            <w:r>
              <w:rPr>
                <w:rFonts w:ascii="Times New Roman" w:hAnsi="Times New Roman"/>
                <w:sz w:val="18"/>
              </w:rPr>
              <w:t>Package Manager</w:t>
            </w:r>
          </w:p>
        </w:tc>
        <w:tc>
          <w:tcPr>
            <w:tcW w:type="dxa" w:w="3358"/>
          </w:tcPr>
          <w:p>
            <w:pPr>
              <w:jc w:val="center"/>
            </w:pPr>
            <w:r/>
            <w:r>
              <w:rPr>
                <w:rFonts w:ascii="Times New Roman" w:hAnsi="Times New Roman"/>
                <w:sz w:val="18"/>
              </w:rPr>
              <w:t>uv</w:t>
            </w:r>
          </w:p>
        </w:tc>
        <w:tc>
          <w:tcPr>
            <w:tcW w:type="dxa" w:w="3358"/>
          </w:tcPr>
          <w:p>
            <w:pPr>
              <w:jc w:val="center"/>
            </w:pPr>
            <w:r/>
            <w:r>
              <w:rPr>
                <w:rFonts w:ascii="Times New Roman" w:hAnsi="Times New Roman"/>
                <w:sz w:val="18"/>
              </w:rPr>
              <w:t>Fast, deterministic dependency resolution</w:t>
            </w:r>
          </w:p>
        </w:tc>
      </w:tr>
      <w:tr>
        <w:tc>
          <w:tcPr>
            <w:tcW w:type="dxa" w:w="3358"/>
          </w:tcPr>
          <w:p>
            <w:pPr>
              <w:jc w:val="center"/>
            </w:pPr>
            <w:r/>
            <w:r>
              <w:rPr>
                <w:rFonts w:ascii="Times New Roman" w:hAnsi="Times New Roman"/>
                <w:sz w:val="18"/>
              </w:rPr>
              <w:t>Database ORM</w:t>
            </w:r>
          </w:p>
        </w:tc>
        <w:tc>
          <w:tcPr>
            <w:tcW w:type="dxa" w:w="3358"/>
          </w:tcPr>
          <w:p>
            <w:pPr>
              <w:jc w:val="center"/>
            </w:pPr>
            <w:r/>
            <w:r>
              <w:rPr>
                <w:rFonts w:ascii="Times New Roman" w:hAnsi="Times New Roman"/>
                <w:sz w:val="18"/>
              </w:rPr>
              <w:t>SQLAlchemy 2.x (async)</w:t>
            </w:r>
          </w:p>
        </w:tc>
        <w:tc>
          <w:tcPr>
            <w:tcW w:type="dxa" w:w="3358"/>
          </w:tcPr>
          <w:p>
            <w:pPr>
              <w:jc w:val="center"/>
            </w:pPr>
            <w:r/>
            <w:r>
              <w:rPr>
                <w:rFonts w:ascii="Times New Roman" w:hAnsi="Times New Roman"/>
                <w:sz w:val="18"/>
              </w:rPr>
              <w:t>Type-safe queries, async session support</w:t>
            </w:r>
          </w:p>
        </w:tc>
      </w:tr>
      <w:tr>
        <w:tc>
          <w:tcPr>
            <w:tcW w:type="dxa" w:w="3358"/>
          </w:tcPr>
          <w:p>
            <w:pPr>
              <w:jc w:val="center"/>
            </w:pPr>
            <w:r/>
            <w:r>
              <w:rPr>
                <w:rFonts w:ascii="Times New Roman" w:hAnsi="Times New Roman"/>
                <w:sz w:val="18"/>
              </w:rPr>
              <w:t>Default Database</w:t>
            </w:r>
          </w:p>
        </w:tc>
        <w:tc>
          <w:tcPr>
            <w:tcW w:type="dxa" w:w="3358"/>
          </w:tcPr>
          <w:p>
            <w:pPr>
              <w:jc w:val="center"/>
            </w:pPr>
            <w:r/>
            <w:r>
              <w:rPr>
                <w:rFonts w:ascii="Times New Roman" w:hAnsi="Times New Roman"/>
                <w:sz w:val="18"/>
              </w:rPr>
              <w:t>SQLite + aiosqlite</w:t>
            </w:r>
          </w:p>
        </w:tc>
        <w:tc>
          <w:tcPr>
            <w:tcW w:type="dxa" w:w="3358"/>
          </w:tcPr>
          <w:p>
            <w:pPr>
              <w:jc w:val="center"/>
            </w:pPr>
            <w:r/>
            <w:r>
              <w:rPr>
                <w:rFonts w:ascii="Times New Roman" w:hAnsi="Times New Roman"/>
                <w:sz w:val="18"/>
              </w:rPr>
              <w:t>Zero-config; swappable via DATABASE_URL</w:t>
            </w:r>
          </w:p>
        </w:tc>
      </w:tr>
      <w:tr>
        <w:tc>
          <w:tcPr>
            <w:tcW w:type="dxa" w:w="3358"/>
          </w:tcPr>
          <w:p>
            <w:pPr>
              <w:jc w:val="center"/>
            </w:pPr>
            <w:r/>
            <w:r>
              <w:rPr>
                <w:rFonts w:ascii="Times New Roman" w:hAnsi="Times New Roman"/>
                <w:sz w:val="18"/>
              </w:rPr>
              <w:t>Encryption</w:t>
            </w:r>
          </w:p>
        </w:tc>
        <w:tc>
          <w:tcPr>
            <w:tcW w:type="dxa" w:w="3358"/>
          </w:tcPr>
          <w:p>
            <w:pPr>
              <w:jc w:val="center"/>
            </w:pPr>
            <w:r/>
            <w:r>
              <w:rPr>
                <w:rFonts w:ascii="Times New Roman" w:hAnsi="Times New Roman"/>
                <w:sz w:val="18"/>
              </w:rPr>
              <w:t>cryptography (Fernet)</w:t>
            </w:r>
          </w:p>
        </w:tc>
        <w:tc>
          <w:tcPr>
            <w:tcW w:type="dxa" w:w="3358"/>
          </w:tcPr>
          <w:p>
            <w:pPr>
              <w:jc w:val="center"/>
            </w:pPr>
            <w:r/>
            <w:r>
              <w:rPr>
                <w:rFonts w:ascii="Times New Roman" w:hAnsi="Times New Roman"/>
                <w:sz w:val="18"/>
              </w:rPr>
              <w:t>Symmetric encryption, authenticated ciphers</w:t>
            </w:r>
          </w:p>
        </w:tc>
      </w:tr>
      <w:tr>
        <w:tc>
          <w:tcPr>
            <w:tcW w:type="dxa" w:w="3358"/>
          </w:tcPr>
          <w:p>
            <w:pPr>
              <w:jc w:val="center"/>
            </w:pPr>
            <w:r/>
            <w:r>
              <w:rPr>
                <w:rFonts w:ascii="Times New Roman" w:hAnsi="Times New Roman"/>
                <w:sz w:val="18"/>
              </w:rPr>
              <w:t>Logging</w:t>
            </w:r>
          </w:p>
        </w:tc>
        <w:tc>
          <w:tcPr>
            <w:tcW w:type="dxa" w:w="3358"/>
          </w:tcPr>
          <w:p>
            <w:pPr>
              <w:jc w:val="center"/>
            </w:pPr>
            <w:r/>
            <w:r>
              <w:rPr>
                <w:rFonts w:ascii="Times New Roman" w:hAnsi="Times New Roman"/>
                <w:sz w:val="18"/>
              </w:rPr>
              <w:t>loguru</w:t>
            </w:r>
          </w:p>
        </w:tc>
        <w:tc>
          <w:tcPr>
            <w:tcW w:type="dxa" w:w="3358"/>
          </w:tcPr>
          <w:p>
            <w:pPr>
              <w:jc w:val="center"/>
            </w:pPr>
            <w:r/>
            <w:r>
              <w:rPr>
                <w:rFonts w:ascii="Times New Roman" w:hAnsi="Times New Roman"/>
                <w:sz w:val="18"/>
              </w:rPr>
              <w:t>Structured logging with context binding</w:t>
            </w:r>
          </w:p>
        </w:tc>
      </w:tr>
      <w:tr>
        <w:tc>
          <w:tcPr>
            <w:tcW w:type="dxa" w:w="3358"/>
          </w:tcPr>
          <w:p>
            <w:pPr>
              <w:jc w:val="center"/>
            </w:pPr>
            <w:r/>
            <w:r>
              <w:rPr>
                <w:rFonts w:ascii="Times New Roman" w:hAnsi="Times New Roman"/>
                <w:sz w:val="18"/>
              </w:rPr>
              <w:t>Linting</w:t>
            </w:r>
          </w:p>
        </w:tc>
        <w:tc>
          <w:tcPr>
            <w:tcW w:type="dxa" w:w="3358"/>
          </w:tcPr>
          <w:p>
            <w:pPr>
              <w:jc w:val="center"/>
            </w:pPr>
            <w:r/>
            <w:r>
              <w:rPr>
                <w:rFonts w:ascii="Times New Roman" w:hAnsi="Times New Roman"/>
                <w:sz w:val="18"/>
              </w:rPr>
              <w:t>ruff</w:t>
            </w:r>
          </w:p>
        </w:tc>
        <w:tc>
          <w:tcPr>
            <w:tcW w:type="dxa" w:w="3358"/>
          </w:tcPr>
          <w:p>
            <w:pPr>
              <w:jc w:val="center"/>
            </w:pPr>
            <w:r/>
            <w:r>
              <w:rPr>
                <w:rFonts w:ascii="Times New Roman" w:hAnsi="Times New Roman"/>
                <w:sz w:val="18"/>
              </w:rPr>
              <w:t>Fast linter/formatter with custom rules</w:t>
            </w:r>
          </w:p>
        </w:tc>
      </w:tr>
      <w:tr>
        <w:tc>
          <w:tcPr>
            <w:tcW w:type="dxa" w:w="3358"/>
          </w:tcPr>
          <w:p>
            <w:pPr>
              <w:jc w:val="center"/>
            </w:pPr>
            <w:r/>
            <w:r>
              <w:rPr>
                <w:rFonts w:ascii="Times New Roman" w:hAnsi="Times New Roman"/>
                <w:sz w:val="18"/>
              </w:rPr>
              <w:t>Type Checking</w:t>
            </w:r>
          </w:p>
        </w:tc>
        <w:tc>
          <w:tcPr>
            <w:tcW w:type="dxa" w:w="3358"/>
          </w:tcPr>
          <w:p>
            <w:pPr>
              <w:jc w:val="center"/>
            </w:pPr>
            <w:r/>
            <w:r>
              <w:rPr>
                <w:rFonts w:ascii="Times New Roman" w:hAnsi="Times New Roman"/>
                <w:sz w:val="18"/>
              </w:rPr>
              <w:t>mypy (strict)</w:t>
            </w:r>
          </w:p>
        </w:tc>
        <w:tc>
          <w:tcPr>
            <w:tcW w:type="dxa" w:w="3358"/>
          </w:tcPr>
          <w:p>
            <w:pPr>
              <w:jc w:val="center"/>
            </w:pPr>
            <w:r/>
            <w:r>
              <w:rPr>
                <w:rFonts w:ascii="Times New Roman" w:hAnsi="Times New Roman"/>
                <w:sz w:val="18"/>
              </w:rPr>
              <w:t>Static type analysis for correctness</w:t>
            </w:r>
          </w:p>
        </w:tc>
      </w:tr>
      <w:tr>
        <w:tc>
          <w:tcPr>
            <w:tcW w:type="dxa" w:w="3358"/>
          </w:tcPr>
          <w:p>
            <w:pPr>
              <w:jc w:val="center"/>
            </w:pPr>
            <w:r/>
            <w:r>
              <w:rPr>
                <w:rFonts w:ascii="Times New Roman" w:hAnsi="Times New Roman"/>
                <w:sz w:val="18"/>
              </w:rPr>
              <w:t>Testing</w:t>
            </w:r>
          </w:p>
        </w:tc>
        <w:tc>
          <w:tcPr>
            <w:tcW w:type="dxa" w:w="3358"/>
          </w:tcPr>
          <w:p>
            <w:pPr>
              <w:jc w:val="center"/>
            </w:pPr>
            <w:r/>
            <w:r>
              <w:rPr>
                <w:rFonts w:ascii="Times New Roman" w:hAnsi="Times New Roman"/>
                <w:sz w:val="18"/>
              </w:rPr>
              <w:t>pytest (asyncio_mode=auto)</w:t>
            </w:r>
          </w:p>
        </w:tc>
        <w:tc>
          <w:tcPr>
            <w:tcW w:type="dxa" w:w="3358"/>
          </w:tcPr>
          <w:p>
            <w:pPr>
              <w:jc w:val="center"/>
            </w:pPr>
            <w:r/>
            <w:r>
              <w:rPr>
                <w:rFonts w:ascii="Times New Roman" w:hAnsi="Times New Roman"/>
                <w:sz w:val="18"/>
              </w:rPr>
              <w:t>Native async test support</w:t>
            </w:r>
          </w:p>
        </w:tc>
      </w:tr>
    </w:tbl>
    <w:p>
      <w:pPr>
        <w:spacing w:before="80" w:after="160"/>
        <w:jc w:val="center"/>
      </w:pPr>
      <w:r>
        <w:rPr>
          <w:rFonts w:ascii="Times New Roman" w:hAnsi="Times New Roman"/>
          <w:i/>
          <w:sz w:val="18"/>
        </w:rPr>
        <w:t>TABLE II: Technology stack used in OmniKernal implementation.</w:t>
      </w:r>
    </w:p>
    <w:p/>
    <w:p>
      <w:pPr>
        <w:spacing w:before="160" w:after="80"/>
        <w:jc w:val="left"/>
      </w:pPr>
      <w:r>
        <w:rPr>
          <w:rFonts w:ascii="Times New Roman" w:hAnsi="Times New Roman"/>
          <w:b/>
          <w:i/>
          <w:sz w:val="20"/>
        </w:rPr>
        <w:t>5.2 Database Schema</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pPr>
              <w:jc w:val="center"/>
            </w:pPr>
            <w:r/>
            <w:r>
              <w:rPr>
                <w:rFonts w:ascii="Times New Roman" w:hAnsi="Times New Roman"/>
                <w:b/>
                <w:sz w:val="18"/>
              </w:rPr>
              <w:t>Table</w:t>
            </w:r>
          </w:p>
        </w:tc>
        <w:tc>
          <w:tcPr>
            <w:tcW w:type="dxa" w:w="3358"/>
          </w:tcPr>
          <w:p>
            <w:pPr>
              <w:jc w:val="center"/>
            </w:pPr>
            <w:r/>
            <w:r>
              <w:rPr>
                <w:rFonts w:ascii="Times New Roman" w:hAnsi="Times New Roman"/>
                <w:b/>
                <w:sz w:val="18"/>
              </w:rPr>
              <w:t>Primary Key</w:t>
            </w:r>
          </w:p>
        </w:tc>
        <w:tc>
          <w:tcPr>
            <w:tcW w:type="dxa" w:w="3358"/>
          </w:tcPr>
          <w:p>
            <w:pPr>
              <w:jc w:val="center"/>
            </w:pPr>
            <w:r/>
            <w:r>
              <w:rPr>
                <w:rFonts w:ascii="Times New Roman" w:hAnsi="Times New Roman"/>
                <w:b/>
                <w:sz w:val="18"/>
              </w:rPr>
              <w:t>Purpose</w:t>
            </w:r>
          </w:p>
        </w:tc>
      </w:tr>
      <w:tr>
        <w:tc>
          <w:tcPr>
            <w:tcW w:type="dxa" w:w="3358"/>
          </w:tcPr>
          <w:p>
            <w:pPr>
              <w:jc w:val="center"/>
            </w:pPr>
            <w:r/>
            <w:r>
              <w:rPr>
                <w:rFonts w:ascii="Times New Roman" w:hAnsi="Times New Roman"/>
                <w:sz w:val="18"/>
              </w:rPr>
              <w:t>plugins</w:t>
            </w:r>
          </w:p>
        </w:tc>
        <w:tc>
          <w:tcPr>
            <w:tcW w:type="dxa" w:w="3358"/>
          </w:tcPr>
          <w:p>
            <w:pPr>
              <w:jc w:val="center"/>
            </w:pPr>
            <w:r/>
            <w:r>
              <w:rPr>
                <w:rFonts w:ascii="Times New Roman" w:hAnsi="Times New Roman"/>
                <w:sz w:val="18"/>
              </w:rPr>
              <w:t>name (str)</w:t>
            </w:r>
          </w:p>
        </w:tc>
        <w:tc>
          <w:tcPr>
            <w:tcW w:type="dxa" w:w="3358"/>
          </w:tcPr>
          <w:p>
            <w:pPr>
              <w:jc w:val="center"/>
            </w:pPr>
            <w:r/>
            <w:r>
              <w:rPr>
                <w:rFonts w:ascii="Times New Roman" w:hAnsi="Times New Roman"/>
                <w:sz w:val="18"/>
              </w:rPr>
              <w:t>Plugin registry from manifest.json</w:t>
            </w:r>
          </w:p>
        </w:tc>
      </w:tr>
      <w:tr>
        <w:tc>
          <w:tcPr>
            <w:tcW w:type="dxa" w:w="3358"/>
          </w:tcPr>
          <w:p>
            <w:pPr>
              <w:jc w:val="center"/>
            </w:pPr>
            <w:r/>
            <w:r>
              <w:rPr>
                <w:rFonts w:ascii="Times New Roman" w:hAnsi="Times New Roman"/>
                <w:sz w:val="18"/>
              </w:rPr>
              <w:t>tools</w:t>
            </w:r>
          </w:p>
        </w:tc>
        <w:tc>
          <w:tcPr>
            <w:tcW w:type="dxa" w:w="3358"/>
          </w:tcPr>
          <w:p>
            <w:pPr>
              <w:jc w:val="center"/>
            </w:pPr>
            <w:r/>
            <w:r>
              <w:rPr>
                <w:rFonts w:ascii="Times New Roman" w:hAnsi="Times New Roman"/>
                <w:sz w:val="18"/>
              </w:rPr>
              <w:t>id (int)</w:t>
            </w:r>
          </w:p>
        </w:tc>
        <w:tc>
          <w:tcPr>
            <w:tcW w:type="dxa" w:w="3358"/>
          </w:tcPr>
          <w:p>
            <w:pPr>
              <w:jc w:val="center"/>
            </w:pPr>
            <w:r/>
            <w:r>
              <w:rPr>
                <w:rFonts w:ascii="Times New Roman" w:hAnsi="Times New Roman"/>
                <w:sz w:val="18"/>
              </w:rPr>
              <w:t>Command definitions; unique command_name</w:t>
            </w:r>
          </w:p>
        </w:tc>
      </w:tr>
      <w:tr>
        <w:tc>
          <w:tcPr>
            <w:tcW w:type="dxa" w:w="3358"/>
          </w:tcPr>
          <w:p>
            <w:pPr>
              <w:jc w:val="center"/>
            </w:pPr>
            <w:r/>
            <w:r>
              <w:rPr>
                <w:rFonts w:ascii="Times New Roman" w:hAnsi="Times New Roman"/>
                <w:sz w:val="18"/>
              </w:rPr>
              <w:t>routing_rules</w:t>
            </w:r>
          </w:p>
        </w:tc>
        <w:tc>
          <w:tcPr>
            <w:tcW w:type="dxa" w:w="3358"/>
          </w:tcPr>
          <w:p>
            <w:pPr>
              <w:jc w:val="center"/>
            </w:pPr>
            <w:r/>
            <w:r>
              <w:rPr>
                <w:rFonts w:ascii="Times New Roman" w:hAnsi="Times New Roman"/>
                <w:sz w:val="18"/>
              </w:rPr>
              <w:t>id (int)</w:t>
            </w:r>
          </w:p>
        </w:tc>
        <w:tc>
          <w:tcPr>
            <w:tcW w:type="dxa" w:w="3358"/>
          </w:tcPr>
          <w:p>
            <w:pPr>
              <w:jc w:val="center"/>
            </w:pPr>
            <w:r/>
            <w:r>
              <w:rPr>
                <w:rFonts w:ascii="Times New Roman" w:hAnsi="Times New Roman"/>
                <w:sz w:val="18"/>
              </w:rPr>
              <w:t>Custom regex overrides, priority-ordered</w:t>
            </w:r>
          </w:p>
        </w:tc>
      </w:tr>
      <w:tr>
        <w:tc>
          <w:tcPr>
            <w:tcW w:type="dxa" w:w="3358"/>
          </w:tcPr>
          <w:p>
            <w:pPr>
              <w:jc w:val="center"/>
            </w:pPr>
            <w:r/>
            <w:r>
              <w:rPr>
                <w:rFonts w:ascii="Times New Roman" w:hAnsi="Times New Roman"/>
                <w:sz w:val="18"/>
              </w:rPr>
              <w:t>execution_logs</w:t>
            </w:r>
          </w:p>
        </w:tc>
        <w:tc>
          <w:tcPr>
            <w:tcW w:type="dxa" w:w="3358"/>
          </w:tcPr>
          <w:p>
            <w:pPr>
              <w:jc w:val="center"/>
            </w:pPr>
            <w:r/>
            <w:r>
              <w:rPr>
                <w:rFonts w:ascii="Times New Roman" w:hAnsi="Times New Roman"/>
                <w:sz w:val="18"/>
              </w:rPr>
              <w:t>id (int)</w:t>
            </w:r>
          </w:p>
        </w:tc>
        <w:tc>
          <w:tcPr>
            <w:tcW w:type="dxa" w:w="3358"/>
          </w:tcPr>
          <w:p>
            <w:pPr>
              <w:jc w:val="center"/>
            </w:pPr>
            <w:r/>
            <w:r>
              <w:rPr>
                <w:rFonts w:ascii="Times New Roman" w:hAnsi="Times New Roman"/>
                <w:sz w:val="18"/>
              </w:rPr>
              <w:t>Immutable audit trail</w:t>
            </w:r>
          </w:p>
        </w:tc>
      </w:tr>
      <w:tr>
        <w:tc>
          <w:tcPr>
            <w:tcW w:type="dxa" w:w="3358"/>
          </w:tcPr>
          <w:p>
            <w:pPr>
              <w:jc w:val="center"/>
            </w:pPr>
            <w:r/>
            <w:r>
              <w:rPr>
                <w:rFonts w:ascii="Times New Roman" w:hAnsi="Times New Roman"/>
                <w:sz w:val="18"/>
              </w:rPr>
              <w:t>api_health</w:t>
            </w:r>
          </w:p>
        </w:tc>
        <w:tc>
          <w:tcPr>
            <w:tcW w:type="dxa" w:w="3358"/>
          </w:tcPr>
          <w:p>
            <w:pPr>
              <w:jc w:val="center"/>
            </w:pPr>
            <w:r/>
            <w:r>
              <w:rPr>
                <w:rFonts w:ascii="Times New Roman" w:hAnsi="Times New Roman"/>
                <w:sz w:val="18"/>
              </w:rPr>
              <w:t>url (str)</w:t>
            </w:r>
          </w:p>
        </w:tc>
        <w:tc>
          <w:tcPr>
            <w:tcW w:type="dxa" w:w="3358"/>
          </w:tcPr>
          <w:p>
            <w:pPr>
              <w:jc w:val="center"/>
            </w:pPr>
            <w:r/>
            <w:r>
              <w:rPr>
                <w:rFonts w:ascii="Times New Roman" w:hAnsi="Times New Roman"/>
                <w:sz w:val="18"/>
              </w:rPr>
              <w:t>Consecutive failure tracking per endpoint</w:t>
            </w:r>
          </w:p>
        </w:tc>
      </w:tr>
      <w:tr>
        <w:tc>
          <w:tcPr>
            <w:tcW w:type="dxa" w:w="3358"/>
          </w:tcPr>
          <w:p>
            <w:pPr>
              <w:jc w:val="center"/>
            </w:pPr>
            <w:r/>
            <w:r>
              <w:rPr>
                <w:rFonts w:ascii="Times New Roman" w:hAnsi="Times New Roman"/>
                <w:sz w:val="18"/>
              </w:rPr>
              <w:t>dead_apis</w:t>
            </w:r>
          </w:p>
        </w:tc>
        <w:tc>
          <w:tcPr>
            <w:tcW w:type="dxa" w:w="3358"/>
          </w:tcPr>
          <w:p>
            <w:pPr>
              <w:jc w:val="center"/>
            </w:pPr>
            <w:r/>
            <w:r>
              <w:rPr>
                <w:rFonts w:ascii="Times New Roman" w:hAnsi="Times New Roman"/>
                <w:sz w:val="18"/>
              </w:rPr>
              <w:t>id (int)</w:t>
            </w:r>
          </w:p>
        </w:tc>
        <w:tc>
          <w:tcPr>
            <w:tcW w:type="dxa" w:w="3358"/>
          </w:tcPr>
          <w:p>
            <w:pPr>
              <w:jc w:val="center"/>
            </w:pPr>
            <w:r/>
            <w:r>
              <w:rPr>
                <w:rFonts w:ascii="Times New Roman" w:hAnsi="Times New Roman"/>
                <w:sz w:val="18"/>
              </w:rPr>
              <w:t>Quarantine history with reactivation flag</w:t>
            </w:r>
          </w:p>
        </w:tc>
      </w:tr>
      <w:tr>
        <w:tc>
          <w:tcPr>
            <w:tcW w:type="dxa" w:w="3358"/>
          </w:tcPr>
          <w:p>
            <w:pPr>
              <w:jc w:val="center"/>
            </w:pPr>
            <w:r/>
            <w:r>
              <w:rPr>
                <w:rFonts w:ascii="Times New Roman" w:hAnsi="Times New Roman"/>
                <w:sz w:val="18"/>
              </w:rPr>
              <w:t>tool_requirements</w:t>
            </w:r>
          </w:p>
        </w:tc>
        <w:tc>
          <w:tcPr>
            <w:tcW w:type="dxa" w:w="3358"/>
          </w:tcPr>
          <w:p>
            <w:pPr>
              <w:jc w:val="center"/>
            </w:pPr>
            <w:r/>
            <w:r>
              <w:rPr>
                <w:rFonts w:ascii="Times New Roman" w:hAnsi="Times New Roman"/>
                <w:sz w:val="18"/>
              </w:rPr>
              <w:t>id (int)</w:t>
            </w:r>
          </w:p>
        </w:tc>
        <w:tc>
          <w:tcPr>
            <w:tcW w:type="dxa" w:w="3358"/>
          </w:tcPr>
          <w:p>
            <w:pPr>
              <w:jc w:val="center"/>
            </w:pPr>
            <w:r/>
            <w:r>
              <w:rPr>
                <w:rFonts w:ascii="Times New Roman" w:hAnsi="Times New Roman"/>
                <w:sz w:val="18"/>
              </w:rPr>
              <w:t>Fernet-encrypted API key storage</w:t>
            </w:r>
          </w:p>
        </w:tc>
      </w:tr>
    </w:tbl>
    <w:p>
      <w:pPr>
        <w:spacing w:before="80" w:after="160"/>
        <w:jc w:val="center"/>
      </w:pPr>
      <w:r>
        <w:rPr>
          <w:rFonts w:ascii="Times New Roman" w:hAnsi="Times New Roman"/>
          <w:i/>
          <w:sz w:val="18"/>
        </w:rPr>
        <w:t>TABLE III: OmniKernal database schema.</w:t>
      </w:r>
    </w:p>
    <w:p/>
    <w:p>
      <w:pPr>
        <w:spacing w:before="160" w:after="80"/>
        <w:jc w:val="left"/>
      </w:pPr>
      <w:r>
        <w:rPr>
          <w:rFonts w:ascii="Times New Roman" w:hAnsi="Times New Roman"/>
          <w:b/>
          <w:i/>
          <w:sz w:val="20"/>
        </w:rPr>
        <w:t>5.3 Security Architecture</w:t>
      </w:r>
    </w:p>
    <w:p>
      <w:pPr>
        <w:spacing w:after="120"/>
        <w:ind w:firstLine="425"/>
        <w:jc w:val="both"/>
      </w:pPr>
      <w:r>
        <w:rPr>
          <w:rFonts w:ascii="Times New Roman" w:hAnsi="Times New Roman"/>
          <w:b/>
          <w:sz w:val="20"/>
        </w:rPr>
        <w:t xml:space="preserve">Encryption at Rest: </w:t>
      </w:r>
      <w:r>
        <w:rPr>
          <w:rFonts w:ascii="Times New Roman" w:hAnsi="Times New Roman"/>
          <w:sz w:val="20"/>
        </w:rPr>
        <w:t>All sensitive data (API keys, session data) is encrypted using Fernet symmetric encryption. The master key is sourced from the OMNIKERNAL_SECRET_KEY environment variable. In development, a key is auto-generated and persisted to .dev.key with a warning; production deployments must provide the key explicitly.</w:t>
      </w:r>
    </w:p>
    <w:p>
      <w:pPr>
        <w:spacing w:after="120"/>
        <w:ind w:firstLine="425"/>
        <w:jc w:val="both"/>
      </w:pPr>
      <w:r>
        <w:rPr>
          <w:rFonts w:ascii="Times New Roman" w:hAnsi="Times New Roman"/>
          <w:b/>
          <w:sz w:val="20"/>
        </w:rPr>
        <w:t xml:space="preserve">Command Sanitization: </w:t>
      </w:r>
      <w:r>
        <w:rPr>
          <w:rFonts w:ascii="Times New Roman" w:hAnsi="Times New Roman"/>
          <w:sz w:val="20"/>
        </w:rPr>
        <w:t>The CommandSanitizer implements an allowlist-based approach, stripping all shell metacharacters before the command parser processes input. This prevents injection attacks from LLM-generated or user-supplied text.</w:t>
      </w:r>
    </w:p>
    <w:p>
      <w:pPr>
        <w:spacing w:after="120"/>
        <w:ind w:firstLine="425"/>
        <w:jc w:val="both"/>
      </w:pPr>
      <w:r>
        <w:rPr>
          <w:rFonts w:ascii="Times New Roman" w:hAnsi="Times New Roman"/>
          <w:b/>
          <w:sz w:val="20"/>
        </w:rPr>
        <w:t xml:space="preserve">API Watchdog (Circuit Breaker): </w:t>
      </w:r>
      <w:r>
        <w:rPr>
          <w:rFonts w:ascii="Times New Roman" w:hAnsi="Times New Roman"/>
          <w:sz w:val="20"/>
        </w:rPr>
        <w:t>The ApiWatchdog monitors transport endpoint health via a consecutive failure counter. Upon reaching the threshold (τ = 3), it inserts a DeadApi record, disables the associated tool, and prevents further core resources from being consumed by a failing endpoint. Reactivation is manual-only.</w:t>
      </w:r>
    </w:p>
    <w:p>
      <w:pPr>
        <w:spacing w:after="120"/>
        <w:ind w:firstLine="425"/>
        <w:jc w:val="both"/>
      </w:pPr>
      <w:r>
        <w:rPr>
          <w:rFonts w:ascii="Times New Roman" w:hAnsi="Times New Roman"/>
          <w:b/>
          <w:sz w:val="20"/>
        </w:rPr>
        <w:t xml:space="preserve">Profile Isolation: </w:t>
      </w:r>
      <w:r>
        <w:rPr>
          <w:rFonts w:ascii="Times New Roman" w:hAnsi="Times New Roman"/>
          <w:sz w:val="20"/>
        </w:rPr>
        <w:t>The ProfileManager uses PID-based lock files with atomic creation via os.O_EXCL. Stale locks from terminated processes are automatically detected and cleaned. When two or more profiles are active simultaneously, the system enforces headless mode for UI-based adapters, preventing resource exhaustion.</w:t>
      </w:r>
    </w:p>
    <w:p>
      <w:pPr>
        <w:spacing w:before="160" w:after="80"/>
        <w:jc w:val="left"/>
      </w:pPr>
      <w:r>
        <w:rPr>
          <w:rFonts w:ascii="Times New Roman" w:hAnsi="Times New Roman"/>
          <w:b/>
          <w:i/>
          <w:sz w:val="20"/>
        </w:rPr>
        <w:t>5.4 Implemented Adapter Packs</w:t>
      </w:r>
    </w:p>
    <w:p>
      <w:pPr>
        <w:spacing w:after="120"/>
        <w:ind w:firstLine="425"/>
        <w:jc w:val="both"/>
      </w:pPr>
      <w:r>
        <w:rPr>
          <w:rFonts w:ascii="Times New Roman" w:hAnsi="Times New Roman"/>
          <w:sz w:val="20"/>
        </w:rPr>
        <w:t>Three adapter packs implement the PlatformAdapter contract for WhatsApp: (1) WhatsAppPlaywrightAdapter (UI-Scraping) launches a Chromium browser instance, navigates to WhatsApp Web, and extracts messages by parsing the DOM tree, with high resource usage (~532MB RAM) but low detectability; (2) WhatsAppWahaAdapter (REST-Proxying) connects to a WAHA Docker container wrapping the WhatsApp Business API via HTTP REST calls, with medium resource usage (~817MB RAM) but high reliability; and (3) WhatsAppBaileysAdapter (WebSocket-Bridging) uses a Node.js bridge running the Baileys library with direct WebSocket connections using native Protobuf encoding, achieving the lowest resource usage (~169MB RAM) and lowest latency but with stateful connection management complexity.</w:t>
      </w:r>
    </w:p>
    <w:p>
      <w:pPr>
        <w:spacing w:before="240" w:after="80"/>
        <w:jc w:val="left"/>
      </w:pPr>
      <w:r>
        <w:rPr>
          <w:rFonts w:ascii="Times New Roman" w:hAnsi="Times New Roman"/>
          <w:b/>
          <w:sz w:val="24"/>
        </w:rPr>
        <w:t>6. Experimental Setup</w:t>
      </w:r>
    </w:p>
    <w:p>
      <w:pPr>
        <w:spacing w:before="160" w:after="80"/>
        <w:jc w:val="left"/>
      </w:pPr>
      <w:r>
        <w:rPr>
          <w:rFonts w:ascii="Times New Roman" w:hAnsi="Times New Roman"/>
          <w:b/>
          <w:i/>
          <w:sz w:val="20"/>
        </w:rPr>
        <w:t>6.1 Benchmark Design</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pPr>
              <w:jc w:val="center"/>
            </w:pPr>
            <w:r/>
            <w:r>
              <w:rPr>
                <w:rFonts w:ascii="Times New Roman" w:hAnsi="Times New Roman"/>
                <w:b/>
                <w:sz w:val="18"/>
              </w:rPr>
              <w:t>Benchmark</w:t>
            </w:r>
          </w:p>
        </w:tc>
        <w:tc>
          <w:tcPr>
            <w:tcW w:type="dxa" w:w="3358"/>
          </w:tcPr>
          <w:p>
            <w:pPr>
              <w:jc w:val="center"/>
            </w:pPr>
            <w:r/>
            <w:r>
              <w:rPr>
                <w:rFonts w:ascii="Times New Roman" w:hAnsi="Times New Roman"/>
                <w:b/>
                <w:sz w:val="18"/>
              </w:rPr>
              <w:t>Script</w:t>
            </w:r>
          </w:p>
        </w:tc>
        <w:tc>
          <w:tcPr>
            <w:tcW w:type="dxa" w:w="3358"/>
          </w:tcPr>
          <w:p>
            <w:pPr>
              <w:jc w:val="center"/>
            </w:pPr>
            <w:r/>
            <w:r>
              <w:rPr>
                <w:rFonts w:ascii="Times New Roman" w:hAnsi="Times New Roman"/>
                <w:b/>
                <w:sz w:val="18"/>
              </w:rPr>
              <w:t>Measurement Target</w:t>
            </w:r>
          </w:p>
        </w:tc>
      </w:tr>
      <w:tr>
        <w:tc>
          <w:tcPr>
            <w:tcW w:type="dxa" w:w="3358"/>
          </w:tcPr>
          <w:p>
            <w:pPr>
              <w:jc w:val="center"/>
            </w:pPr>
            <w:r/>
            <w:r>
              <w:rPr>
                <w:rFonts w:ascii="Times New Roman" w:hAnsi="Times New Roman"/>
                <w:sz w:val="18"/>
              </w:rPr>
              <w:t>Message Latency</w:t>
            </w:r>
          </w:p>
        </w:tc>
        <w:tc>
          <w:tcPr>
            <w:tcW w:type="dxa" w:w="3358"/>
          </w:tcPr>
          <w:p>
            <w:pPr>
              <w:jc w:val="center"/>
            </w:pPr>
            <w:r/>
            <w:r>
              <w:rPr>
                <w:rFonts w:ascii="Times New Roman" w:hAnsi="Times New Roman"/>
                <w:sz w:val="18"/>
              </w:rPr>
              <w:t>bench_latency.py</w:t>
            </w:r>
          </w:p>
        </w:tc>
        <w:tc>
          <w:tcPr>
            <w:tcW w:type="dxa" w:w="3358"/>
          </w:tcPr>
          <w:p>
            <w:pPr>
              <w:jc w:val="center"/>
            </w:pPr>
            <w:r/>
            <w:r>
              <w:rPr>
                <w:rFonts w:ascii="Times New Roman" w:hAnsi="Times New Roman"/>
                <w:sz w:val="18"/>
              </w:rPr>
              <w:t>End-to-end process(msg) time</w:t>
            </w:r>
          </w:p>
        </w:tc>
      </w:tr>
      <w:tr>
        <w:tc>
          <w:tcPr>
            <w:tcW w:type="dxa" w:w="3358"/>
          </w:tcPr>
          <w:p>
            <w:pPr>
              <w:jc w:val="center"/>
            </w:pPr>
            <w:r/>
            <w:r>
              <w:rPr>
                <w:rFonts w:ascii="Times New Roman" w:hAnsi="Times New Roman"/>
                <w:sz w:val="18"/>
              </w:rPr>
              <w:t>Plugin Load Time</w:t>
            </w:r>
          </w:p>
        </w:tc>
        <w:tc>
          <w:tcPr>
            <w:tcW w:type="dxa" w:w="3358"/>
          </w:tcPr>
          <w:p>
            <w:pPr>
              <w:jc w:val="center"/>
            </w:pPr>
            <w:r/>
            <w:r>
              <w:rPr>
                <w:rFonts w:ascii="Times New Roman" w:hAnsi="Times New Roman"/>
                <w:sz w:val="18"/>
              </w:rPr>
              <w:t>bench_plugin_load.py</w:t>
            </w:r>
          </w:p>
        </w:tc>
        <w:tc>
          <w:tcPr>
            <w:tcW w:type="dxa" w:w="3358"/>
          </w:tcPr>
          <w:p>
            <w:pPr>
              <w:jc w:val="center"/>
            </w:pPr>
            <w:r/>
            <w:r>
              <w:rPr>
                <w:rFonts w:ascii="Times New Roman" w:hAnsi="Times New Roman"/>
                <w:sz w:val="18"/>
              </w:rPr>
              <w:t>discover_and_load() duration</w:t>
            </w:r>
          </w:p>
        </w:tc>
      </w:tr>
      <w:tr>
        <w:tc>
          <w:tcPr>
            <w:tcW w:type="dxa" w:w="3358"/>
          </w:tcPr>
          <w:p>
            <w:pPr>
              <w:jc w:val="center"/>
            </w:pPr>
            <w:r/>
            <w:r>
              <w:rPr>
                <w:rFonts w:ascii="Times New Roman" w:hAnsi="Times New Roman"/>
                <w:sz w:val="18"/>
              </w:rPr>
              <w:t>DB Lookup Overhead</w:t>
            </w:r>
          </w:p>
        </w:tc>
        <w:tc>
          <w:tcPr>
            <w:tcW w:type="dxa" w:w="3358"/>
          </w:tcPr>
          <w:p>
            <w:pPr>
              <w:jc w:val="center"/>
            </w:pPr>
            <w:r/>
            <w:r>
              <w:rPr>
                <w:rFonts w:ascii="Times New Roman" w:hAnsi="Times New Roman"/>
                <w:sz w:val="18"/>
              </w:rPr>
              <w:t>bench_db_lookup.py</w:t>
            </w:r>
          </w:p>
        </w:tc>
        <w:tc>
          <w:tcPr>
            <w:tcW w:type="dxa" w:w="3358"/>
          </w:tcPr>
          <w:p>
            <w:pPr>
              <w:jc w:val="center"/>
            </w:pPr>
            <w:r/>
            <w:r>
              <w:rPr>
                <w:rFonts w:ascii="Times New Roman" w:hAnsi="Times New Roman"/>
                <w:sz w:val="18"/>
              </w:rPr>
              <w:t>DB query vs. in-memory dict</w:t>
            </w:r>
          </w:p>
        </w:tc>
      </w:tr>
      <w:tr>
        <w:tc>
          <w:tcPr>
            <w:tcW w:type="dxa" w:w="3358"/>
          </w:tcPr>
          <w:p>
            <w:pPr>
              <w:jc w:val="center"/>
            </w:pPr>
            <w:r/>
            <w:r>
              <w:rPr>
                <w:rFonts w:ascii="Times New Roman" w:hAnsi="Times New Roman"/>
                <w:sz w:val="18"/>
              </w:rPr>
              <w:t>Memory Footprint</w:t>
            </w:r>
          </w:p>
        </w:tc>
        <w:tc>
          <w:tcPr>
            <w:tcW w:type="dxa" w:w="3358"/>
          </w:tcPr>
          <w:p>
            <w:pPr>
              <w:jc w:val="center"/>
            </w:pPr>
            <w:r/>
            <w:r>
              <w:rPr>
                <w:rFonts w:ascii="Times New Roman" w:hAnsi="Times New Roman"/>
                <w:sz w:val="18"/>
              </w:rPr>
              <w:t>bench_memory.py</w:t>
            </w:r>
          </w:p>
        </w:tc>
        <w:tc>
          <w:tcPr>
            <w:tcW w:type="dxa" w:w="3358"/>
          </w:tcPr>
          <w:p>
            <w:pPr>
              <w:jc w:val="center"/>
            </w:pPr>
            <w:r/>
            <w:r>
              <w:rPr>
                <w:rFonts w:ascii="Times New Roman" w:hAnsi="Times New Roman"/>
                <w:sz w:val="18"/>
              </w:rPr>
              <w:t>RSS memory per active profile</w:t>
            </w:r>
          </w:p>
        </w:tc>
      </w:tr>
      <w:tr>
        <w:tc>
          <w:tcPr>
            <w:tcW w:type="dxa" w:w="3358"/>
          </w:tcPr>
          <w:p>
            <w:pPr>
              <w:jc w:val="center"/>
            </w:pPr>
            <w:r/>
            <w:r>
              <w:rPr>
                <w:rFonts w:ascii="Times New Roman" w:hAnsi="Times New Roman"/>
                <w:sz w:val="18"/>
              </w:rPr>
              <w:t>Concurrent Throughput</w:t>
            </w:r>
          </w:p>
        </w:tc>
        <w:tc>
          <w:tcPr>
            <w:tcW w:type="dxa" w:w="3358"/>
          </w:tcPr>
          <w:p>
            <w:pPr>
              <w:jc w:val="center"/>
            </w:pPr>
            <w:r/>
            <w:r>
              <w:rPr>
                <w:rFonts w:ascii="Times New Roman" w:hAnsi="Times New Roman"/>
                <w:sz w:val="18"/>
              </w:rPr>
              <w:t>bench_concurrency.py</w:t>
            </w:r>
          </w:p>
        </w:tc>
        <w:tc>
          <w:tcPr>
            <w:tcW w:type="dxa" w:w="3358"/>
          </w:tcPr>
          <w:p>
            <w:pPr>
              <w:jc w:val="center"/>
            </w:pPr>
            <w:r/>
            <w:r>
              <w:rPr>
                <w:rFonts w:ascii="Times New Roman" w:hAnsi="Times New Roman"/>
                <w:sz w:val="18"/>
              </w:rPr>
              <w:t>asyncio.gather parallel processing</w:t>
            </w:r>
          </w:p>
        </w:tc>
      </w:tr>
      <w:tr>
        <w:tc>
          <w:tcPr>
            <w:tcW w:type="dxa" w:w="3358"/>
          </w:tcPr>
          <w:p>
            <w:pPr>
              <w:jc w:val="center"/>
            </w:pPr>
            <w:r/>
            <w:r>
              <w:rPr>
                <w:rFonts w:ascii="Times New Roman" w:hAnsi="Times New Roman"/>
                <w:sz w:val="18"/>
              </w:rPr>
              <w:t>Fault Isolation</w:t>
            </w:r>
          </w:p>
        </w:tc>
        <w:tc>
          <w:tcPr>
            <w:tcW w:type="dxa" w:w="3358"/>
          </w:tcPr>
          <w:p>
            <w:pPr>
              <w:jc w:val="center"/>
            </w:pPr>
            <w:r/>
            <w:r>
              <w:rPr>
                <w:rFonts w:ascii="Times New Roman" w:hAnsi="Times New Roman"/>
                <w:sz w:val="18"/>
              </w:rPr>
              <w:t>bench_fault_isolation.py</w:t>
            </w:r>
          </w:p>
        </w:tc>
        <w:tc>
          <w:tcPr>
            <w:tcW w:type="dxa" w:w="3358"/>
          </w:tcPr>
          <w:p>
            <w:pPr>
              <w:jc w:val="center"/>
            </w:pPr>
            <w:r/>
            <w:r>
              <w:rPr>
                <w:rFonts w:ascii="Times New Roman" w:hAnsi="Times New Roman"/>
                <w:sz w:val="18"/>
              </w:rPr>
              <w:t>Engine survival after handler failure</w:t>
            </w:r>
          </w:p>
        </w:tc>
      </w:tr>
    </w:tbl>
    <w:p>
      <w:pPr>
        <w:spacing w:before="80" w:after="160"/>
        <w:jc w:val="center"/>
      </w:pPr>
      <w:r>
        <w:rPr>
          <w:rFonts w:ascii="Times New Roman" w:hAnsi="Times New Roman"/>
          <w:i/>
          <w:sz w:val="18"/>
        </w:rPr>
        <w:t>TABLE IV: Benchmark suite design.</w:t>
      </w:r>
    </w:p>
    <w:p/>
    <w:p>
      <w:pPr>
        <w:spacing w:before="160" w:after="80"/>
        <w:jc w:val="left"/>
      </w:pPr>
      <w:r>
        <w:rPr>
          <w:rFonts w:ascii="Times New Roman" w:hAnsi="Times New Roman"/>
          <w:b/>
          <w:i/>
          <w:sz w:val="20"/>
        </w:rPr>
        <w:t>6.2 Test Infrastructure</w:t>
      </w:r>
    </w:p>
    <w:p>
      <w:pPr>
        <w:spacing w:after="120"/>
        <w:ind w:firstLine="425"/>
        <w:jc w:val="both"/>
      </w:pPr>
      <w:r>
        <w:rPr>
          <w:rFonts w:ascii="Times New Roman" w:hAnsi="Times New Roman"/>
          <w:sz w:val="20"/>
        </w:rPr>
        <w:t>All benchmarks use a shared harness (harness.py) providing: engine bootstrapping via build_engine() that boots a real OmniKernal instance with the console_mock adapter (an in-memory adapter for deterministic testing without network I/O); timing utilities via timed() wrapping coroutines with time.perf_counter() for microsecond-precision measurement; and result persistence via save_results() serializing benchmark data as timestamped JSON.</w:t>
      </w:r>
    </w:p>
    <w:p>
      <w:pPr>
        <w:spacing w:before="160" w:after="80"/>
        <w:jc w:val="left"/>
      </w:pPr>
      <w:r>
        <w:rPr>
          <w:rFonts w:ascii="Times New Roman" w:hAnsi="Times New Roman"/>
          <w:b/>
          <w:i/>
          <w:sz w:val="20"/>
        </w:rPr>
        <w:t>6.3 Workload Design</w:t>
      </w:r>
    </w:p>
    <w:p>
      <w:pPr>
        <w:spacing w:after="120"/>
        <w:ind w:firstLine="425"/>
        <w:jc w:val="both"/>
      </w:pPr>
      <w:r>
        <w:rPr>
          <w:rFonts w:ascii="Times New Roman" w:hAnsi="Times New Roman"/>
          <w:sz w:val="20"/>
        </w:rPr>
        <w:t>The latency benchmark processes the !echo benchmark command sequentially at three load levels: 1, 10, and 50 simulated users. The concurrency benchmark uses asyncio.gather() to inject 1, 10, or 50 simultaneous messages, each with its own database session. The fault isolation test processes a valid command, injects an unknown command, then processes another valid command, verifying that the engine survives the fault and resumes normal operation.</w:t>
      </w:r>
    </w:p>
    <w:p>
      <w:pPr>
        <w:spacing w:before="160" w:after="80"/>
        <w:jc w:val="left"/>
      </w:pPr>
      <w:r>
        <w:rPr>
          <w:rFonts w:ascii="Times New Roman" w:hAnsi="Times New Roman"/>
          <w:b/>
          <w:i/>
          <w:sz w:val="20"/>
        </w:rPr>
        <w:t>6.4 Hardware and Software Environment</w:t>
      </w:r>
    </w:p>
    <w:tbl>
      <w:tblPr>
        <w:tblStyle w:val="TableGrid"/>
        <w:tblW w:type="auto" w:w="0"/>
        <w:jc w:val="center"/>
        <w:tblLook w:firstColumn="1" w:firstRow="1" w:lastColumn="0" w:lastRow="0" w:noHBand="0" w:noVBand="1" w:val="04A0"/>
      </w:tblPr>
      <w:tblGrid>
        <w:gridCol w:w="5037"/>
        <w:gridCol w:w="5037"/>
      </w:tblGrid>
      <w:tr>
        <w:tc>
          <w:tcPr>
            <w:tcW w:type="dxa" w:w="5037"/>
          </w:tcPr>
          <w:p>
            <w:pPr>
              <w:jc w:val="center"/>
            </w:pPr>
            <w:r/>
            <w:r>
              <w:rPr>
                <w:rFonts w:ascii="Times New Roman" w:hAnsi="Times New Roman"/>
                <w:b/>
                <w:sz w:val="18"/>
              </w:rPr>
              <w:t>Parameter</w:t>
            </w:r>
          </w:p>
        </w:tc>
        <w:tc>
          <w:tcPr>
            <w:tcW w:type="dxa" w:w="5037"/>
          </w:tcPr>
          <w:p>
            <w:pPr>
              <w:jc w:val="center"/>
            </w:pPr>
            <w:r/>
            <w:r>
              <w:rPr>
                <w:rFonts w:ascii="Times New Roman" w:hAnsi="Times New Roman"/>
                <w:b/>
                <w:sz w:val="18"/>
              </w:rPr>
              <w:t>Value</w:t>
            </w:r>
          </w:p>
        </w:tc>
      </w:tr>
      <w:tr>
        <w:tc>
          <w:tcPr>
            <w:tcW w:type="dxa" w:w="5037"/>
          </w:tcPr>
          <w:p>
            <w:pPr>
              <w:jc w:val="center"/>
            </w:pPr>
            <w:r/>
            <w:r>
              <w:rPr>
                <w:rFonts w:ascii="Times New Roman" w:hAnsi="Times New Roman"/>
                <w:sz w:val="18"/>
              </w:rPr>
              <w:t>Operating System</w:t>
            </w:r>
          </w:p>
        </w:tc>
        <w:tc>
          <w:tcPr>
            <w:tcW w:type="dxa" w:w="5037"/>
          </w:tcPr>
          <w:p>
            <w:pPr>
              <w:jc w:val="center"/>
            </w:pPr>
            <w:r/>
            <w:r>
              <w:rPr>
                <w:rFonts w:ascii="Times New Roman" w:hAnsi="Times New Roman"/>
                <w:sz w:val="18"/>
              </w:rPr>
              <w:t>Windows 10/11</w:t>
            </w:r>
          </w:p>
        </w:tc>
      </w:tr>
      <w:tr>
        <w:tc>
          <w:tcPr>
            <w:tcW w:type="dxa" w:w="5037"/>
          </w:tcPr>
          <w:p>
            <w:pPr>
              <w:jc w:val="center"/>
            </w:pPr>
            <w:r/>
            <w:r>
              <w:rPr>
                <w:rFonts w:ascii="Times New Roman" w:hAnsi="Times New Roman"/>
                <w:sz w:val="18"/>
              </w:rPr>
              <w:t>Python Version</w:t>
            </w:r>
          </w:p>
        </w:tc>
        <w:tc>
          <w:tcPr>
            <w:tcW w:type="dxa" w:w="5037"/>
          </w:tcPr>
          <w:p>
            <w:pPr>
              <w:jc w:val="center"/>
            </w:pPr>
            <w:r/>
            <w:r>
              <w:rPr>
                <w:rFonts w:ascii="Times New Roman" w:hAnsi="Times New Roman"/>
                <w:sz w:val="18"/>
              </w:rPr>
              <w:t>≥ 3.12</w:t>
            </w:r>
          </w:p>
        </w:tc>
      </w:tr>
      <w:tr>
        <w:tc>
          <w:tcPr>
            <w:tcW w:type="dxa" w:w="5037"/>
          </w:tcPr>
          <w:p>
            <w:pPr>
              <w:jc w:val="center"/>
            </w:pPr>
            <w:r/>
            <w:r>
              <w:rPr>
                <w:rFonts w:ascii="Times New Roman" w:hAnsi="Times New Roman"/>
                <w:sz w:val="18"/>
              </w:rPr>
              <w:t>Database</w:t>
            </w:r>
          </w:p>
        </w:tc>
        <w:tc>
          <w:tcPr>
            <w:tcW w:type="dxa" w:w="5037"/>
          </w:tcPr>
          <w:p>
            <w:pPr>
              <w:jc w:val="center"/>
            </w:pPr>
            <w:r/>
            <w:r>
              <w:rPr>
                <w:rFonts w:ascii="Times New Roman" w:hAnsi="Times New Roman"/>
                <w:sz w:val="18"/>
              </w:rPr>
              <w:t>SQLite + aiosqlite (in-process)</w:t>
            </w:r>
          </w:p>
        </w:tc>
      </w:tr>
      <w:tr>
        <w:tc>
          <w:tcPr>
            <w:tcW w:type="dxa" w:w="5037"/>
          </w:tcPr>
          <w:p>
            <w:pPr>
              <w:jc w:val="center"/>
            </w:pPr>
            <w:r/>
            <w:r>
              <w:rPr>
                <w:rFonts w:ascii="Times New Roman" w:hAnsi="Times New Roman"/>
                <w:sz w:val="18"/>
              </w:rPr>
              <w:t>Adapter (Benchmarks)</w:t>
            </w:r>
          </w:p>
        </w:tc>
        <w:tc>
          <w:tcPr>
            <w:tcW w:type="dxa" w:w="5037"/>
          </w:tcPr>
          <w:p>
            <w:pPr>
              <w:jc w:val="center"/>
            </w:pPr>
            <w:r/>
            <w:r>
              <w:rPr>
                <w:rFonts w:ascii="Times New Roman" w:hAnsi="Times New Roman"/>
                <w:sz w:val="18"/>
              </w:rPr>
              <w:t>console_mock (zero I/O overhead)</w:t>
            </w:r>
          </w:p>
        </w:tc>
      </w:tr>
      <w:tr>
        <w:tc>
          <w:tcPr>
            <w:tcW w:type="dxa" w:w="5037"/>
          </w:tcPr>
          <w:p>
            <w:pPr>
              <w:jc w:val="center"/>
            </w:pPr>
            <w:r/>
            <w:r>
              <w:rPr>
                <w:rFonts w:ascii="Times New Roman" w:hAnsi="Times New Roman"/>
                <w:sz w:val="18"/>
              </w:rPr>
              <w:t>Package Manager</w:t>
            </w:r>
          </w:p>
        </w:tc>
        <w:tc>
          <w:tcPr>
            <w:tcW w:type="dxa" w:w="5037"/>
          </w:tcPr>
          <w:p>
            <w:pPr>
              <w:jc w:val="center"/>
            </w:pPr>
            <w:r/>
            <w:r>
              <w:rPr>
                <w:rFonts w:ascii="Times New Roman" w:hAnsi="Times New Roman"/>
                <w:sz w:val="18"/>
              </w:rPr>
              <w:t>uv</w:t>
            </w:r>
          </w:p>
        </w:tc>
      </w:tr>
      <w:tr>
        <w:tc>
          <w:tcPr>
            <w:tcW w:type="dxa" w:w="5037"/>
          </w:tcPr>
          <w:p>
            <w:pPr>
              <w:jc w:val="center"/>
            </w:pPr>
            <w:r/>
            <w:r>
              <w:rPr>
                <w:rFonts w:ascii="Times New Roman" w:hAnsi="Times New Roman"/>
                <w:sz w:val="18"/>
              </w:rPr>
              <w:t>Measurement Precision</w:t>
            </w:r>
          </w:p>
        </w:tc>
        <w:tc>
          <w:tcPr>
            <w:tcW w:type="dxa" w:w="5037"/>
          </w:tcPr>
          <w:p>
            <w:pPr>
              <w:jc w:val="center"/>
            </w:pPr>
            <w:r/>
            <w:r>
              <w:rPr>
                <w:rFonts w:ascii="Times New Roman" w:hAnsi="Times New Roman"/>
                <w:sz w:val="18"/>
              </w:rPr>
              <w:t>time.perf_counter() (μs resolution)</w:t>
            </w:r>
          </w:p>
        </w:tc>
      </w:tr>
    </w:tbl>
    <w:p>
      <w:pPr>
        <w:spacing w:before="80" w:after="160"/>
        <w:jc w:val="center"/>
      </w:pPr>
      <w:r>
        <w:rPr>
          <w:rFonts w:ascii="Times New Roman" w:hAnsi="Times New Roman"/>
          <w:i/>
          <w:sz w:val="18"/>
        </w:rPr>
        <w:t>TABLE V: Hardware and software environment.</w:t>
      </w:r>
    </w:p>
    <w:p/>
    <w:p>
      <w:pPr>
        <w:spacing w:before="240" w:after="80"/>
        <w:jc w:val="left"/>
      </w:pPr>
      <w:r>
        <w:rPr>
          <w:rFonts w:ascii="Times New Roman" w:hAnsi="Times New Roman"/>
          <w:b/>
          <w:sz w:val="24"/>
        </w:rPr>
        <w:t>7. Results and Evaluation</w:t>
      </w:r>
    </w:p>
    <w:p>
      <w:pPr>
        <w:spacing w:before="160" w:after="80"/>
        <w:jc w:val="left"/>
      </w:pPr>
      <w:r>
        <w:rPr>
          <w:rFonts w:ascii="Times New Roman" w:hAnsi="Times New Roman"/>
          <w:b/>
          <w:i/>
          <w:sz w:val="20"/>
        </w:rPr>
        <w:t>7.1 Message Processing Latency</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
              <w:rPr>
                <w:rFonts w:ascii="Times New Roman" w:hAnsi="Times New Roman"/>
                <w:b/>
                <w:sz w:val="18"/>
              </w:rPr>
              <w:t>Simulated Users</w:t>
            </w:r>
          </w:p>
        </w:tc>
        <w:tc>
          <w:tcPr>
            <w:tcW w:type="dxa" w:w="2518"/>
          </w:tcPr>
          <w:p>
            <w:pPr>
              <w:jc w:val="center"/>
            </w:pPr>
            <w:r/>
            <w:r>
              <w:rPr>
                <w:rFonts w:ascii="Times New Roman" w:hAnsi="Times New Roman"/>
                <w:b/>
                <w:sz w:val="18"/>
              </w:rPr>
              <w:t>Min (ms)</w:t>
            </w:r>
          </w:p>
        </w:tc>
        <w:tc>
          <w:tcPr>
            <w:tcW w:type="dxa" w:w="2518"/>
          </w:tcPr>
          <w:p>
            <w:pPr>
              <w:jc w:val="center"/>
            </w:pPr>
            <w:r/>
            <w:r>
              <w:rPr>
                <w:rFonts w:ascii="Times New Roman" w:hAnsi="Times New Roman"/>
                <w:b/>
                <w:sz w:val="18"/>
              </w:rPr>
              <w:t>Max (ms)</w:t>
            </w:r>
          </w:p>
        </w:tc>
        <w:tc>
          <w:tcPr>
            <w:tcW w:type="dxa" w:w="2518"/>
          </w:tcPr>
          <w:p>
            <w:pPr>
              <w:jc w:val="center"/>
            </w:pPr>
            <w:r/>
            <w:r>
              <w:rPr>
                <w:rFonts w:ascii="Times New Roman" w:hAnsi="Times New Roman"/>
                <w:b/>
                <w:sz w:val="18"/>
              </w:rPr>
              <w:t>Mean (ms)</w:t>
            </w:r>
          </w:p>
        </w:tc>
      </w:tr>
      <w:tr>
        <w:tc>
          <w:tcPr>
            <w:tcW w:type="dxa" w:w="2518"/>
          </w:tcPr>
          <w:p>
            <w:pPr>
              <w:jc w:val="center"/>
            </w:pPr>
            <w:r/>
            <w:r>
              <w:rPr>
                <w:rFonts w:ascii="Times New Roman" w:hAnsi="Times New Roman"/>
                <w:sz w:val="18"/>
              </w:rPr>
              <w:t>1</w:t>
            </w:r>
          </w:p>
        </w:tc>
        <w:tc>
          <w:tcPr>
            <w:tcW w:type="dxa" w:w="2518"/>
          </w:tcPr>
          <w:p>
            <w:pPr>
              <w:jc w:val="center"/>
            </w:pPr>
            <w:r/>
            <w:r>
              <w:rPr>
                <w:rFonts w:ascii="Times New Roman" w:hAnsi="Times New Roman"/>
                <w:sz w:val="18"/>
              </w:rPr>
              <w:t>21.925</w:t>
            </w:r>
          </w:p>
        </w:tc>
        <w:tc>
          <w:tcPr>
            <w:tcW w:type="dxa" w:w="2518"/>
          </w:tcPr>
          <w:p>
            <w:pPr>
              <w:jc w:val="center"/>
            </w:pPr>
            <w:r/>
            <w:r>
              <w:rPr>
                <w:rFonts w:ascii="Times New Roman" w:hAnsi="Times New Roman"/>
                <w:sz w:val="18"/>
              </w:rPr>
              <w:t>21.925</w:t>
            </w:r>
          </w:p>
        </w:tc>
        <w:tc>
          <w:tcPr>
            <w:tcW w:type="dxa" w:w="2518"/>
          </w:tcPr>
          <w:p>
            <w:pPr>
              <w:jc w:val="center"/>
            </w:pPr>
            <w:r/>
            <w:r>
              <w:rPr>
                <w:rFonts w:ascii="Times New Roman" w:hAnsi="Times New Roman"/>
                <w:sz w:val="18"/>
              </w:rPr>
              <w:t>21.925</w:t>
            </w:r>
          </w:p>
        </w:tc>
      </w:tr>
      <w:tr>
        <w:tc>
          <w:tcPr>
            <w:tcW w:type="dxa" w:w="2518"/>
          </w:tcPr>
          <w:p>
            <w:pPr>
              <w:jc w:val="center"/>
            </w:pPr>
            <w:r/>
            <w:r>
              <w:rPr>
                <w:rFonts w:ascii="Times New Roman" w:hAnsi="Times New Roman"/>
                <w:sz w:val="18"/>
              </w:rPr>
              <w:t>10</w:t>
            </w:r>
          </w:p>
        </w:tc>
        <w:tc>
          <w:tcPr>
            <w:tcW w:type="dxa" w:w="2518"/>
          </w:tcPr>
          <w:p>
            <w:pPr>
              <w:jc w:val="center"/>
            </w:pPr>
            <w:r/>
            <w:r>
              <w:rPr>
                <w:rFonts w:ascii="Times New Roman" w:hAnsi="Times New Roman"/>
                <w:sz w:val="18"/>
              </w:rPr>
              <w:t>10.334</w:t>
            </w:r>
          </w:p>
        </w:tc>
        <w:tc>
          <w:tcPr>
            <w:tcW w:type="dxa" w:w="2518"/>
          </w:tcPr>
          <w:p>
            <w:pPr>
              <w:jc w:val="center"/>
            </w:pPr>
            <w:r/>
            <w:r>
              <w:rPr>
                <w:rFonts w:ascii="Times New Roman" w:hAnsi="Times New Roman"/>
                <w:sz w:val="18"/>
              </w:rPr>
              <w:t>11.310</w:t>
            </w:r>
          </w:p>
        </w:tc>
        <w:tc>
          <w:tcPr>
            <w:tcW w:type="dxa" w:w="2518"/>
          </w:tcPr>
          <w:p>
            <w:pPr>
              <w:jc w:val="center"/>
            </w:pPr>
            <w:r/>
            <w:r>
              <w:rPr>
                <w:rFonts w:ascii="Times New Roman" w:hAnsi="Times New Roman"/>
                <w:sz w:val="18"/>
              </w:rPr>
              <w:t>10.640</w:t>
            </w:r>
          </w:p>
        </w:tc>
      </w:tr>
      <w:tr>
        <w:tc>
          <w:tcPr>
            <w:tcW w:type="dxa" w:w="2518"/>
          </w:tcPr>
          <w:p>
            <w:pPr>
              <w:jc w:val="center"/>
            </w:pPr>
            <w:r/>
            <w:r>
              <w:rPr>
                <w:rFonts w:ascii="Times New Roman" w:hAnsi="Times New Roman"/>
                <w:sz w:val="18"/>
              </w:rPr>
              <w:t>50</w:t>
            </w:r>
          </w:p>
        </w:tc>
        <w:tc>
          <w:tcPr>
            <w:tcW w:type="dxa" w:w="2518"/>
          </w:tcPr>
          <w:p>
            <w:pPr>
              <w:jc w:val="center"/>
            </w:pPr>
            <w:r/>
            <w:r>
              <w:rPr>
                <w:rFonts w:ascii="Times New Roman" w:hAnsi="Times New Roman"/>
                <w:sz w:val="18"/>
              </w:rPr>
              <w:t>9.494</w:t>
            </w:r>
          </w:p>
        </w:tc>
        <w:tc>
          <w:tcPr>
            <w:tcW w:type="dxa" w:w="2518"/>
          </w:tcPr>
          <w:p>
            <w:pPr>
              <w:jc w:val="center"/>
            </w:pPr>
            <w:r/>
            <w:r>
              <w:rPr>
                <w:rFonts w:ascii="Times New Roman" w:hAnsi="Times New Roman"/>
                <w:sz w:val="18"/>
              </w:rPr>
              <w:t>19.356</w:t>
            </w:r>
          </w:p>
        </w:tc>
        <w:tc>
          <w:tcPr>
            <w:tcW w:type="dxa" w:w="2518"/>
          </w:tcPr>
          <w:p>
            <w:pPr>
              <w:jc w:val="center"/>
            </w:pPr>
            <w:r/>
            <w:r>
              <w:rPr>
                <w:rFonts w:ascii="Times New Roman" w:hAnsi="Times New Roman"/>
                <w:sz w:val="18"/>
              </w:rPr>
              <w:t>11.464</w:t>
            </w:r>
          </w:p>
        </w:tc>
      </w:tr>
    </w:tbl>
    <w:p>
      <w:pPr>
        <w:spacing w:before="80" w:after="160"/>
        <w:jc w:val="center"/>
      </w:pPr>
      <w:r>
        <w:rPr>
          <w:rFonts w:ascii="Times New Roman" w:hAnsi="Times New Roman"/>
          <w:i/>
          <w:sz w:val="18"/>
        </w:rPr>
        <w:t>TABLE VI: End-to-end message processing latency.</w:t>
      </w:r>
    </w:p>
    <w:p/>
    <w:p>
      <w:pPr>
        <w:spacing w:after="120"/>
        <w:ind w:firstLine="425"/>
        <w:jc w:val="both"/>
      </w:pPr>
      <w:r>
        <w:rPr>
          <w:rFonts w:ascii="Times New Roman" w:hAnsi="Times New Roman"/>
          <w:sz w:val="20"/>
        </w:rPr>
        <w:t>The single-user latency (21.925ms) includes cold-start effects from SQLAlchemy session initialization and the first lazy import of the echo handler. Under sustained load (10 and 50 users), mean latency stabilizes at approximately 10.6–11.5ms due to warm caches (ORM session pool, imported handler modules, routing rule cache). The inter-quartile stability demonstrates that the microkernel processing pipeline introduces predictable, bounded overhead.</w:t>
      </w:r>
    </w:p>
    <w:p>
      <w:pPr>
        <w:spacing w:before="160" w:after="80"/>
        <w:jc w:val="left"/>
      </w:pPr>
      <w:r>
        <w:rPr>
          <w:rFonts w:ascii="Times New Roman" w:hAnsi="Times New Roman"/>
          <w:b/>
          <w:i/>
          <w:sz w:val="20"/>
        </w:rPr>
        <w:t>7.2 Plugin Load Time</w:t>
      </w:r>
    </w:p>
    <w:tbl>
      <w:tblPr>
        <w:tblStyle w:val="TableGrid"/>
        <w:tblW w:type="auto" w:w="0"/>
        <w:jc w:val="center"/>
        <w:tblLook w:firstColumn="1" w:firstRow="1" w:lastColumn="0" w:lastRow="0" w:noHBand="0" w:noVBand="1" w:val="04A0"/>
      </w:tblPr>
      <w:tblGrid>
        <w:gridCol w:w="5037"/>
        <w:gridCol w:w="5037"/>
      </w:tblGrid>
      <w:tr>
        <w:tc>
          <w:tcPr>
            <w:tcW w:type="dxa" w:w="5037"/>
          </w:tcPr>
          <w:p>
            <w:pPr>
              <w:jc w:val="center"/>
            </w:pPr>
            <w:r/>
            <w:r>
              <w:rPr>
                <w:rFonts w:ascii="Times New Roman" w:hAnsi="Times New Roman"/>
                <w:b/>
                <w:sz w:val="18"/>
              </w:rPr>
              <w:t>Metric</w:t>
            </w:r>
          </w:p>
        </w:tc>
        <w:tc>
          <w:tcPr>
            <w:tcW w:type="dxa" w:w="5037"/>
          </w:tcPr>
          <w:p>
            <w:pPr>
              <w:jc w:val="center"/>
            </w:pPr>
            <w:r/>
            <w:r>
              <w:rPr>
                <w:rFonts w:ascii="Times New Roman" w:hAnsi="Times New Roman"/>
                <w:b/>
                <w:sz w:val="18"/>
              </w:rPr>
              <w:t>Value</w:t>
            </w:r>
          </w:p>
        </w:tc>
      </w:tr>
      <w:tr>
        <w:tc>
          <w:tcPr>
            <w:tcW w:type="dxa" w:w="5037"/>
          </w:tcPr>
          <w:p>
            <w:pPr>
              <w:jc w:val="center"/>
            </w:pPr>
            <w:r/>
            <w:r>
              <w:rPr>
                <w:rFonts w:ascii="Times New Roman" w:hAnsi="Times New Roman"/>
                <w:sz w:val="18"/>
              </w:rPr>
              <w:t>Iterations</w:t>
            </w:r>
          </w:p>
        </w:tc>
        <w:tc>
          <w:tcPr>
            <w:tcW w:type="dxa" w:w="5037"/>
          </w:tcPr>
          <w:p>
            <w:pPr>
              <w:jc w:val="center"/>
            </w:pPr>
            <w:r/>
            <w:r>
              <w:rPr>
                <w:rFonts w:ascii="Times New Roman" w:hAnsi="Times New Roman"/>
                <w:sz w:val="18"/>
              </w:rPr>
              <w:t>5</w:t>
            </w:r>
          </w:p>
        </w:tc>
      </w:tr>
      <w:tr>
        <w:tc>
          <w:tcPr>
            <w:tcW w:type="dxa" w:w="5037"/>
          </w:tcPr>
          <w:p>
            <w:pPr>
              <w:jc w:val="center"/>
            </w:pPr>
            <w:r/>
            <w:r>
              <w:rPr>
                <w:rFonts w:ascii="Times New Roman" w:hAnsi="Times New Roman"/>
                <w:sz w:val="18"/>
              </w:rPr>
              <w:t>Min</w:t>
            </w:r>
          </w:p>
        </w:tc>
        <w:tc>
          <w:tcPr>
            <w:tcW w:type="dxa" w:w="5037"/>
          </w:tcPr>
          <w:p>
            <w:pPr>
              <w:jc w:val="center"/>
            </w:pPr>
            <w:r/>
            <w:r>
              <w:rPr>
                <w:rFonts w:ascii="Times New Roman" w:hAnsi="Times New Roman"/>
                <w:sz w:val="18"/>
              </w:rPr>
              <w:t>7.993 ms</w:t>
            </w:r>
          </w:p>
        </w:tc>
      </w:tr>
      <w:tr>
        <w:tc>
          <w:tcPr>
            <w:tcW w:type="dxa" w:w="5037"/>
          </w:tcPr>
          <w:p>
            <w:pPr>
              <w:jc w:val="center"/>
            </w:pPr>
            <w:r/>
            <w:r>
              <w:rPr>
                <w:rFonts w:ascii="Times New Roman" w:hAnsi="Times New Roman"/>
                <w:sz w:val="18"/>
              </w:rPr>
              <w:t>Max</w:t>
            </w:r>
          </w:p>
        </w:tc>
        <w:tc>
          <w:tcPr>
            <w:tcW w:type="dxa" w:w="5037"/>
          </w:tcPr>
          <w:p>
            <w:pPr>
              <w:jc w:val="center"/>
            </w:pPr>
            <w:r/>
            <w:r>
              <w:rPr>
                <w:rFonts w:ascii="Times New Roman" w:hAnsi="Times New Roman"/>
                <w:sz w:val="18"/>
              </w:rPr>
              <w:t>9.137 ms</w:t>
            </w:r>
          </w:p>
        </w:tc>
      </w:tr>
      <w:tr>
        <w:tc>
          <w:tcPr>
            <w:tcW w:type="dxa" w:w="5037"/>
          </w:tcPr>
          <w:p>
            <w:pPr>
              <w:jc w:val="center"/>
            </w:pPr>
            <w:r/>
            <w:r>
              <w:rPr>
                <w:rFonts w:ascii="Times New Roman" w:hAnsi="Times New Roman"/>
                <w:sz w:val="18"/>
              </w:rPr>
              <w:t>Mean</w:t>
            </w:r>
          </w:p>
        </w:tc>
        <w:tc>
          <w:tcPr>
            <w:tcW w:type="dxa" w:w="5037"/>
          </w:tcPr>
          <w:p>
            <w:pPr>
              <w:jc w:val="center"/>
            </w:pPr>
            <w:r/>
            <w:r>
              <w:rPr>
                <w:rFonts w:ascii="Times New Roman" w:hAnsi="Times New Roman"/>
                <w:sz w:val="18"/>
              </w:rPr>
              <w:t>8.715 ms</w:t>
            </w:r>
          </w:p>
        </w:tc>
      </w:tr>
    </w:tbl>
    <w:p>
      <w:pPr>
        <w:spacing w:before="80" w:after="160"/>
        <w:jc w:val="center"/>
      </w:pPr>
      <w:r>
        <w:rPr>
          <w:rFonts w:ascii="Times New Roman" w:hAnsi="Times New Roman"/>
          <w:i/>
          <w:sz w:val="18"/>
        </w:rPr>
        <w:t>TABLE VII: Plugin discovery and registration time.</w:t>
      </w:r>
    </w:p>
    <w:p/>
    <w:p>
      <w:pPr>
        <w:spacing w:after="120"/>
        <w:ind w:firstLine="425"/>
        <w:jc w:val="both"/>
      </w:pPr>
      <w:r>
        <w:rPr>
          <w:rFonts w:ascii="Times New Roman" w:hAnsi="Times New Roman"/>
          <w:sz w:val="20"/>
        </w:rPr>
        <w:t>Plugin load time averages 8.715ms, reflecting the cost of scanning manifest.json, parsing commands.yaml, and registering entries in the database. This confirms that declarative discovery provides fast, predictable boot times. The narrow range (7.993–9.137ms) indicates low variability.</w:t>
      </w:r>
    </w:p>
    <w:p>
      <w:pPr>
        <w:spacing w:before="160" w:after="80"/>
        <w:jc w:val="left"/>
      </w:pPr>
      <w:r>
        <w:rPr>
          <w:rFonts w:ascii="Times New Roman" w:hAnsi="Times New Roman"/>
          <w:b/>
          <w:i/>
          <w:sz w:val="20"/>
        </w:rPr>
        <w:t>7.3 Database Lookup Overhead</w:t>
      </w:r>
    </w:p>
    <w:tbl>
      <w:tblPr>
        <w:tblStyle w:val="TableGrid"/>
        <w:tblW w:type="auto" w:w="0"/>
        <w:jc w:val="center"/>
        <w:tblLook w:firstColumn="1" w:firstRow="1" w:lastColumn="0" w:lastRow="0" w:noHBand="0" w:noVBand="1" w:val="04A0"/>
      </w:tblPr>
      <w:tblGrid>
        <w:gridCol w:w="5037"/>
        <w:gridCol w:w="5037"/>
      </w:tblGrid>
      <w:tr>
        <w:tc>
          <w:tcPr>
            <w:tcW w:type="dxa" w:w="5037"/>
          </w:tcPr>
          <w:p>
            <w:pPr>
              <w:jc w:val="center"/>
            </w:pPr>
            <w:r/>
            <w:r>
              <w:rPr>
                <w:rFonts w:ascii="Times New Roman" w:hAnsi="Times New Roman"/>
                <w:b/>
                <w:sz w:val="18"/>
              </w:rPr>
              <w:t>Approach</w:t>
            </w:r>
          </w:p>
        </w:tc>
        <w:tc>
          <w:tcPr>
            <w:tcW w:type="dxa" w:w="5037"/>
          </w:tcPr>
          <w:p>
            <w:pPr>
              <w:jc w:val="center"/>
            </w:pPr>
            <w:r/>
            <w:r>
              <w:rPr>
                <w:rFonts w:ascii="Times New Roman" w:hAnsi="Times New Roman"/>
                <w:b/>
                <w:sz w:val="18"/>
              </w:rPr>
              <w:t>Mean Latency (ms)</w:t>
            </w:r>
          </w:p>
        </w:tc>
      </w:tr>
      <w:tr>
        <w:tc>
          <w:tcPr>
            <w:tcW w:type="dxa" w:w="5037"/>
          </w:tcPr>
          <w:p>
            <w:pPr>
              <w:jc w:val="center"/>
            </w:pPr>
            <w:r/>
            <w:r>
              <w:rPr>
                <w:rFonts w:ascii="Times New Roman" w:hAnsi="Times New Roman"/>
                <w:sz w:val="18"/>
              </w:rPr>
              <w:t>DB Query (SQLAlchemy)</w:t>
            </w:r>
          </w:p>
        </w:tc>
        <w:tc>
          <w:tcPr>
            <w:tcW w:type="dxa" w:w="5037"/>
          </w:tcPr>
          <w:p>
            <w:pPr>
              <w:jc w:val="center"/>
            </w:pPr>
            <w:r/>
            <w:r>
              <w:rPr>
                <w:rFonts w:ascii="Times New Roman" w:hAnsi="Times New Roman"/>
                <w:sz w:val="18"/>
              </w:rPr>
              <w:t>1.610</w:t>
            </w:r>
          </w:p>
        </w:tc>
      </w:tr>
      <w:tr>
        <w:tc>
          <w:tcPr>
            <w:tcW w:type="dxa" w:w="5037"/>
          </w:tcPr>
          <w:p>
            <w:pPr>
              <w:jc w:val="center"/>
            </w:pPr>
            <w:r/>
            <w:r>
              <w:rPr>
                <w:rFonts w:ascii="Times New Roman" w:hAnsi="Times New Roman"/>
                <w:sz w:val="18"/>
              </w:rPr>
              <w:t>In-Memory Dict</w:t>
            </w:r>
          </w:p>
        </w:tc>
        <w:tc>
          <w:tcPr>
            <w:tcW w:type="dxa" w:w="5037"/>
          </w:tcPr>
          <w:p>
            <w:pPr>
              <w:jc w:val="center"/>
            </w:pPr>
            <w:r/>
            <w:r>
              <w:rPr>
                <w:rFonts w:ascii="Times New Roman" w:hAnsi="Times New Roman"/>
                <w:sz w:val="18"/>
              </w:rPr>
              <w:t>0.0002</w:t>
            </w:r>
          </w:p>
        </w:tc>
      </w:tr>
      <w:tr>
        <w:tc>
          <w:tcPr>
            <w:tcW w:type="dxa" w:w="5037"/>
          </w:tcPr>
          <w:p>
            <w:pPr>
              <w:jc w:val="center"/>
            </w:pPr>
            <w:r/>
            <w:r>
              <w:rPr>
                <w:rFonts w:ascii="Times New Roman" w:hAnsi="Times New Roman"/>
                <w:sz w:val="18"/>
              </w:rPr>
              <w:t>Overhead Factor</w:t>
            </w:r>
          </w:p>
        </w:tc>
        <w:tc>
          <w:tcPr>
            <w:tcW w:type="dxa" w:w="5037"/>
          </w:tcPr>
          <w:p>
            <w:pPr>
              <w:jc w:val="center"/>
            </w:pPr>
            <w:r/>
            <w:r>
              <w:rPr>
                <w:rFonts w:ascii="Times New Roman" w:hAnsi="Times New Roman"/>
                <w:sz w:val="18"/>
              </w:rPr>
              <w:t>9999.8×</w:t>
            </w:r>
          </w:p>
        </w:tc>
      </w:tr>
    </w:tbl>
    <w:p>
      <w:pPr>
        <w:spacing w:before="80" w:after="160"/>
        <w:jc w:val="center"/>
      </w:pPr>
      <w:r>
        <w:rPr>
          <w:rFonts w:ascii="Times New Roman" w:hAnsi="Times New Roman"/>
          <w:i/>
          <w:sz w:val="18"/>
        </w:rPr>
        <w:t>TABLE VIII: Database lookup vs. in-memory baseline.</w:t>
      </w:r>
    </w:p>
    <w:p/>
    <w:p>
      <w:pPr>
        <w:spacing w:after="120"/>
        <w:ind w:firstLine="425"/>
        <w:jc w:val="both"/>
      </w:pPr>
      <w:r>
        <w:rPr>
          <w:rFonts w:ascii="Times New Roman" w:hAnsi="Times New Roman"/>
          <w:sz w:val="20"/>
        </w:rPr>
        <w:t>The DB lookup overhead of 9999.8× vs. an in-memory dictionary is expected for any ORM-backed storage system. However, the absolute cost (1.61ms per query) is acceptable within the full pipeline (~11ms total). The flexibility of runtime-modifiable routing rules and persistent audit logging outweighs the sub-2ms query cost per dispatch.</w:t>
      </w:r>
    </w:p>
    <w:p>
      <w:pPr>
        <w:spacing w:before="160" w:after="80"/>
        <w:jc w:val="left"/>
      </w:pPr>
      <w:r>
        <w:rPr>
          <w:rFonts w:ascii="Times New Roman" w:hAnsi="Times New Roman"/>
          <w:b/>
          <w:i/>
          <w:sz w:val="20"/>
        </w:rPr>
        <w:t>7.4 Memory Footprint per Profile</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pPr>
              <w:jc w:val="center"/>
            </w:pPr>
            <w:r/>
            <w:r>
              <w:rPr>
                <w:rFonts w:ascii="Times New Roman" w:hAnsi="Times New Roman"/>
                <w:b/>
                <w:sz w:val="18"/>
              </w:rPr>
              <w:t>State</w:t>
            </w:r>
          </w:p>
        </w:tc>
        <w:tc>
          <w:tcPr>
            <w:tcW w:type="dxa" w:w="3358"/>
          </w:tcPr>
          <w:p>
            <w:pPr>
              <w:jc w:val="center"/>
            </w:pPr>
            <w:r/>
            <w:r>
              <w:rPr>
                <w:rFonts w:ascii="Times New Roman" w:hAnsi="Times New Roman"/>
                <w:b/>
                <w:sz w:val="18"/>
              </w:rPr>
              <w:t>RSS Memory (MB)</w:t>
            </w:r>
          </w:p>
        </w:tc>
        <w:tc>
          <w:tcPr>
            <w:tcW w:type="dxa" w:w="3358"/>
          </w:tcPr>
          <w:p>
            <w:pPr>
              <w:jc w:val="center"/>
            </w:pPr>
            <w:r/>
            <w:r>
              <w:rPr>
                <w:rFonts w:ascii="Times New Roman" w:hAnsi="Times New Roman"/>
                <w:b/>
                <w:sz w:val="18"/>
              </w:rPr>
              <w:t>Delta (MB)</w:t>
            </w:r>
          </w:p>
        </w:tc>
      </w:tr>
      <w:tr>
        <w:tc>
          <w:tcPr>
            <w:tcW w:type="dxa" w:w="3358"/>
          </w:tcPr>
          <w:p>
            <w:pPr>
              <w:jc w:val="center"/>
            </w:pPr>
            <w:r/>
            <w:r>
              <w:rPr>
                <w:rFonts w:ascii="Times New Roman" w:hAnsi="Times New Roman"/>
                <w:sz w:val="18"/>
              </w:rPr>
              <w:t>Baseline</w:t>
            </w:r>
          </w:p>
        </w:tc>
        <w:tc>
          <w:tcPr>
            <w:tcW w:type="dxa" w:w="3358"/>
          </w:tcPr>
          <w:p>
            <w:pPr>
              <w:jc w:val="center"/>
            </w:pPr>
            <w:r/>
            <w:r>
              <w:rPr>
                <w:rFonts w:ascii="Times New Roman" w:hAnsi="Times New Roman"/>
                <w:sz w:val="18"/>
              </w:rPr>
              <w:t>56.95</w:t>
            </w:r>
          </w:p>
        </w:tc>
        <w:tc>
          <w:tcPr>
            <w:tcW w:type="dxa" w:w="3358"/>
          </w:tcPr>
          <w:p>
            <w:pPr>
              <w:jc w:val="center"/>
            </w:pPr>
            <w:r/>
            <w:r>
              <w:rPr>
                <w:rFonts w:ascii="Times New Roman" w:hAnsi="Times New Roman"/>
                <w:sz w:val="18"/>
              </w:rPr>
              <w:t>—</w:t>
            </w:r>
          </w:p>
        </w:tc>
      </w:tr>
      <w:tr>
        <w:tc>
          <w:tcPr>
            <w:tcW w:type="dxa" w:w="3358"/>
          </w:tcPr>
          <w:p>
            <w:pPr>
              <w:jc w:val="center"/>
            </w:pPr>
            <w:r/>
            <w:r>
              <w:rPr>
                <w:rFonts w:ascii="Times New Roman" w:hAnsi="Times New Roman"/>
                <w:sz w:val="18"/>
              </w:rPr>
              <w:t>After 1 Profile</w:t>
            </w:r>
          </w:p>
        </w:tc>
        <w:tc>
          <w:tcPr>
            <w:tcW w:type="dxa" w:w="3358"/>
          </w:tcPr>
          <w:p>
            <w:pPr>
              <w:jc w:val="center"/>
            </w:pPr>
            <w:r/>
            <w:r>
              <w:rPr>
                <w:rFonts w:ascii="Times New Roman" w:hAnsi="Times New Roman"/>
                <w:sz w:val="18"/>
              </w:rPr>
              <w:t>56.95</w:t>
            </w:r>
          </w:p>
        </w:tc>
        <w:tc>
          <w:tcPr>
            <w:tcW w:type="dxa" w:w="3358"/>
          </w:tcPr>
          <w:p>
            <w:pPr>
              <w:jc w:val="center"/>
            </w:pPr>
            <w:r/>
            <w:r>
              <w:rPr>
                <w:rFonts w:ascii="Times New Roman" w:hAnsi="Times New Roman"/>
                <w:sz w:val="18"/>
              </w:rPr>
              <w:t>+0.00</w:t>
            </w:r>
          </w:p>
        </w:tc>
      </w:tr>
      <w:tr>
        <w:tc>
          <w:tcPr>
            <w:tcW w:type="dxa" w:w="3358"/>
          </w:tcPr>
          <w:p>
            <w:pPr>
              <w:jc w:val="center"/>
            </w:pPr>
            <w:r/>
            <w:r>
              <w:rPr>
                <w:rFonts w:ascii="Times New Roman" w:hAnsi="Times New Roman"/>
                <w:sz w:val="18"/>
              </w:rPr>
              <w:t>After 2 Profiles</w:t>
            </w:r>
          </w:p>
        </w:tc>
        <w:tc>
          <w:tcPr>
            <w:tcW w:type="dxa" w:w="3358"/>
          </w:tcPr>
          <w:p>
            <w:pPr>
              <w:jc w:val="center"/>
            </w:pPr>
            <w:r/>
            <w:r>
              <w:rPr>
                <w:rFonts w:ascii="Times New Roman" w:hAnsi="Times New Roman"/>
                <w:sz w:val="18"/>
              </w:rPr>
              <w:t>56.96</w:t>
            </w:r>
          </w:p>
        </w:tc>
        <w:tc>
          <w:tcPr>
            <w:tcW w:type="dxa" w:w="3358"/>
          </w:tcPr>
          <w:p>
            <w:pPr>
              <w:jc w:val="center"/>
            </w:pPr>
            <w:r/>
            <w:r>
              <w:rPr>
                <w:rFonts w:ascii="Times New Roman" w:hAnsi="Times New Roman"/>
                <w:sz w:val="18"/>
              </w:rPr>
              <w:t>+0.01</w:t>
            </w:r>
          </w:p>
        </w:tc>
      </w:tr>
    </w:tbl>
    <w:p>
      <w:pPr>
        <w:spacing w:before="80" w:after="160"/>
        <w:jc w:val="center"/>
      </w:pPr>
      <w:r>
        <w:rPr>
          <w:rFonts w:ascii="Times New Roman" w:hAnsi="Times New Roman"/>
          <w:i/>
          <w:sz w:val="18"/>
        </w:rPr>
        <w:t>TABLE IX: Memory footprint per active profile.</w:t>
      </w:r>
    </w:p>
    <w:p/>
    <w:p>
      <w:pPr>
        <w:spacing w:after="120"/>
        <w:ind w:firstLine="425"/>
        <w:jc w:val="both"/>
      </w:pPr>
      <w:r>
        <w:rPr>
          <w:rFonts w:ascii="Times New Roman" w:hAnsi="Times New Roman"/>
          <w:sz w:val="20"/>
        </w:rPr>
        <w:t>Profile activation introduces negligible memory overhead (+0.01 MB for two profiles), confirming that OmniKernal’s profile system uses lightweight metadata-only structures rather than per-profile process forking. The headless enforcement mechanism correctly activates at 2 concurrent profiles.</w:t>
      </w:r>
    </w:p>
    <w:p>
      <w:pPr>
        <w:spacing w:before="160" w:after="80"/>
        <w:jc w:val="left"/>
      </w:pPr>
      <w:r>
        <w:rPr>
          <w:rFonts w:ascii="Times New Roman" w:hAnsi="Times New Roman"/>
          <w:b/>
          <w:i/>
          <w:sz w:val="20"/>
        </w:rPr>
        <w:t>7.5 Concurrent Message Throughput</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
              <w:rPr>
                <w:rFonts w:ascii="Times New Roman" w:hAnsi="Times New Roman"/>
                <w:b/>
                <w:sz w:val="18"/>
              </w:rPr>
              <w:t>Concurrent Msgs</w:t>
            </w:r>
          </w:p>
        </w:tc>
        <w:tc>
          <w:tcPr>
            <w:tcW w:type="dxa" w:w="2518"/>
          </w:tcPr>
          <w:p>
            <w:pPr>
              <w:jc w:val="center"/>
            </w:pPr>
            <w:r/>
            <w:r>
              <w:rPr>
                <w:rFonts w:ascii="Times New Roman" w:hAnsi="Times New Roman"/>
                <w:b/>
                <w:sz w:val="18"/>
              </w:rPr>
              <w:t>Total (ms)</w:t>
            </w:r>
          </w:p>
        </w:tc>
        <w:tc>
          <w:tcPr>
            <w:tcW w:type="dxa" w:w="2518"/>
          </w:tcPr>
          <w:p>
            <w:pPr>
              <w:jc w:val="center"/>
            </w:pPr>
            <w:r/>
            <w:r>
              <w:rPr>
                <w:rFonts w:ascii="Times New Roman" w:hAnsi="Times New Roman"/>
                <w:b/>
                <w:sz w:val="18"/>
              </w:rPr>
              <w:t>Per-Msg (ms)</w:t>
            </w:r>
          </w:p>
        </w:tc>
        <w:tc>
          <w:tcPr>
            <w:tcW w:type="dxa" w:w="2518"/>
          </w:tcPr>
          <w:p>
            <w:pPr>
              <w:jc w:val="center"/>
            </w:pPr>
            <w:r/>
            <w:r>
              <w:rPr>
                <w:rFonts w:ascii="Times New Roman" w:hAnsi="Times New Roman"/>
                <w:b/>
                <w:sz w:val="18"/>
              </w:rPr>
              <w:t>Throughput (msg/s)</w:t>
            </w:r>
          </w:p>
        </w:tc>
      </w:tr>
      <w:tr>
        <w:tc>
          <w:tcPr>
            <w:tcW w:type="dxa" w:w="2518"/>
          </w:tcPr>
          <w:p>
            <w:pPr>
              <w:jc w:val="center"/>
            </w:pPr>
            <w:r/>
            <w:r>
              <w:rPr>
                <w:rFonts w:ascii="Times New Roman" w:hAnsi="Times New Roman"/>
                <w:sz w:val="18"/>
              </w:rPr>
              <w:t>1</w:t>
            </w:r>
          </w:p>
        </w:tc>
        <w:tc>
          <w:tcPr>
            <w:tcW w:type="dxa" w:w="2518"/>
          </w:tcPr>
          <w:p>
            <w:pPr>
              <w:jc w:val="center"/>
            </w:pPr>
            <w:r/>
            <w:r>
              <w:rPr>
                <w:rFonts w:ascii="Times New Roman" w:hAnsi="Times New Roman"/>
                <w:sz w:val="18"/>
              </w:rPr>
              <w:t>16.933</w:t>
            </w:r>
          </w:p>
        </w:tc>
        <w:tc>
          <w:tcPr>
            <w:tcW w:type="dxa" w:w="2518"/>
          </w:tcPr>
          <w:p>
            <w:pPr>
              <w:jc w:val="center"/>
            </w:pPr>
            <w:r/>
            <w:r>
              <w:rPr>
                <w:rFonts w:ascii="Times New Roman" w:hAnsi="Times New Roman"/>
                <w:sz w:val="18"/>
              </w:rPr>
              <w:t>16.562</w:t>
            </w:r>
          </w:p>
        </w:tc>
        <w:tc>
          <w:tcPr>
            <w:tcW w:type="dxa" w:w="2518"/>
          </w:tcPr>
          <w:p>
            <w:pPr>
              <w:jc w:val="center"/>
            </w:pPr>
            <w:r/>
            <w:r>
              <w:rPr>
                <w:rFonts w:ascii="Times New Roman" w:hAnsi="Times New Roman"/>
                <w:sz w:val="18"/>
              </w:rPr>
              <w:t>59.1</w:t>
            </w:r>
          </w:p>
        </w:tc>
      </w:tr>
      <w:tr>
        <w:tc>
          <w:tcPr>
            <w:tcW w:type="dxa" w:w="2518"/>
          </w:tcPr>
          <w:p>
            <w:pPr>
              <w:jc w:val="center"/>
            </w:pPr>
            <w:r/>
            <w:r>
              <w:rPr>
                <w:rFonts w:ascii="Times New Roman" w:hAnsi="Times New Roman"/>
                <w:sz w:val="18"/>
              </w:rPr>
              <w:t>10</w:t>
            </w:r>
          </w:p>
        </w:tc>
        <w:tc>
          <w:tcPr>
            <w:tcW w:type="dxa" w:w="2518"/>
          </w:tcPr>
          <w:p>
            <w:pPr>
              <w:jc w:val="center"/>
            </w:pPr>
            <w:r/>
            <w:r>
              <w:rPr>
                <w:rFonts w:ascii="Times New Roman" w:hAnsi="Times New Roman"/>
                <w:sz w:val="18"/>
              </w:rPr>
              <w:t>222.050</w:t>
            </w:r>
          </w:p>
        </w:tc>
        <w:tc>
          <w:tcPr>
            <w:tcW w:type="dxa" w:w="2518"/>
          </w:tcPr>
          <w:p>
            <w:pPr>
              <w:jc w:val="center"/>
            </w:pPr>
            <w:r/>
            <w:r>
              <w:rPr>
                <w:rFonts w:ascii="Times New Roman" w:hAnsi="Times New Roman"/>
                <w:sz w:val="18"/>
              </w:rPr>
              <w:t>105.034</w:t>
            </w:r>
          </w:p>
        </w:tc>
        <w:tc>
          <w:tcPr>
            <w:tcW w:type="dxa" w:w="2518"/>
          </w:tcPr>
          <w:p>
            <w:pPr>
              <w:jc w:val="center"/>
            </w:pPr>
            <w:r/>
            <w:r>
              <w:rPr>
                <w:rFonts w:ascii="Times New Roman" w:hAnsi="Times New Roman"/>
                <w:sz w:val="18"/>
              </w:rPr>
              <w:t>45.0</w:t>
            </w:r>
          </w:p>
        </w:tc>
      </w:tr>
      <w:tr>
        <w:tc>
          <w:tcPr>
            <w:tcW w:type="dxa" w:w="2518"/>
          </w:tcPr>
          <w:p>
            <w:pPr>
              <w:jc w:val="center"/>
            </w:pPr>
            <w:r/>
            <w:r>
              <w:rPr>
                <w:rFonts w:ascii="Times New Roman" w:hAnsi="Times New Roman"/>
                <w:sz w:val="18"/>
              </w:rPr>
              <w:t>50</w:t>
            </w:r>
          </w:p>
        </w:tc>
        <w:tc>
          <w:tcPr>
            <w:tcW w:type="dxa" w:w="2518"/>
          </w:tcPr>
          <w:p>
            <w:pPr>
              <w:jc w:val="center"/>
            </w:pPr>
            <w:r/>
            <w:r>
              <w:rPr>
                <w:rFonts w:ascii="Times New Roman" w:hAnsi="Times New Roman"/>
                <w:sz w:val="18"/>
              </w:rPr>
              <w:t>881.321</w:t>
            </w:r>
          </w:p>
        </w:tc>
        <w:tc>
          <w:tcPr>
            <w:tcW w:type="dxa" w:w="2518"/>
          </w:tcPr>
          <w:p>
            <w:pPr>
              <w:jc w:val="center"/>
            </w:pPr>
            <w:r/>
            <w:r>
              <w:rPr>
                <w:rFonts w:ascii="Times New Roman" w:hAnsi="Times New Roman"/>
                <w:sz w:val="18"/>
              </w:rPr>
              <w:t>333.316</w:t>
            </w:r>
          </w:p>
        </w:tc>
        <w:tc>
          <w:tcPr>
            <w:tcW w:type="dxa" w:w="2518"/>
          </w:tcPr>
          <w:p>
            <w:pPr>
              <w:jc w:val="center"/>
            </w:pPr>
            <w:r/>
            <w:r>
              <w:rPr>
                <w:rFonts w:ascii="Times New Roman" w:hAnsi="Times New Roman"/>
                <w:sz w:val="18"/>
              </w:rPr>
              <w:t>56.7</w:t>
            </w:r>
          </w:p>
        </w:tc>
      </w:tr>
    </w:tbl>
    <w:p>
      <w:pPr>
        <w:spacing w:before="80" w:after="160"/>
        <w:jc w:val="center"/>
      </w:pPr>
      <w:r>
        <w:rPr>
          <w:rFonts w:ascii="Times New Roman" w:hAnsi="Times New Roman"/>
          <w:i/>
          <w:sz w:val="18"/>
        </w:rPr>
        <w:t>TABLE X: Concurrent message processing throughput.</w:t>
      </w:r>
    </w:p>
    <w:p/>
    <w:p>
      <w:pPr>
        <w:spacing w:after="120"/>
        <w:ind w:firstLine="425"/>
        <w:jc w:val="both"/>
      </w:pPr>
      <w:r>
        <w:rPr>
          <w:rFonts w:ascii="Times New Roman" w:hAnsi="Times New Roman"/>
          <w:sz w:val="20"/>
        </w:rPr>
        <w:t>Sequential throughput reaches 59.1 msg/s. Under 10 concurrent messages, per-message latency increases to 105ms due to SQLAlchemy session creation overhead and asyncio task scheduling contention. At 50 concurrent messages, throughput recovers to 56.7 msg/s, demonstrating effective scaling of the session-per-request pattern.</w:t>
      </w:r>
    </w:p>
    <w:p>
      <w:pPr>
        <w:spacing w:before="160" w:after="80"/>
        <w:jc w:val="left"/>
      </w:pPr>
      <w:r>
        <w:rPr>
          <w:rFonts w:ascii="Times New Roman" w:hAnsi="Times New Roman"/>
          <w:b/>
          <w:i/>
          <w:sz w:val="20"/>
        </w:rPr>
        <w:t>7.6 Fault Isolation</w:t>
      </w:r>
    </w:p>
    <w:tbl>
      <w:tblPr>
        <w:tblStyle w:val="TableGrid"/>
        <w:tblW w:type="auto" w:w="0"/>
        <w:jc w:val="center"/>
        <w:tblLook w:firstColumn="1" w:firstRow="1" w:lastColumn="0" w:lastRow="0" w:noHBand="0" w:noVBand="1" w:val="04A0"/>
      </w:tblPr>
      <w:tblGrid>
        <w:gridCol w:w="5037"/>
        <w:gridCol w:w="5037"/>
      </w:tblGrid>
      <w:tr>
        <w:tc>
          <w:tcPr>
            <w:tcW w:type="dxa" w:w="5037"/>
          </w:tcPr>
          <w:p>
            <w:pPr>
              <w:jc w:val="center"/>
            </w:pPr>
            <w:r/>
            <w:r>
              <w:rPr>
                <w:rFonts w:ascii="Times New Roman" w:hAnsi="Times New Roman"/>
                <w:b/>
                <w:sz w:val="18"/>
              </w:rPr>
              <w:t>Metric</w:t>
            </w:r>
          </w:p>
        </w:tc>
        <w:tc>
          <w:tcPr>
            <w:tcW w:type="dxa" w:w="5037"/>
          </w:tcPr>
          <w:p>
            <w:pPr>
              <w:jc w:val="center"/>
            </w:pPr>
            <w:r/>
            <w:r>
              <w:rPr>
                <w:rFonts w:ascii="Times New Roman" w:hAnsi="Times New Roman"/>
                <w:b/>
                <w:sz w:val="18"/>
              </w:rPr>
              <w:t>Result</w:t>
            </w:r>
          </w:p>
        </w:tc>
      </w:tr>
      <w:tr>
        <w:tc>
          <w:tcPr>
            <w:tcW w:type="dxa" w:w="5037"/>
          </w:tcPr>
          <w:p>
            <w:pPr>
              <w:jc w:val="center"/>
            </w:pPr>
            <w:r/>
            <w:r>
              <w:rPr>
                <w:rFonts w:ascii="Times New Roman" w:hAnsi="Times New Roman"/>
                <w:sz w:val="18"/>
              </w:rPr>
              <w:t>Engine crashed on bad command</w:t>
            </w:r>
          </w:p>
        </w:tc>
        <w:tc>
          <w:tcPr>
            <w:tcW w:type="dxa" w:w="5037"/>
          </w:tcPr>
          <w:p>
            <w:pPr>
              <w:jc w:val="center"/>
            </w:pPr>
            <w:r/>
            <w:r>
              <w:rPr>
                <w:rFonts w:ascii="Times New Roman" w:hAnsi="Times New Roman"/>
                <w:sz w:val="18"/>
              </w:rPr>
              <w:t>No</w:t>
            </w:r>
          </w:p>
        </w:tc>
      </w:tr>
      <w:tr>
        <w:tc>
          <w:tcPr>
            <w:tcW w:type="dxa" w:w="5037"/>
          </w:tcPr>
          <w:p>
            <w:pPr>
              <w:jc w:val="center"/>
            </w:pPr>
            <w:r/>
            <w:r>
              <w:rPr>
                <w:rFonts w:ascii="Times New Roman" w:hAnsi="Times New Roman"/>
                <w:sz w:val="18"/>
              </w:rPr>
              <w:t>Good messages processed after fault</w:t>
            </w:r>
          </w:p>
        </w:tc>
        <w:tc>
          <w:tcPr>
            <w:tcW w:type="dxa" w:w="5037"/>
          </w:tcPr>
          <w:p>
            <w:pPr>
              <w:jc w:val="center"/>
            </w:pPr>
            <w:r/>
            <w:r>
              <w:rPr>
                <w:rFonts w:ascii="Times New Roman" w:hAnsi="Times New Roman"/>
                <w:sz w:val="18"/>
              </w:rPr>
              <w:t>2/2</w:t>
            </w:r>
          </w:p>
        </w:tc>
      </w:tr>
      <w:tr>
        <w:tc>
          <w:tcPr>
            <w:tcW w:type="dxa" w:w="5037"/>
          </w:tcPr>
          <w:p>
            <w:pPr>
              <w:jc w:val="center"/>
            </w:pPr>
            <w:r/>
            <w:r>
              <w:rPr>
                <w:rFonts w:ascii="Times New Roman" w:hAnsi="Times New Roman"/>
                <w:sz w:val="18"/>
              </w:rPr>
              <w:t>Isolation status</w:t>
            </w:r>
          </w:p>
        </w:tc>
        <w:tc>
          <w:tcPr>
            <w:tcW w:type="dxa" w:w="5037"/>
          </w:tcPr>
          <w:p>
            <w:pPr>
              <w:jc w:val="center"/>
            </w:pPr>
            <w:r/>
            <w:r>
              <w:rPr>
                <w:rFonts w:ascii="Times New Roman" w:hAnsi="Times New Roman"/>
                <w:sz w:val="18"/>
              </w:rPr>
              <w:t>PASS</w:t>
            </w:r>
          </w:p>
        </w:tc>
      </w:tr>
    </w:tbl>
    <w:p>
      <w:pPr>
        <w:spacing w:before="80" w:after="160"/>
        <w:jc w:val="center"/>
      </w:pPr>
      <w:r>
        <w:rPr>
          <w:rFonts w:ascii="Times New Roman" w:hAnsi="Times New Roman"/>
          <w:i/>
          <w:sz w:val="18"/>
        </w:rPr>
        <w:t>TABLE XI: Fault isolation test results.</w:t>
      </w:r>
    </w:p>
    <w:p/>
    <w:p>
      <w:pPr>
        <w:spacing w:after="120"/>
        <w:ind w:firstLine="425"/>
        <w:jc w:val="both"/>
      </w:pPr>
      <w:r>
        <w:rPr>
          <w:rFonts w:ascii="Times New Roman" w:hAnsi="Times New Roman"/>
          <w:sz w:val="20"/>
        </w:rPr>
        <w:t>The fault isolation test confirms that an unknown command does not crash the core or prevent subsequent valid commands from processing. Unmatched routes return None rather than raising exceptions, and the engine logs the event without disrupting its running state.</w:t>
      </w:r>
    </w:p>
    <w:p>
      <w:pPr>
        <w:spacing w:before="160" w:after="80"/>
        <w:jc w:val="left"/>
      </w:pPr>
      <w:r>
        <w:rPr>
          <w:rFonts w:ascii="Times New Roman" w:hAnsi="Times New Roman"/>
          <w:b/>
          <w:i/>
          <w:sz w:val="20"/>
        </w:rPr>
        <w:t>7.7 Transport Layer Comparative Analysis</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
              <w:rPr>
                <w:rFonts w:ascii="Times New Roman" w:hAnsi="Times New Roman"/>
                <w:b/>
                <w:sz w:val="18"/>
              </w:rPr>
              <w:t>Parameter</w:t>
            </w:r>
          </w:p>
        </w:tc>
        <w:tc>
          <w:tcPr>
            <w:tcW w:type="dxa" w:w="2518"/>
          </w:tcPr>
          <w:p>
            <w:pPr>
              <w:jc w:val="center"/>
            </w:pPr>
            <w:r/>
            <w:r>
              <w:rPr>
                <w:rFonts w:ascii="Times New Roman" w:hAnsi="Times New Roman"/>
                <w:b/>
                <w:sz w:val="18"/>
              </w:rPr>
              <w:t>Playwright (UI)</w:t>
            </w:r>
          </w:p>
        </w:tc>
        <w:tc>
          <w:tcPr>
            <w:tcW w:type="dxa" w:w="2518"/>
          </w:tcPr>
          <w:p>
            <w:pPr>
              <w:jc w:val="center"/>
            </w:pPr>
            <w:r/>
            <w:r>
              <w:rPr>
                <w:rFonts w:ascii="Times New Roman" w:hAnsi="Times New Roman"/>
                <w:b/>
                <w:sz w:val="18"/>
              </w:rPr>
              <w:t>WAHA (REST)</w:t>
            </w:r>
          </w:p>
        </w:tc>
        <w:tc>
          <w:tcPr>
            <w:tcW w:type="dxa" w:w="2518"/>
          </w:tcPr>
          <w:p>
            <w:pPr>
              <w:jc w:val="center"/>
            </w:pPr>
            <w:r/>
            <w:r>
              <w:rPr>
                <w:rFonts w:ascii="Times New Roman" w:hAnsi="Times New Roman"/>
                <w:b/>
                <w:sz w:val="18"/>
              </w:rPr>
              <w:t>Baileys (Socket)</w:t>
            </w:r>
          </w:p>
        </w:tc>
      </w:tr>
      <w:tr>
        <w:tc>
          <w:tcPr>
            <w:tcW w:type="dxa" w:w="2518"/>
          </w:tcPr>
          <w:p>
            <w:pPr>
              <w:jc w:val="center"/>
            </w:pPr>
            <w:r/>
            <w:r>
              <w:rPr>
                <w:rFonts w:ascii="Times New Roman" w:hAnsi="Times New Roman"/>
                <w:sz w:val="18"/>
              </w:rPr>
              <w:t>Mechanism</w:t>
            </w:r>
          </w:p>
        </w:tc>
        <w:tc>
          <w:tcPr>
            <w:tcW w:type="dxa" w:w="2518"/>
          </w:tcPr>
          <w:p>
            <w:pPr>
              <w:jc w:val="center"/>
            </w:pPr>
            <w:r/>
            <w:r>
              <w:rPr>
                <w:rFonts w:ascii="Times New Roman" w:hAnsi="Times New Roman"/>
                <w:sz w:val="18"/>
              </w:rPr>
              <w:t>DOM Manipulation</w:t>
            </w:r>
          </w:p>
        </w:tc>
        <w:tc>
          <w:tcPr>
            <w:tcW w:type="dxa" w:w="2518"/>
          </w:tcPr>
          <w:p>
            <w:pPr>
              <w:jc w:val="center"/>
            </w:pPr>
            <w:r/>
            <w:r>
              <w:rPr>
                <w:rFonts w:ascii="Times New Roman" w:hAnsi="Times New Roman"/>
                <w:sz w:val="18"/>
              </w:rPr>
              <w:t>HTTP REST/Proxy</w:t>
            </w:r>
          </w:p>
        </w:tc>
        <w:tc>
          <w:tcPr>
            <w:tcW w:type="dxa" w:w="2518"/>
          </w:tcPr>
          <w:p>
            <w:pPr>
              <w:jc w:val="center"/>
            </w:pPr>
            <w:r/>
            <w:r>
              <w:rPr>
                <w:rFonts w:ascii="Times New Roman" w:hAnsi="Times New Roman"/>
                <w:sz w:val="18"/>
              </w:rPr>
              <w:t>WebSocket/Protobuf</w:t>
            </w:r>
          </w:p>
        </w:tc>
      </w:tr>
      <w:tr>
        <w:tc>
          <w:tcPr>
            <w:tcW w:type="dxa" w:w="2518"/>
          </w:tcPr>
          <w:p>
            <w:pPr>
              <w:jc w:val="center"/>
            </w:pPr>
            <w:r/>
            <w:r>
              <w:rPr>
                <w:rFonts w:ascii="Times New Roman" w:hAnsi="Times New Roman"/>
                <w:sz w:val="18"/>
              </w:rPr>
              <w:t>Boot Time</w:t>
            </w:r>
          </w:p>
        </w:tc>
        <w:tc>
          <w:tcPr>
            <w:tcW w:type="dxa" w:w="2518"/>
          </w:tcPr>
          <w:p>
            <w:pPr>
              <w:jc w:val="center"/>
            </w:pPr>
            <w:r/>
            <w:r>
              <w:rPr>
                <w:rFonts w:ascii="Times New Roman" w:hAnsi="Times New Roman"/>
                <w:sz w:val="18"/>
              </w:rPr>
              <w:t>~4.3s</w:t>
            </w:r>
          </w:p>
        </w:tc>
        <w:tc>
          <w:tcPr>
            <w:tcW w:type="dxa" w:w="2518"/>
          </w:tcPr>
          <w:p>
            <w:pPr>
              <w:jc w:val="center"/>
            </w:pPr>
            <w:r/>
            <w:r>
              <w:rPr>
                <w:rFonts w:ascii="Times New Roman" w:hAnsi="Times New Roman"/>
                <w:sz w:val="18"/>
              </w:rPr>
              <w:t>~4.1s</w:t>
            </w:r>
          </w:p>
        </w:tc>
        <w:tc>
          <w:tcPr>
            <w:tcW w:type="dxa" w:w="2518"/>
          </w:tcPr>
          <w:p>
            <w:pPr>
              <w:jc w:val="center"/>
            </w:pPr>
            <w:r/>
            <w:r>
              <w:rPr>
                <w:rFonts w:ascii="Times New Roman" w:hAnsi="Times New Roman"/>
                <w:sz w:val="18"/>
              </w:rPr>
              <w:t>~3.0s</w:t>
            </w:r>
          </w:p>
        </w:tc>
      </w:tr>
      <w:tr>
        <w:tc>
          <w:tcPr>
            <w:tcW w:type="dxa" w:w="2518"/>
          </w:tcPr>
          <w:p>
            <w:pPr>
              <w:jc w:val="center"/>
            </w:pPr>
            <w:r/>
            <w:r>
              <w:rPr>
                <w:rFonts w:ascii="Times New Roman" w:hAnsi="Times New Roman"/>
                <w:sz w:val="18"/>
              </w:rPr>
              <w:t>RAM Usage</w:t>
            </w:r>
          </w:p>
        </w:tc>
        <w:tc>
          <w:tcPr>
            <w:tcW w:type="dxa" w:w="2518"/>
          </w:tcPr>
          <w:p>
            <w:pPr>
              <w:jc w:val="center"/>
            </w:pPr>
            <w:r/>
            <w:r>
              <w:rPr>
                <w:rFonts w:ascii="Times New Roman" w:hAnsi="Times New Roman"/>
                <w:sz w:val="18"/>
              </w:rPr>
              <w:t>~532 MB</w:t>
            </w:r>
          </w:p>
        </w:tc>
        <w:tc>
          <w:tcPr>
            <w:tcW w:type="dxa" w:w="2518"/>
          </w:tcPr>
          <w:p>
            <w:pPr>
              <w:jc w:val="center"/>
            </w:pPr>
            <w:r/>
            <w:r>
              <w:rPr>
                <w:rFonts w:ascii="Times New Roman" w:hAnsi="Times New Roman"/>
                <w:sz w:val="18"/>
              </w:rPr>
              <w:t>~817 MB</w:t>
            </w:r>
          </w:p>
        </w:tc>
        <w:tc>
          <w:tcPr>
            <w:tcW w:type="dxa" w:w="2518"/>
          </w:tcPr>
          <w:p>
            <w:pPr>
              <w:jc w:val="center"/>
            </w:pPr>
            <w:r/>
            <w:r>
              <w:rPr>
                <w:rFonts w:ascii="Times New Roman" w:hAnsi="Times New Roman"/>
                <w:sz w:val="18"/>
              </w:rPr>
              <w:t>~169 MB</w:t>
            </w:r>
          </w:p>
        </w:tc>
      </w:tr>
      <w:tr>
        <w:tc>
          <w:tcPr>
            <w:tcW w:type="dxa" w:w="2518"/>
          </w:tcPr>
          <w:p>
            <w:pPr>
              <w:jc w:val="center"/>
            </w:pPr>
            <w:r/>
            <w:r>
              <w:rPr>
                <w:rFonts w:ascii="Times New Roman" w:hAnsi="Times New Roman"/>
                <w:sz w:val="18"/>
              </w:rPr>
              <w:t>Mean Latency</w:t>
            </w:r>
          </w:p>
        </w:tc>
        <w:tc>
          <w:tcPr>
            <w:tcW w:type="dxa" w:w="2518"/>
          </w:tcPr>
          <w:p>
            <w:pPr>
              <w:jc w:val="center"/>
            </w:pPr>
            <w:r/>
            <w:r>
              <w:rPr>
                <w:rFonts w:ascii="Times New Roman" w:hAnsi="Times New Roman"/>
                <w:sz w:val="18"/>
              </w:rPr>
              <w:t>~40,361 ms</w:t>
            </w:r>
          </w:p>
        </w:tc>
        <w:tc>
          <w:tcPr>
            <w:tcW w:type="dxa" w:w="2518"/>
          </w:tcPr>
          <w:p>
            <w:pPr>
              <w:jc w:val="center"/>
            </w:pPr>
            <w:r/>
            <w:r>
              <w:rPr>
                <w:rFonts w:ascii="Times New Roman" w:hAnsi="Times New Roman"/>
                <w:sz w:val="18"/>
              </w:rPr>
              <w:t>~10.4 ms</w:t>
            </w:r>
          </w:p>
        </w:tc>
        <w:tc>
          <w:tcPr>
            <w:tcW w:type="dxa" w:w="2518"/>
          </w:tcPr>
          <w:p>
            <w:pPr>
              <w:jc w:val="center"/>
            </w:pPr>
            <w:r/>
            <w:r>
              <w:rPr>
                <w:rFonts w:ascii="Times New Roman" w:hAnsi="Times New Roman"/>
                <w:sz w:val="18"/>
              </w:rPr>
              <w:t>~11.8 ms</w:t>
            </w:r>
          </w:p>
        </w:tc>
      </w:tr>
      <w:tr>
        <w:tc>
          <w:tcPr>
            <w:tcW w:type="dxa" w:w="2518"/>
          </w:tcPr>
          <w:p>
            <w:pPr>
              <w:jc w:val="center"/>
            </w:pPr>
            <w:r/>
            <w:r>
              <w:rPr>
                <w:rFonts w:ascii="Times New Roman" w:hAnsi="Times New Roman"/>
                <w:sz w:val="18"/>
              </w:rPr>
              <w:t>Jitter (σ)</w:t>
            </w:r>
          </w:p>
        </w:tc>
        <w:tc>
          <w:tcPr>
            <w:tcW w:type="dxa" w:w="2518"/>
          </w:tcPr>
          <w:p>
            <w:pPr>
              <w:jc w:val="center"/>
            </w:pPr>
            <w:r/>
            <w:r>
              <w:rPr>
                <w:rFonts w:ascii="Times New Roman" w:hAnsi="Times New Roman"/>
                <w:sz w:val="18"/>
              </w:rPr>
              <w:t>~39.3 ms</w:t>
            </w:r>
          </w:p>
        </w:tc>
        <w:tc>
          <w:tcPr>
            <w:tcW w:type="dxa" w:w="2518"/>
          </w:tcPr>
          <w:p>
            <w:pPr>
              <w:jc w:val="center"/>
            </w:pPr>
            <w:r/>
            <w:r>
              <w:rPr>
                <w:rFonts w:ascii="Times New Roman" w:hAnsi="Times New Roman"/>
                <w:sz w:val="18"/>
              </w:rPr>
              <w:t>~4.5 ms</w:t>
            </w:r>
          </w:p>
        </w:tc>
        <w:tc>
          <w:tcPr>
            <w:tcW w:type="dxa" w:w="2518"/>
          </w:tcPr>
          <w:p>
            <w:pPr>
              <w:jc w:val="center"/>
            </w:pPr>
            <w:r/>
            <w:r>
              <w:rPr>
                <w:rFonts w:ascii="Times New Roman" w:hAnsi="Times New Roman"/>
                <w:sz w:val="18"/>
              </w:rPr>
              <w:t>~11.4 ms</w:t>
            </w:r>
          </w:p>
        </w:tc>
      </w:tr>
      <w:tr>
        <w:tc>
          <w:tcPr>
            <w:tcW w:type="dxa" w:w="2518"/>
          </w:tcPr>
          <w:p>
            <w:pPr>
              <w:jc w:val="center"/>
            </w:pPr>
            <w:r/>
            <w:r>
              <w:rPr>
                <w:rFonts w:ascii="Times New Roman" w:hAnsi="Times New Roman"/>
                <w:sz w:val="18"/>
              </w:rPr>
              <w:t>Deploy Size</w:t>
            </w:r>
          </w:p>
        </w:tc>
        <w:tc>
          <w:tcPr>
            <w:tcW w:type="dxa" w:w="2518"/>
          </w:tcPr>
          <w:p>
            <w:pPr>
              <w:jc w:val="center"/>
            </w:pPr>
            <w:r/>
            <w:r>
              <w:rPr>
                <w:rFonts w:ascii="Times New Roman" w:hAnsi="Times New Roman"/>
                <w:sz w:val="18"/>
              </w:rPr>
              <w:t>~250 MB</w:t>
            </w:r>
          </w:p>
        </w:tc>
        <w:tc>
          <w:tcPr>
            <w:tcW w:type="dxa" w:w="2518"/>
          </w:tcPr>
          <w:p>
            <w:pPr>
              <w:jc w:val="center"/>
            </w:pPr>
            <w:r/>
            <w:r>
              <w:rPr>
                <w:rFonts w:ascii="Times New Roman" w:hAnsi="Times New Roman"/>
                <w:sz w:val="18"/>
              </w:rPr>
              <w:t>~850 MB</w:t>
            </w:r>
          </w:p>
        </w:tc>
        <w:tc>
          <w:tcPr>
            <w:tcW w:type="dxa" w:w="2518"/>
          </w:tcPr>
          <w:p>
            <w:pPr>
              <w:jc w:val="center"/>
            </w:pPr>
            <w:r/>
            <w:r>
              <w:rPr>
                <w:rFonts w:ascii="Times New Roman" w:hAnsi="Times New Roman"/>
                <w:sz w:val="18"/>
              </w:rPr>
              <w:t>~20 MB</w:t>
            </w:r>
          </w:p>
        </w:tc>
      </w:tr>
      <w:tr>
        <w:tc>
          <w:tcPr>
            <w:tcW w:type="dxa" w:w="2518"/>
          </w:tcPr>
          <w:p>
            <w:pPr>
              <w:jc w:val="center"/>
            </w:pPr>
            <w:r/>
            <w:r>
              <w:rPr>
                <w:rFonts w:ascii="Times New Roman" w:hAnsi="Times New Roman"/>
                <w:sz w:val="18"/>
              </w:rPr>
              <w:t>LoC</w:t>
            </w:r>
          </w:p>
        </w:tc>
        <w:tc>
          <w:tcPr>
            <w:tcW w:type="dxa" w:w="2518"/>
          </w:tcPr>
          <w:p>
            <w:pPr>
              <w:jc w:val="center"/>
            </w:pPr>
            <w:r/>
            <w:r>
              <w:rPr>
                <w:rFonts w:ascii="Times New Roman" w:hAnsi="Times New Roman"/>
                <w:sz w:val="18"/>
              </w:rPr>
              <w:t>248</w:t>
            </w:r>
          </w:p>
        </w:tc>
        <w:tc>
          <w:tcPr>
            <w:tcW w:type="dxa" w:w="2518"/>
          </w:tcPr>
          <w:p>
            <w:pPr>
              <w:jc w:val="center"/>
            </w:pPr>
            <w:r/>
            <w:r>
              <w:rPr>
                <w:rFonts w:ascii="Times New Roman" w:hAnsi="Times New Roman"/>
                <w:sz w:val="18"/>
              </w:rPr>
              <w:t>400</w:t>
            </w:r>
          </w:p>
        </w:tc>
        <w:tc>
          <w:tcPr>
            <w:tcW w:type="dxa" w:w="2518"/>
          </w:tcPr>
          <w:p>
            <w:pPr>
              <w:jc w:val="center"/>
            </w:pPr>
            <w:r/>
            <w:r>
              <w:rPr>
                <w:rFonts w:ascii="Times New Roman" w:hAnsi="Times New Roman"/>
                <w:sz w:val="18"/>
              </w:rPr>
              <w:t>291</w:t>
            </w:r>
          </w:p>
        </w:tc>
      </w:tr>
      <w:tr>
        <w:tc>
          <w:tcPr>
            <w:tcW w:type="dxa" w:w="2518"/>
          </w:tcPr>
          <w:p>
            <w:pPr>
              <w:jc w:val="center"/>
            </w:pPr>
            <w:r/>
            <w:r>
              <w:rPr>
                <w:rFonts w:ascii="Times New Roman" w:hAnsi="Times New Roman"/>
                <w:sz w:val="18"/>
              </w:rPr>
              <w:t>Protocol Eff.</w:t>
            </w:r>
          </w:p>
        </w:tc>
        <w:tc>
          <w:tcPr>
            <w:tcW w:type="dxa" w:w="2518"/>
          </w:tcPr>
          <w:p>
            <w:pPr>
              <w:jc w:val="center"/>
            </w:pPr>
            <w:r/>
            <w:r>
              <w:rPr>
                <w:rFonts w:ascii="Times New Roman" w:hAnsi="Times New Roman"/>
                <w:sz w:val="18"/>
              </w:rPr>
              <w:t>Low (HTML)</w:t>
            </w:r>
          </w:p>
        </w:tc>
        <w:tc>
          <w:tcPr>
            <w:tcW w:type="dxa" w:w="2518"/>
          </w:tcPr>
          <w:p>
            <w:pPr>
              <w:jc w:val="center"/>
            </w:pPr>
            <w:r/>
            <w:r>
              <w:rPr>
                <w:rFonts w:ascii="Times New Roman" w:hAnsi="Times New Roman"/>
                <w:sz w:val="18"/>
              </w:rPr>
              <w:t>Medium (JSON)</w:t>
            </w:r>
          </w:p>
        </w:tc>
        <w:tc>
          <w:tcPr>
            <w:tcW w:type="dxa" w:w="2518"/>
          </w:tcPr>
          <w:p>
            <w:pPr>
              <w:jc w:val="center"/>
            </w:pPr>
            <w:r/>
            <w:r>
              <w:rPr>
                <w:rFonts w:ascii="Times New Roman" w:hAnsi="Times New Roman"/>
                <w:sz w:val="18"/>
              </w:rPr>
              <w:t>High (Protobuf)</w:t>
            </w:r>
          </w:p>
        </w:tc>
      </w:tr>
      <w:tr>
        <w:tc>
          <w:tcPr>
            <w:tcW w:type="dxa" w:w="2518"/>
          </w:tcPr>
          <w:p>
            <w:pPr>
              <w:jc w:val="center"/>
            </w:pPr>
            <w:r/>
            <w:r>
              <w:rPr>
                <w:rFonts w:ascii="Times New Roman" w:hAnsi="Times New Roman"/>
                <w:sz w:val="18"/>
              </w:rPr>
              <w:t>Reliability</w:t>
            </w:r>
          </w:p>
        </w:tc>
        <w:tc>
          <w:tcPr>
            <w:tcW w:type="dxa" w:w="2518"/>
          </w:tcPr>
          <w:p>
            <w:pPr>
              <w:jc w:val="center"/>
            </w:pPr>
            <w:r/>
            <w:r>
              <w:rPr>
                <w:rFonts w:ascii="Times New Roman" w:hAnsi="Times New Roman"/>
                <w:sz w:val="18"/>
              </w:rPr>
              <w:t>Low</w:t>
            </w:r>
          </w:p>
        </w:tc>
        <w:tc>
          <w:tcPr>
            <w:tcW w:type="dxa" w:w="2518"/>
          </w:tcPr>
          <w:p>
            <w:pPr>
              <w:jc w:val="center"/>
            </w:pPr>
            <w:r/>
            <w:r>
              <w:rPr>
                <w:rFonts w:ascii="Times New Roman" w:hAnsi="Times New Roman"/>
                <w:sz w:val="18"/>
              </w:rPr>
              <w:t>High</w:t>
            </w:r>
          </w:p>
        </w:tc>
        <w:tc>
          <w:tcPr>
            <w:tcW w:type="dxa" w:w="2518"/>
          </w:tcPr>
          <w:p>
            <w:pPr>
              <w:jc w:val="center"/>
            </w:pPr>
            <w:r/>
            <w:r>
              <w:rPr>
                <w:rFonts w:ascii="Times New Roman" w:hAnsi="Times New Roman"/>
                <w:sz w:val="18"/>
              </w:rPr>
              <w:t>Medium</w:t>
            </w:r>
          </w:p>
        </w:tc>
      </w:tr>
      <w:tr>
        <w:tc>
          <w:tcPr>
            <w:tcW w:type="dxa" w:w="2518"/>
          </w:tcPr>
          <w:p>
            <w:pPr>
              <w:jc w:val="center"/>
            </w:pPr>
            <w:r/>
            <w:r>
              <w:rPr>
                <w:rFonts w:ascii="Times New Roman" w:hAnsi="Times New Roman"/>
                <w:sz w:val="18"/>
              </w:rPr>
              <w:t>Detect. Risk</w:t>
            </w:r>
          </w:p>
        </w:tc>
        <w:tc>
          <w:tcPr>
            <w:tcW w:type="dxa" w:w="2518"/>
          </w:tcPr>
          <w:p>
            <w:pPr>
              <w:jc w:val="center"/>
            </w:pPr>
            <w:r/>
            <w:r>
              <w:rPr>
                <w:rFonts w:ascii="Times New Roman" w:hAnsi="Times New Roman"/>
                <w:sz w:val="18"/>
              </w:rPr>
              <w:t>Low</w:t>
            </w:r>
          </w:p>
        </w:tc>
        <w:tc>
          <w:tcPr>
            <w:tcW w:type="dxa" w:w="2518"/>
          </w:tcPr>
          <w:p>
            <w:pPr>
              <w:jc w:val="center"/>
            </w:pPr>
            <w:r/>
            <w:r>
              <w:rPr>
                <w:rFonts w:ascii="Times New Roman" w:hAnsi="Times New Roman"/>
                <w:sz w:val="18"/>
              </w:rPr>
              <w:t>Medium</w:t>
            </w:r>
          </w:p>
        </w:tc>
        <w:tc>
          <w:tcPr>
            <w:tcW w:type="dxa" w:w="2518"/>
          </w:tcPr>
          <w:p>
            <w:pPr>
              <w:jc w:val="center"/>
            </w:pPr>
            <w:r/>
            <w:r>
              <w:rPr>
                <w:rFonts w:ascii="Times New Roman" w:hAnsi="Times New Roman"/>
                <w:sz w:val="18"/>
              </w:rPr>
              <w:t>High</w:t>
            </w:r>
          </w:p>
        </w:tc>
      </w:tr>
    </w:tbl>
    <w:p>
      <w:pPr>
        <w:spacing w:before="80" w:after="160"/>
        <w:jc w:val="center"/>
      </w:pPr>
      <w:r>
        <w:rPr>
          <w:rFonts w:ascii="Times New Roman" w:hAnsi="Times New Roman"/>
          <w:i/>
          <w:sz w:val="18"/>
        </w:rPr>
        <w:t>TABLE XII: Comparative transport layer analysis.</w:t>
      </w:r>
    </w:p>
    <w:p/>
    <w:p>
      <w:pPr>
        <w:spacing w:after="120"/>
        <w:ind w:firstLine="425"/>
        <w:jc w:val="both"/>
      </w:pPr>
      <w:r>
        <w:rPr>
          <w:rFonts w:ascii="Times New Roman" w:hAnsi="Times New Roman"/>
          <w:sz w:val="20"/>
        </w:rPr>
        <w:t>Key findings include three identified trade-offs: (1) The Latency-Resource Trade-off: Baileys achieves the lowest resource footprint (169 MB RAM, 20 MB disk) and near-minimal latency (11.8 ms), but its stateful WebSocket connection introduces reliability challenges. (2) The Fidelity-Detectability Trade-off: Playwright provides the lowest ban risk through human-like interaction patterns, but at extreme latency cost (40,361 ms) and high resource consumption. (3) The Stability-Overhead Trade-off: WAHA offers the lowest jitter (4.5 ms) and highest reliability, but Docker containerization introduces significant deployment overhead.</w:t>
      </w:r>
    </w:p>
    <w:p>
      <w:pPr>
        <w:spacing w:before="240" w:after="80"/>
        <w:jc w:val="left"/>
      </w:pPr>
      <w:r>
        <w:rPr>
          <w:rFonts w:ascii="Times New Roman" w:hAnsi="Times New Roman"/>
          <w:b/>
          <w:sz w:val="24"/>
        </w:rPr>
        <w:t>8. Discussion</w:t>
      </w:r>
    </w:p>
    <w:p>
      <w:pPr>
        <w:spacing w:before="160" w:after="80"/>
        <w:jc w:val="left"/>
      </w:pPr>
      <w:r>
        <w:rPr>
          <w:rFonts w:ascii="Times New Roman" w:hAnsi="Times New Roman"/>
          <w:b/>
          <w:i/>
          <w:sz w:val="20"/>
        </w:rPr>
        <w:t>8.1 Architectural Validation</w:t>
      </w:r>
    </w:p>
    <w:p>
      <w:pPr>
        <w:spacing w:after="120"/>
        <w:ind w:firstLine="425"/>
        <w:jc w:val="both"/>
      </w:pPr>
      <w:r>
        <w:rPr>
          <w:rFonts w:ascii="Times New Roman" w:hAnsi="Times New Roman"/>
          <w:sz w:val="20"/>
        </w:rPr>
        <w:t>The experimental results validate the microkernel hypothesis: by confining all platform-specific logic to adapter packs and maintaining a platform-agnostic core, OmniKernal achieves consistent sub-12ms processing latency regardless of which transport layer is active. The core engine’s processing time at 10.6ms mean is well within interactive response requirements.</w:t>
      </w:r>
    </w:p>
    <w:p>
      <w:pPr>
        <w:spacing w:before="160" w:after="80"/>
        <w:jc w:val="left"/>
      </w:pPr>
      <w:r>
        <w:rPr>
          <w:rFonts w:ascii="Times New Roman" w:hAnsi="Times New Roman"/>
          <w:b/>
          <w:i/>
          <w:sz w:val="20"/>
        </w:rPr>
        <w:t>8.2 Security Model Effectiveness</w:t>
      </w:r>
    </w:p>
    <w:p>
      <w:pPr>
        <w:spacing w:after="120"/>
        <w:ind w:firstLine="425"/>
        <w:jc w:val="both"/>
      </w:pPr>
      <w:r>
        <w:rPr>
          <w:rFonts w:ascii="Times New Roman" w:hAnsi="Times New Roman"/>
          <w:sz w:val="20"/>
        </w:rPr>
        <w:t>The defense-in-depth security architecture addresses four threat vectors: Input channel (CommandSanitizer prevents shell injection and RCE); Storage channel (Fernet encryption protects credentials at rest); Execution channel (capability-based CommandContext prevents privilege escalation); and Availability channel (ApiWatchdog automatic quarantine prevents cascading failures).</w:t>
      </w:r>
    </w:p>
    <w:p>
      <w:pPr>
        <w:spacing w:before="160" w:after="80"/>
        <w:jc w:val="left"/>
      </w:pPr>
      <w:r>
        <w:rPr>
          <w:rFonts w:ascii="Times New Roman" w:hAnsi="Times New Roman"/>
          <w:b/>
          <w:i/>
          <w:sz w:val="20"/>
        </w:rPr>
        <w:t>8.3 Practical Transport Selection Guidelines</w:t>
      </w:r>
    </w:p>
    <w:p>
      <w:pPr>
        <w:spacing w:after="120"/>
        <w:ind w:firstLine="425"/>
        <w:jc w:val="both"/>
      </w:pPr>
      <w:r>
        <w:rPr>
          <w:rFonts w:ascii="Times New Roman" w:hAnsi="Times New Roman"/>
          <w:sz w:val="20"/>
        </w:rPr>
        <w:t>Based on our empirical evaluation, we propose the following transport selection heuristics: For latency-critical applications (real-time LLM streaming, interactive agents), Baileys or WAHA is recommended. For stealth-critical applications (long-running agents on platforms with anti-automation detection), Playwright is recommended despite latency and resource trade-offs. For reliability-critical applications (production deployments with SLA requirements), WAHA is recommended for its predictable, low-jitter performance.</w:t>
      </w:r>
    </w:p>
    <w:p>
      <w:pPr>
        <w:spacing w:before="160" w:after="80"/>
        <w:jc w:val="left"/>
      </w:pPr>
      <w:r>
        <w:rPr>
          <w:rFonts w:ascii="Times New Roman" w:hAnsi="Times New Roman"/>
          <w:b/>
          <w:i/>
          <w:sz w:val="20"/>
        </w:rPr>
        <w:t>8.4 Strengths</w:t>
      </w:r>
    </w:p>
    <w:p>
      <w:pPr>
        <w:spacing w:after="120"/>
        <w:ind w:firstLine="425"/>
        <w:jc w:val="both"/>
      </w:pPr>
      <w:r>
        <w:rPr>
          <w:rFonts w:ascii="Times New Roman" w:hAnsi="Times New Roman"/>
          <w:sz w:val="20"/>
        </w:rPr>
        <w:t>Key strengths include: (1) true platform agnosticism validated by identical echo plugin execution across all adapters; (2) measurable performance transparency replacing anecdotal guidance with empirical evidence; (3) production-ready multi-layered security; and (4) minimal, bounded overhead (8.7ms plugin load, 1.6ms DB lookup) that does not grow with system complexity.</w:t>
      </w:r>
    </w:p>
    <w:p>
      <w:pPr>
        <w:spacing w:before="160" w:after="80"/>
        <w:jc w:val="left"/>
      </w:pPr>
      <w:r>
        <w:rPr>
          <w:rFonts w:ascii="Times New Roman" w:hAnsi="Times New Roman"/>
          <w:b/>
          <w:i/>
          <w:sz w:val="20"/>
        </w:rPr>
        <w:t>8.5 Trade-offs</w:t>
      </w:r>
    </w:p>
    <w:p>
      <w:pPr>
        <w:spacing w:after="120"/>
        <w:ind w:firstLine="425"/>
        <w:jc w:val="both"/>
      </w:pPr>
      <w:r>
        <w:rPr>
          <w:rFonts w:ascii="Times New Roman" w:hAnsi="Times New Roman"/>
          <w:sz w:val="20"/>
        </w:rPr>
        <w:t>Notable trade-offs include: (1) database-backed routing introduces 9999.8× overhead vs. in-memory lookup, which may require a Redis caching layer for &gt;1000 msg/s deployments; (2) single-node architecture optimization, with multi-node coordination deferred to future work; and (3) polling model inherent latency proportional to poll_interval, which a webhook/push model would reduce to near-zero.</w:t>
      </w:r>
    </w:p>
    <w:p>
      <w:pPr>
        <w:spacing w:before="240" w:after="80"/>
        <w:jc w:val="left"/>
      </w:pPr>
      <w:r>
        <w:rPr>
          <w:rFonts w:ascii="Times New Roman" w:hAnsi="Times New Roman"/>
          <w:b/>
          <w:sz w:val="24"/>
        </w:rPr>
        <w:t>9. Limitations</w:t>
      </w:r>
    </w:p>
    <w:p>
      <w:pPr>
        <w:spacing w:after="120"/>
        <w:ind w:firstLine="425"/>
        <w:jc w:val="both"/>
      </w:pPr>
      <w:r>
        <w:rPr>
          <w:rFonts w:ascii="Times New Roman" w:hAnsi="Times New Roman"/>
          <w:sz w:val="20"/>
        </w:rPr>
        <w:t>1) Single-Transport Instance: The current architecture supports one active adapter per engine instance. Simultaneous multi-transport orchestration is deferred to future work.</w:t>
      </w:r>
    </w:p>
    <w:p>
      <w:pPr>
        <w:spacing w:after="120"/>
        <w:ind w:firstLine="425"/>
        <w:jc w:val="both"/>
      </w:pPr>
      <w:r>
        <w:rPr>
          <w:rFonts w:ascii="Times New Roman" w:hAnsi="Times New Roman"/>
          <w:sz w:val="20"/>
        </w:rPr>
        <w:t>2) Benchmark Scope: Benchmarks used the console_mock adapter to isolate core engine performance. Real-world transport latency is reported separately from adapter-specific profiling.</w:t>
      </w:r>
    </w:p>
    <w:p>
      <w:pPr>
        <w:spacing w:after="120"/>
        <w:ind w:firstLine="425"/>
        <w:jc w:val="both"/>
      </w:pPr>
      <w:r>
        <w:rPr>
          <w:rFonts w:ascii="Times New Roman" w:hAnsi="Times New Roman"/>
          <w:sz w:val="20"/>
        </w:rPr>
        <w:t>3) Rate Limiting: While permissions.json declares rate limit configurations, the enforcement mechanism is not yet wired into the execution pipeline.</w:t>
      </w:r>
    </w:p>
    <w:p>
      <w:pPr>
        <w:spacing w:after="120"/>
        <w:ind w:firstLine="425"/>
        <w:jc w:val="both"/>
      </w:pPr>
      <w:r>
        <w:rPr>
          <w:rFonts w:ascii="Times New Roman" w:hAnsi="Times New Roman"/>
          <w:sz w:val="20"/>
        </w:rPr>
        <w:t>4) Multi-Key API Support: The CommandContext.get_api_key(service) method currently supports only one API key per tool.</w:t>
      </w:r>
    </w:p>
    <w:p>
      <w:pPr>
        <w:spacing w:after="120"/>
        <w:ind w:firstLine="425"/>
        <w:jc w:val="both"/>
      </w:pPr>
      <w:r>
        <w:rPr>
          <w:rFonts w:ascii="Times New Roman" w:hAnsi="Times New Roman"/>
          <w:sz w:val="20"/>
        </w:rPr>
        <w:t>5) Evaluation Scope: The evaluation focuses on a single platform (WhatsApp) with three transport variants. Generalizability to other platforms is architecturally supported but not empirically validated.</w:t>
      </w:r>
    </w:p>
    <w:p>
      <w:pPr>
        <w:spacing w:before="240" w:after="80"/>
        <w:jc w:val="left"/>
      </w:pPr>
      <w:r>
        <w:rPr>
          <w:rFonts w:ascii="Times New Roman" w:hAnsi="Times New Roman"/>
          <w:b/>
          <w:sz w:val="24"/>
        </w:rPr>
        <w:t>10. Future Work</w:t>
      </w:r>
    </w:p>
    <w:p>
      <w:pPr>
        <w:spacing w:after="120"/>
        <w:ind w:firstLine="425"/>
        <w:jc w:val="both"/>
      </w:pPr>
      <w:r>
        <w:rPr>
          <w:rFonts w:ascii="Times New Roman" w:hAnsi="Times New Roman"/>
          <w:sz w:val="20"/>
        </w:rPr>
        <w:t>1) Multi-Transport Orchestration: Extending the AdapterLoader to support multiple simultaneously active adapters, enabling concurrent management of WhatsApp, Discord, and Slack through a unified routing layer.</w:t>
      </w:r>
    </w:p>
    <w:p>
      <w:pPr>
        <w:spacing w:after="120"/>
        <w:ind w:firstLine="425"/>
        <w:jc w:val="both"/>
      </w:pPr>
      <w:r>
        <w:rPr>
          <w:rFonts w:ascii="Times New Roman" w:hAnsi="Times New Roman"/>
          <w:sz w:val="20"/>
        </w:rPr>
        <w:t>2) Dynamic Transport Switching (DTS): Developing an AI-driven heuristic engine that monitors real-time transport health metrics and automatically migrates sessions between adapters based on spam risk and performance degradation.</w:t>
      </w:r>
    </w:p>
    <w:p>
      <w:pPr>
        <w:spacing w:after="120"/>
        <w:ind w:firstLine="425"/>
        <w:jc w:val="both"/>
      </w:pPr>
      <w:r>
        <w:rPr>
          <w:rFonts w:ascii="Times New Roman" w:hAnsi="Times New Roman"/>
          <w:sz w:val="20"/>
        </w:rPr>
        <w:t>3) Distributed Kernel Federation: Exploring decentralized orchestration where multiple OmniKernal nodes share encrypted state via a distributed database, enabling agent memory persistence across node rotation.</w:t>
      </w:r>
    </w:p>
    <w:p>
      <w:pPr>
        <w:spacing w:after="120"/>
        <w:ind w:firstLine="425"/>
        <w:jc w:val="both"/>
      </w:pPr>
      <w:r>
        <w:rPr>
          <w:rFonts w:ascii="Times New Roman" w:hAnsi="Times New Roman"/>
          <w:sz w:val="20"/>
        </w:rPr>
        <w:t>4) Redis Async Queue: Offloading handler execution to distributed worker pools via Redis-backed task queues for horizontal scaling of computationally expensive plugins.</w:t>
      </w:r>
    </w:p>
    <w:p>
      <w:pPr>
        <w:spacing w:after="120"/>
        <w:ind w:firstLine="425"/>
        <w:jc w:val="both"/>
      </w:pPr>
      <w:r>
        <w:rPr>
          <w:rFonts w:ascii="Times New Roman" w:hAnsi="Times New Roman"/>
          <w:sz w:val="20"/>
        </w:rPr>
        <w:t>5) Plugin Hot-Reload: Implementing runtime handler updates by clearing sys.modules caches, enabling zero-downtime plugin deployment.</w:t>
      </w:r>
    </w:p>
    <w:p>
      <w:pPr>
        <w:spacing w:after="120"/>
        <w:ind w:firstLine="425"/>
        <w:jc w:val="both"/>
      </w:pPr>
      <w:r>
        <w:rPr>
          <w:rFonts w:ascii="Times New Roman" w:hAnsi="Times New Roman"/>
          <w:sz w:val="20"/>
        </w:rPr>
        <w:t>6) Trusted Execution Environments (TEE): Migrating the EncryptionEngine to hardware-backed TEEs (Intel SGX, ARM TrustZone) to ensure master keys never reside in host OS memory.</w:t>
      </w:r>
    </w:p>
    <w:p>
      <w:pPr>
        <w:spacing w:before="240" w:after="80"/>
        <w:jc w:val="left"/>
      </w:pPr>
      <w:r>
        <w:rPr>
          <w:rFonts w:ascii="Times New Roman" w:hAnsi="Times New Roman"/>
          <w:b/>
          <w:sz w:val="24"/>
        </w:rPr>
        <w:t>11. Conclusion</w:t>
      </w:r>
    </w:p>
    <w:p>
      <w:pPr>
        <w:spacing w:after="120"/>
        <w:ind w:firstLine="425"/>
        <w:jc w:val="both"/>
      </w:pPr>
      <w:r>
        <w:rPr>
          <w:rFonts w:ascii="Times New Roman" w:hAnsi="Times New Roman"/>
          <w:sz w:val="20"/>
        </w:rPr>
        <w:t>This paper presented OmniKernal, a security-first microkernel framework for transport-agnostic multi-platform automation orchestration. By applying operating system microkernel design principles to the domain of autonomous agent middleware, OmniKernal achieves true platform agnosticism through a four-method adapter contract, lazy-loaded plugin isolation via declarative manifests, multi-layered security through encryption, sanitization, and circuit-breaker patterns, and empirically validated performance through a comprehensive benchmark suite.</w:t>
      </w:r>
    </w:p>
    <w:p>
      <w:pPr>
        <w:spacing w:after="120"/>
        <w:ind w:firstLine="425"/>
        <w:jc w:val="both"/>
      </w:pPr>
      <w:r>
        <w:rPr>
          <w:rFonts w:ascii="Times New Roman" w:hAnsi="Times New Roman"/>
          <w:sz w:val="20"/>
        </w:rPr>
        <w:t>Our evaluation across three distinct transport layers—UI-scraping, REST-proxying, and WebSocket-bridging—demonstrates that the microkernel pattern enables measurable performance transparency, allowing practitioners to make data-driven transport selection decisions based on quantified trade-offs between latency, resource consumption, reliability, and detectability. The system achieves sub-22ms end-to-end latency, 59.1 msg/s throughput, complete fault isolation, and negligible per-profile memory overhead, validating the architectural thesis that decoupled automation middleware can deliver both flexibility and performance.</w:t>
      </w:r>
    </w:p>
    <w:p>
      <w:pPr>
        <w:spacing w:after="120"/>
        <w:ind w:firstLine="425"/>
        <w:jc w:val="both"/>
      </w:pPr>
      <w:r>
        <w:rPr>
          <w:rFonts w:ascii="Times New Roman" w:hAnsi="Times New Roman"/>
          <w:sz w:val="20"/>
        </w:rPr>
        <w:t>OmniKernal provides a foundation for future research in multi-transport orchestration, dynamic transport switching, and distributed kernel federation, contributing to the emerging discipline of infrastructure engineering for autonomous agent ecosystems.</w:t>
      </w:r>
    </w:p>
    <w:p>
      <w:pPr>
        <w:spacing w:before="240" w:after="80"/>
        <w:jc w:val="left"/>
      </w:pPr>
      <w:r>
        <w:rPr>
          <w:rFonts w:ascii="Times New Roman" w:hAnsi="Times New Roman"/>
          <w:b/>
          <w:sz w:val="24"/>
        </w:rPr>
        <w:t>References</w:t>
      </w:r>
    </w:p>
    <w:p>
      <w:pPr>
        <w:spacing w:after="40"/>
        <w:ind w:left="425" w:hanging="425"/>
        <w:jc w:val="both"/>
      </w:pPr>
      <w:r>
        <w:rPr>
          <w:rFonts w:ascii="Times New Roman" w:hAnsi="Times New Roman"/>
          <w:sz w:val="16"/>
        </w:rPr>
        <w:t>[1]</w:t>
        <w:tab/>
        <w:t>J. Wei et al., “Chain-of-Thought Prompting Elicits Reasoning in Large Language Models,” in Proc. Adv. Neural Inf. Process. Syst. (NeurIPS), 2022, pp. 24824–24837.</w:t>
      </w:r>
    </w:p>
    <w:p>
      <w:pPr>
        <w:spacing w:after="40"/>
        <w:ind w:left="425" w:hanging="425"/>
        <w:jc w:val="both"/>
      </w:pPr>
      <w:r>
        <w:rPr>
          <w:rFonts w:ascii="Times New Roman" w:hAnsi="Times New Roman"/>
          <w:sz w:val="16"/>
        </w:rPr>
        <w:t>[2]</w:t>
        <w:tab/>
        <w:t>pedroslopez, “whatsapp-web.js: A WhatsApp client library for NodeJS,” GitHub, 2023. [Online]. Available: https://github.com/pedroslopez/whatsapp-web.js</w:t>
      </w:r>
    </w:p>
    <w:p>
      <w:pPr>
        <w:spacing w:after="40"/>
        <w:ind w:left="425" w:hanging="425"/>
        <w:jc w:val="both"/>
      </w:pPr>
      <w:r>
        <w:rPr>
          <w:rFonts w:ascii="Times New Roman" w:hAnsi="Times New Roman"/>
          <w:sz w:val="16"/>
        </w:rPr>
        <w:t>[3]</w:t>
        <w:tab/>
        <w:t>Rapptz, “discord.py: An API wrapper for Discord written in Python,” GitHub, 2023. [Online]. Available: https://github.com/Rapptz/discord.py</w:t>
      </w:r>
    </w:p>
    <w:p>
      <w:pPr>
        <w:spacing w:after="40"/>
        <w:ind w:left="425" w:hanging="425"/>
        <w:jc w:val="both"/>
      </w:pPr>
      <w:r>
        <w:rPr>
          <w:rFonts w:ascii="Times New Roman" w:hAnsi="Times New Roman"/>
          <w:sz w:val="16"/>
        </w:rPr>
        <w:t>[4]</w:t>
        <w:tab/>
        <w:t>python-telegram-bot, “python-telegram-bot: A pure Python, asynchronous interface for the Telegram Bot API,” GitHub, 2023. [Online]. Available: https://github.com/python-telegram-bot/python-telegram-bot</w:t>
      </w:r>
    </w:p>
    <w:p>
      <w:pPr>
        <w:spacing w:after="40"/>
        <w:ind w:left="425" w:hanging="425"/>
        <w:jc w:val="both"/>
      </w:pPr>
      <w:r>
        <w:rPr>
          <w:rFonts w:ascii="Times New Roman" w:hAnsi="Times New Roman"/>
          <w:sz w:val="16"/>
        </w:rPr>
        <w:t>[5]</w:t>
        <w:tab/>
        <w:t>E. W. Dijkstra, “On the role of scientific thought,” in Selected Writings on Computing: A Personal Perspective. New York, NY, USA: Springer-Verlag, 1982, pp. 60–66.</w:t>
      </w:r>
    </w:p>
    <w:p>
      <w:pPr>
        <w:spacing w:after="40"/>
        <w:ind w:left="425" w:hanging="425"/>
        <w:jc w:val="both"/>
      </w:pPr>
      <w:r>
        <w:rPr>
          <w:rFonts w:ascii="Times New Roman" w:hAnsi="Times New Roman"/>
          <w:sz w:val="16"/>
        </w:rPr>
        <w:t>[6]</w:t>
        <w:tab/>
        <w:t>R. C. Martin, “Design Principles and Design Patterns,” Object Mentor, Tech. Rep., 2000.</w:t>
      </w:r>
    </w:p>
    <w:p>
      <w:pPr>
        <w:spacing w:after="40"/>
        <w:ind w:left="425" w:hanging="425"/>
        <w:jc w:val="both"/>
      </w:pPr>
      <w:r>
        <w:rPr>
          <w:rFonts w:ascii="Times New Roman" w:hAnsi="Times New Roman"/>
          <w:sz w:val="16"/>
        </w:rPr>
        <w:t>[7]</w:t>
        <w:tab/>
        <w:t>J. Liedtke, “On micro-kernel construction,” in Proc. 15th ACM Symp. Oper. Syst. Principles (SOSP), Copper Mountain, CO, USA, 1995, pp. 237–250.</w:t>
      </w:r>
    </w:p>
    <w:p>
      <w:pPr>
        <w:spacing w:after="40"/>
        <w:ind w:left="425" w:hanging="425"/>
        <w:jc w:val="both"/>
      </w:pPr>
      <w:r>
        <w:rPr>
          <w:rFonts w:ascii="Times New Roman" w:hAnsi="Times New Roman"/>
          <w:sz w:val="16"/>
        </w:rPr>
        <w:t>[8]</w:t>
        <w:tab/>
        <w:t>Microsoft, “Playwright: Fast and reliable end-to-end testing for modern web apps,” 2023. [Online]. Available: https://playwright.dev</w:t>
      </w:r>
    </w:p>
    <w:p>
      <w:pPr>
        <w:spacing w:after="40"/>
        <w:ind w:left="425" w:hanging="425"/>
        <w:jc w:val="both"/>
      </w:pPr>
      <w:r>
        <w:rPr>
          <w:rFonts w:ascii="Times New Roman" w:hAnsi="Times New Roman"/>
          <w:sz w:val="16"/>
        </w:rPr>
        <w:t>[9]</w:t>
        <w:tab/>
        <w:t>Meta Platforms, “WhatsApp Business Platform Cloud API,” 2023. [Online]. Available: https://developers.facebook.com/docs/whatsapp/cloud-api</w:t>
      </w:r>
    </w:p>
    <w:p>
      <w:pPr>
        <w:spacing w:after="40"/>
        <w:ind w:left="425" w:hanging="425"/>
        <w:jc w:val="both"/>
      </w:pPr>
      <w:r>
        <w:rPr>
          <w:rFonts w:ascii="Times New Roman" w:hAnsi="Times New Roman"/>
          <w:sz w:val="16"/>
        </w:rPr>
        <w:t>[10]</w:t>
        <w:tab/>
        <w:t>adiwajshing, “Baileys: Lightweight full-featured WhatsApp Web + Multi-Device API,” GitHub, 2023. [Online]. Available: https://github.com/WhiskeySockets/Baileys</w:t>
      </w:r>
    </w:p>
    <w:p>
      <w:pPr>
        <w:spacing w:after="40"/>
        <w:ind w:left="425" w:hanging="425"/>
        <w:jc w:val="both"/>
      </w:pPr>
      <w:r>
        <w:rPr>
          <w:rFonts w:ascii="Times New Roman" w:hAnsi="Times New Roman"/>
          <w:sz w:val="16"/>
        </w:rPr>
        <w:t>[11]</w:t>
        <w:tab/>
        <w:t>M. T. Nygard, Release It! Design and Deploy Production-Ready Software, 2nd ed. Raleigh, NC, USA: Pragmatic Bookshelf, 2018.</w:t>
      </w:r>
    </w:p>
    <w:p>
      <w:pPr>
        <w:spacing w:after="40"/>
        <w:ind w:left="425" w:hanging="425"/>
        <w:jc w:val="both"/>
      </w:pPr>
      <w:r>
        <w:rPr>
          <w:rFonts w:ascii="Times New Roman" w:hAnsi="Times New Roman"/>
          <w:sz w:val="16"/>
        </w:rPr>
        <w:t>[12]</w:t>
        <w:tab/>
        <w:t>A. Adamopoulou and L. Moussiades, “Chatbots: History, technology, and applications,” Mach. Learn. Appl., vol. 2, Art. no. 100006, Dec. 2020.</w:t>
      </w:r>
    </w:p>
    <w:p>
      <w:pPr>
        <w:spacing w:after="40"/>
        <w:ind w:left="425" w:hanging="425"/>
        <w:jc w:val="both"/>
      </w:pPr>
      <w:r>
        <w:rPr>
          <w:rFonts w:ascii="Times New Roman" w:hAnsi="Times New Roman"/>
          <w:sz w:val="16"/>
        </w:rPr>
        <w:t>[13]</w:t>
        <w:tab/>
        <w:t>R. P. Draves, B. N. Bershad, R. F. Rashid, and R. W. Dean, “Using continuations to implement thread management and communication in operating systems,” in Proc. 13th ACM Symp. Oper. Syst. Principles (SOSP), Pacific Grove, CA, USA, 1991, pp. 122–136.</w:t>
      </w:r>
    </w:p>
    <w:p>
      <w:pPr>
        <w:spacing w:after="40"/>
        <w:ind w:left="425" w:hanging="425"/>
        <w:jc w:val="both"/>
      </w:pPr>
      <w:r>
        <w:rPr>
          <w:rFonts w:ascii="Times New Roman" w:hAnsi="Times New Roman"/>
          <w:sz w:val="16"/>
        </w:rPr>
        <w:t>[14]</w:t>
        <w:tab/>
        <w:t>J. Liedtke, “Improved address-space switching on Pentium processors by transparently multiplexing user address spaces,” Carl-Friedrich-Gauß-Fakultät, Tech. Rep., 1995.</w:t>
      </w:r>
    </w:p>
    <w:p>
      <w:pPr>
        <w:spacing w:after="40"/>
        <w:ind w:left="425" w:hanging="425"/>
        <w:jc w:val="both"/>
      </w:pPr>
      <w:r>
        <w:rPr>
          <w:rFonts w:ascii="Times New Roman" w:hAnsi="Times New Roman"/>
          <w:sz w:val="16"/>
        </w:rPr>
        <w:t>[15]</w:t>
        <w:tab/>
        <w:t>D. Hildebrand, “An architectural overview of QNX,” in Proc. USENIX Workshop Micro-Kernels Other Kernel Architectures, Seattle, WA, USA, 1992, pp. 113–126.</w:t>
      </w:r>
    </w:p>
    <w:p>
      <w:pPr>
        <w:spacing w:after="40"/>
        <w:ind w:left="425" w:hanging="425"/>
        <w:jc w:val="both"/>
      </w:pPr>
      <w:r>
        <w:rPr>
          <w:rFonts w:ascii="Times New Roman" w:hAnsi="Times New Roman"/>
          <w:sz w:val="16"/>
        </w:rPr>
        <w:t>[16]</w:t>
        <w:tab/>
        <w:t>J. Liedtke, “Toward real microkernels,” Commun. ACM, vol. 39, no. 9, pp. 70–77, Sep. 1996.</w:t>
      </w:r>
    </w:p>
    <w:p>
      <w:pPr>
        <w:spacing w:after="40"/>
        <w:ind w:left="425" w:hanging="425"/>
        <w:jc w:val="both"/>
      </w:pPr>
      <w:r>
        <w:rPr>
          <w:rFonts w:ascii="Times New Roman" w:hAnsi="Times New Roman"/>
          <w:sz w:val="16"/>
        </w:rPr>
        <w:t>[17]</w:t>
        <w:tab/>
        <w:t>E. Gamma and K. Beck, Contributing to Eclipse: Principles, Patterns, and Plug-Ins. Boston, MA, USA: Addison-Wesley, 2003.</w:t>
      </w:r>
    </w:p>
    <w:p>
      <w:pPr>
        <w:spacing w:after="40"/>
        <w:ind w:left="425" w:hanging="425"/>
        <w:jc w:val="both"/>
      </w:pPr>
      <w:r>
        <w:rPr>
          <w:rFonts w:ascii="Times New Roman" w:hAnsi="Times New Roman"/>
          <w:sz w:val="16"/>
        </w:rPr>
        <w:t>[18]</w:t>
        <w:tab/>
        <w:t>OSGi Alliance, “OSGi Core Release 8,” OSGi Specification, 2022.</w:t>
      </w:r>
    </w:p>
    <w:p>
      <w:pPr>
        <w:spacing w:after="40"/>
        <w:ind w:left="425" w:hanging="425"/>
        <w:jc w:val="both"/>
      </w:pPr>
      <w:r>
        <w:rPr>
          <w:rFonts w:ascii="Times New Roman" w:hAnsi="Times New Roman"/>
          <w:sz w:val="16"/>
        </w:rPr>
        <w:t>[19]</w:t>
        <w:tab/>
        <w:t>M. Richards, Software Architecture Patterns. Sebastopol, CA, USA: O’Reilly Media, 2015.</w:t>
      </w:r>
    </w:p>
    <w:p>
      <w:pPr>
        <w:spacing w:after="40"/>
        <w:ind w:left="425" w:hanging="425"/>
        <w:jc w:val="both"/>
      </w:pPr>
      <w:r>
        <w:rPr>
          <w:rFonts w:ascii="Times New Roman" w:hAnsi="Times New Roman"/>
          <w:sz w:val="16"/>
        </w:rPr>
        <w:t>[20]</w:t>
        <w:tab/>
        <w:t>Google, “gRPC: A high performance, open source universal RPC framework,” 2023. [Online]. Available: https://grpc.io</w:t>
      </w:r>
    </w:p>
    <w:p>
      <w:pPr>
        <w:spacing w:after="40"/>
        <w:ind w:left="425" w:hanging="425"/>
        <w:jc w:val="both"/>
      </w:pPr>
      <w:r>
        <w:rPr>
          <w:rFonts w:ascii="Times New Roman" w:hAnsi="Times New Roman"/>
          <w:sz w:val="16"/>
        </w:rPr>
        <w:t>[21]</w:t>
        <w:tab/>
        <w:t>M. Slee, A. Agarwal, and M. Kwiatkowski, “Thrift: Scalable cross-language services implementation,” Facebook, Palo Alto, CA, USA, Tech. Rep., 2007.</w:t>
      </w:r>
    </w:p>
    <w:p>
      <w:pPr>
        <w:spacing w:after="40"/>
        <w:ind w:left="425" w:hanging="425"/>
        <w:jc w:val="both"/>
      </w:pPr>
      <w:r>
        <w:rPr>
          <w:rFonts w:ascii="Times New Roman" w:hAnsi="Times New Roman"/>
          <w:sz w:val="16"/>
        </w:rPr>
        <w:t>[22]</w:t>
        <w:tab/>
        <w:t>E. Gamma, R. Helm, R. Johnson, and J. Vlissides, Design Patterns: Elements of Reusable Object-Oriented Software. Reading, MA, USA: Addison-Wesley, 1994.</w:t>
      </w:r>
    </w:p>
    <w:p>
      <w:pPr>
        <w:spacing w:after="40"/>
        <w:ind w:left="425" w:hanging="425"/>
        <w:jc w:val="both"/>
      </w:pPr>
      <w:r>
        <w:rPr>
          <w:rFonts w:ascii="Times New Roman" w:hAnsi="Times New Roman"/>
          <w:sz w:val="16"/>
        </w:rPr>
        <w:t>[23]</w:t>
        <w:tab/>
        <w:t>Crossbar.io, “WAMP — Web Application Messaging Protocol,” 2023. [Online]. Available: https://wamp-proto.org</w:t>
      </w:r>
    </w:p>
    <w:p>
      <w:pPr>
        <w:spacing w:after="40"/>
        <w:ind w:left="425" w:hanging="425"/>
        <w:jc w:val="both"/>
      </w:pPr>
      <w:r>
        <w:rPr>
          <w:rFonts w:ascii="Times New Roman" w:hAnsi="Times New Roman"/>
          <w:sz w:val="16"/>
        </w:rPr>
        <w:t>[24]</w:t>
        <w:tab/>
        <w:t>Netflix, “Hystrix: Latency and fault tolerance library,” GitHub, 2018. [Online]. Available: https://github.com/Netflix/Hystrix</w:t>
      </w:r>
    </w:p>
    <w:p>
      <w:pPr>
        <w:spacing w:after="40"/>
        <w:ind w:left="425" w:hanging="425"/>
        <w:jc w:val="both"/>
      </w:pPr>
      <w:r>
        <w:rPr>
          <w:rFonts w:ascii="Times New Roman" w:hAnsi="Times New Roman"/>
          <w:sz w:val="16"/>
        </w:rPr>
        <w:t>[25]</w:t>
        <w:tab/>
        <w:t>R. Vos, “Resilience4j: A lightweight fault tolerance library for Java,” GitHub, 2023. [Online]. Available: https://github.com/resilience4j/resilience4j</w:t>
      </w:r>
    </w:p>
    <w:p>
      <w:pPr>
        <w:spacing w:after="40"/>
        <w:ind w:left="425" w:hanging="425"/>
        <w:jc w:val="both"/>
      </w:pPr>
      <w:r>
        <w:rPr>
          <w:rFonts w:ascii="Times New Roman" w:hAnsi="Times New Roman"/>
          <w:sz w:val="16"/>
        </w:rPr>
        <w:t>[26]</w:t>
        <w:tab/>
        <w:t>N. Dragoni et al., “Microservices: Yesterday, Today, and Tomorrow,” in Present and Ulterior Software Engineering, M. Mazzara and B. Meyer, Eds. Cham, Switzerland: Springer, 2017, pp. 195–216.</w:t>
      </w:r>
    </w:p>
    <w:p>
      <w:pPr>
        <w:spacing w:after="40"/>
        <w:ind w:left="425" w:hanging="425"/>
        <w:jc w:val="both"/>
      </w:pPr>
      <w:r>
        <w:rPr>
          <w:rFonts w:ascii="Times New Roman" w:hAnsi="Times New Roman"/>
          <w:sz w:val="16"/>
        </w:rPr>
        <w:t>[27]</w:t>
        <w:tab/>
        <w:t>A. P. Felt, E. Chin, S. Hanna, D. Song, and D. Wagner, “Android permissions demystified,” in Proc. 18th ACM Conf. Comput. Commun. Security (CCS), Chicago, IL, USA, 2011, pp. 627–638.</w:t>
      </w:r>
    </w:p>
    <w:p>
      <w:pPr>
        <w:spacing w:after="40"/>
        <w:ind w:left="425" w:hanging="425"/>
        <w:jc w:val="both"/>
      </w:pPr>
      <w:r>
        <w:rPr>
          <w:rFonts w:ascii="Times New Roman" w:hAnsi="Times New Roman"/>
          <w:sz w:val="16"/>
        </w:rPr>
        <w:t>[28]</w:t>
        <w:tab/>
        <w:t>A. Barth, C. Jackson, and J. C. Mitchell, “Robust defenses for cross-site request forgery,” in Proc. 15th ACM Conf. Comput. Commun. Security (CCS), Alexandria, VA, USA, 2008, pp. 75–88.</w:t>
      </w:r>
    </w:p>
    <w:p>
      <w:pPr>
        <w:spacing w:after="40"/>
        <w:ind w:left="425" w:hanging="425"/>
        <w:jc w:val="both"/>
      </w:pPr>
      <w:r>
        <w:rPr>
          <w:rFonts w:ascii="Times New Roman" w:hAnsi="Times New Roman"/>
          <w:sz w:val="16"/>
        </w:rPr>
        <w:t>[29]</w:t>
        <w:tab/>
        <w:t>OWASP, “OWASP API Security Top 10,” OWASP Foundation, 2023. [Online]. Available: https://owasp.org/www-project-api-security</w:t>
      </w:r>
    </w:p>
    <w:p>
      <w:pPr>
        <w:spacing w:after="40"/>
        <w:ind w:left="425" w:hanging="425"/>
        <w:jc w:val="both"/>
      </w:pPr>
      <w:r>
        <w:rPr>
          <w:rFonts w:ascii="Times New Roman" w:hAnsi="Times New Roman"/>
          <w:sz w:val="16"/>
        </w:rPr>
        <w:t>[30]</w:t>
        <w:tab/>
        <w:t>Botpress Inc., “Botpress: The open-source conversational AI platform,” 2023. [Online]. Available: https://botpress.com</w:t>
      </w:r>
    </w:p>
    <w:p>
      <w:pPr>
        <w:spacing w:after="40"/>
        <w:ind w:left="425" w:hanging="425"/>
        <w:jc w:val="both"/>
      </w:pPr>
      <w:r>
        <w:rPr>
          <w:rFonts w:ascii="Times New Roman" w:hAnsi="Times New Roman"/>
          <w:sz w:val="16"/>
        </w:rPr>
        <w:t>[31]</w:t>
        <w:tab/>
        <w:t>Rasa Technologies, “Rasa: Open source conversational AI,” 2023. [Online]. Available: https://rasa.com</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