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Agentic AI-Driven Sustainability Orchestrator</w:t>
      </w:r>
    </w:p>
    <w:p>
      <w:pPr>
        <w:jc w:val="center"/>
      </w:pPr>
      <w:r>
        <w:rPr>
          <w:rFonts w:ascii="Calibri" w:hAnsi="Calibri"/>
          <w:i/>
          <w:color w:val="646464"/>
          <w:sz w:val="26"/>
        </w:rPr>
        <w:t>Hierarchical Carbon-Aware Workload Orchestration using Digital Twins &amp; Deep RL</w:t>
        <w:br/>
        <w:t>Phase 2 Step-by-Step Implementation Guide (Layers 1 to 5)</w:t>
        <w:br/>
        <w:t>Context: 23CSE498 Phase 2 · Team 23UG048 · Guide: Dr. Beena B.M.</w:t>
      </w:r>
    </w:p>
    <w:p>
      <w:pPr>
        <w:spacing w:after="240"/>
      </w:pPr>
    </w:p>
    <w:p>
      <w:pPr>
        <w:spacing w:before="280" w:after="120"/>
      </w:pPr>
      <w:r>
        <w:rPr>
          <w:rFonts w:ascii="Calibri" w:hAnsi="Calibri"/>
          <w:b/>
          <w:color w:val="003366"/>
          <w:sz w:val="32"/>
        </w:rPr>
        <w:t>1. Executive Summary &amp; Overview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Current green cloud orchestration systems attempt to migrate workloads to cleaner regions to cut carbon emissions. However, existing approaches operate naively: they optimize energy and performance separately, ignore the live migration network energy cost (memory checkpointing and data transfer), fail to account for hardware heterogeneity (running on a slower CPU burns more total energy even if the grid is cleaner), and lack validation before executing migrations.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To solve this core gap, the project proposes a closed-loop agentic system that measures per-pod energy via Kepler eBPF, simulates 'what if' scenarios using a Digital Twin before migrating, and only commits to a migration if it shows a positive Net Sustainability Gain (NSG) with &gt;= 90% statistical confidence and an SLA Risk Score &lt; 0.80.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This document details the step-by-step implementation of Layers 1 to 5 of the 8-Layer architecture, explaining every single directory, file, data structure, algorithm, and mathematical equation built.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2"/>
        </w:rPr>
        <w:t>2. Architecture &amp; Directory Layout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The implementation follows the exact 8-Layer Architecture diagram from the Phase 2 proposal. Scope for this phase covers Layers 1 through 5:</w:t>
      </w:r>
    </w:p>
    <w:p>
      <w:pPr>
        <w:spacing w:before="80" w:after="80"/>
      </w:pPr>
      <w:r>
        <w:rPr>
          <w:rFonts w:ascii="Consolas" w:hAnsi="Consolas"/>
          <w:color w:val="1E1E1E"/>
          <w:sz w:val="19"/>
        </w:rPr>
        <w:t>f:/Phase 2/</w:t>
        <w:br/>
        <w:t>├── data/</w:t>
        <w:br/>
        <w:t>│   └── borg_traces_data.csv                   # Google Borg 2019 Cluster Trace (405k records)</w:t>
        <w:br/>
        <w:t>├── src/</w:t>
        <w:br/>
        <w:t>│   ├── layer1_infra/                          # LAYER 1: Infrastructure &amp; Trace Replay</w:t>
        <w:br/>
        <w:t>│   │   ├── __init__.py</w:t>
        <w:br/>
        <w:t>│   │   ├── cluster_config.py                  # Node pools, MIPS ratings, Kind K8s YAML manifest</w:t>
        <w:br/>
        <w:t>│   │   ├── trace_loader.py                    # Borg CSV trace reader, timeline compression, K8s Pods</w:t>
        <w:br/>
        <w:t>│   │   └── kepler_emulator.py                # Kepler eBPF power (Watts) &amp; energy (Joules) model</w:t>
        <w:br/>
        <w:t>│   ├── layer2_telemetry/                      # LAYER 2: Monitoring &amp; Telemetry Pipeline</w:t>
        <w:br/>
        <w:t>│   │   ├── __init__.py</w:t>
        <w:br/>
        <w:t>│   │   ├── carbon_feed.py                     # Multi-region dynamic carbon intensity (gCO2/kWh)</w:t>
        <w:br/>
        <w:t>│   │   └── feature_store.py                  # Dynamic unified telemetry feature collector</w:t>
        <w:br/>
        <w:t>│   ├── layer3_scheduling/                     # LAYER 3: Sustainability Scheduling Pre-Filter</w:t>
        <w:br/>
        <w:t>│   │   ├── __init__.py</w:t>
        <w:br/>
        <w:t>│   │   ├── heterogeneity.py                  # Hardware MIPS scaling &amp; performance factor</w:t>
        <w:br/>
        <w:t>│   │   └── nsga2_filter.py                   # Hard rules capacity filter &amp; NSGA-II pre-filter</w:t>
        <w:br/>
        <w:t>│   ├── layer4_digital_twin/                   # LAYER 4: Digital Twin &amp; Simulation Engine</w:t>
        <w:br/>
        <w:t>│   │   ├── __init__.py</w:t>
        <w:br/>
        <w:t>│   │   ├── gbr_predictor.py                  # GradientBoostingRegressor (80/20 time-split)</w:t>
        <w:br/>
        <w:t>│   │   ├── clark_model.py                    # Clark live migration network energy &amp; carbon cost</w:t>
        <w:br/>
        <w:t>│   │   ├── simpy_uncertainty.py              # SimPy carbon trajectory discrete-event sampler</w:t>
        <w:br/>
        <w:t>│   │   └── monte_carlo.py                    # 1000-run Monte Carlo uncertainty analysis engine</w:t>
        <w:br/>
        <w:t>│   ├── layer5_outputs/                        # LAYER 5: Model Outputs &amp; Risk Assessment</w:t>
        <w:br/>
        <w:t>│   │   ├── __init__.py</w:t>
        <w:br/>
        <w:t>│   │   ├── nsg_calculator.py                 # NSG distribution, 90% CI, SLA Risk &amp; Viability</w:t>
        <w:br/>
        <w:t>│   │   └── data_contracts.py                 # Structured Pydantic/Dataclass output schemas</w:t>
        <w:br/>
        <w:t>│   └── pipeline_runner.py                     # End-to-end pipeline orchestrator &amp; multi-cycle test</w:t>
        <w:br/>
        <w:t>└── tests/</w:t>
        <w:br/>
        <w:t xml:space="preserve">    └── test_layers_1_to_5.py                  # Automated Pytest suite (11 test cases)</w:t>
        <w:br/>
      </w:r>
    </w:p>
    <w:p>
      <w:pPr>
        <w:spacing w:before="280" w:after="120"/>
      </w:pPr>
      <w:r>
        <w:rPr>
          <w:rFonts w:ascii="Calibri" w:hAnsi="Calibri"/>
          <w:b/>
          <w:color w:val="003366"/>
          <w:sz w:val="32"/>
        </w:rPr>
        <w:t>3. Layer-by-Layer &amp; File-by-File Detailed Explanation</w:t>
      </w:r>
    </w:p>
    <w:p>
      <w:pPr>
        <w:spacing w:before="200" w:after="80"/>
      </w:pPr>
      <w:r>
        <w:rPr>
          <w:rFonts w:ascii="Calibri" w:hAnsi="Calibri"/>
          <w:b/>
          <w:color w:val="285A8C"/>
          <w:sz w:val="26"/>
        </w:rPr>
        <w:t>3.1 Layer 1: Infrastructure &amp; Replay System (`src/layer1_infra/`)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Layer 1 establishes the multi-region Kubernetes node infrastructure, ingests trace workload records, and emulates Kepler eBPF per-pod energy metering.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1.1: `src/layer1_infra/cluster_config.py`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Defines node topologies, hardware MIPS capacities, regional grid configurations, and Kubernetes Kind cluster manifests.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Defines `NodeConfig` (node_id, region, mips_rating, total_ram_gb, idle_power_w, max_power_w, free_ram_gb) and `RegionConfig` dataclasses. Creates 9 synthetic nodes across 3 regions: DC_EU (4000 MIPS, high solar/wind), DC_US (3500 MIPS, standard grid), and DC_ASIA (2800 MIPS, fossil heavy). Implements `generate_kind_config()` to export a multi-worker Kind YAML manifest with `topology.kubernetes.io/region` labels.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Provides the heterogeneous baseline hardware environment required for Layer 3 MIPS scaling and Layer 4 power estimations.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1.2: `src/layer1_infra/trace_loader.py`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Ingests Google Borg 2019 cluster trace data, applies timeline compression, and constructs Kubernetes Pod spec manifests.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Defines `WorkloadPod` dataclass (pod_id, collection_id, instance_index, cpu_request, ram_request_gb, assigned_memory_gb, cpi, duration_sec, source_node, source_region, sla_deadline_sec). Parses resource requests JSON strings from `borg_traces_data.csv`. Converts microsecond Borg timestamps into compressed duration seconds (using configurable compression factor = 10x). Implements `to_k8s_manifest()` returning Kubernetes Pod V1 spec manifests.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Transforms raw trace data into normalized workload entities ready for container scheduling.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1.3: `src/layer1_infra/kepler_emulator.py`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Calculates dynamic per-pod power draw (Watts) and energy consumption (Joules) based on Kepler eBPF estimation equations.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Implements `estimate_pod_power()` using Kepler eBPF linear dynamic formula: P_pod = P_idle_per_pod + (P_max - P_idle) * CPU_util + E_DRAM * RAM_used. Implements `estimate_pod_energy()` converting power over duration into Joules (1 Watt-second = 1 Joule). Returns `PodEnergyMetrics` dataclass.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Provides exact eBPF-derived pod power signals needed when physical RAPL counters are unexposed in cloud/Kind environments.</w:t>
      </w:r>
    </w:p>
    <w:p>
      <w:pPr>
        <w:spacing w:before="200" w:after="80"/>
      </w:pPr>
      <w:r>
        <w:rPr>
          <w:rFonts w:ascii="Calibri" w:hAnsi="Calibri"/>
          <w:b/>
          <w:color w:val="285A8C"/>
          <w:sz w:val="26"/>
        </w:rPr>
        <w:t>3.2 Layer 2: Monitoring &amp; Telemetry Pipeline (`src/layer2_telemetry/`)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Layer 2 streams real-time regional carbon intensity time-series and aggregates telemetry signals into unified state snapshots.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2.1: `src/layer2_telemetry/carbon_feed.py`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Simulates dynamic real-time and forecast grid Carbon Intensity (gCO2/kWh) for EU, US, and APAC cloud regions.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Implements `get_carbon_intensity(region, timestamp_sec)`: DC_EU uses a diurnal solar curve with low carbon (~140 gCO2/kWh) during mid-day (12 PM); DC_US uses a demand curve (~420 gCO2/kWh); DC_ASIA uses a high coal baseline (~540 gCO2/kWh). Implements `get_region_forecast()` for future time horizons.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Feeds real-time carbon signal data to Layer 3 ranking, Layer 4 SimPy sampling, and Layer 5 NSG calculation.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2.2: `src/layer2_telemetry/feature_store.py`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Assembles workload parameters, Kepler energy metrics, node availability, and grid carbon intensity into unified state frames.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Defines `UnifiedTelemetryFrame` dataclass. Aggregates current node status, pod telemetry, Kepler energy metrics, and target region carbon intensity maps into single snapshot objects per scheduling cycle.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Acts as the single source of truth passed to downstream scheduling and Digital Twin layers.</w:t>
      </w:r>
    </w:p>
    <w:p>
      <w:pPr>
        <w:spacing w:before="200" w:after="80"/>
      </w:pPr>
      <w:r>
        <w:rPr>
          <w:rFonts w:ascii="Calibri" w:hAnsi="Calibri"/>
          <w:b/>
          <w:color w:val="285A8C"/>
          <w:sz w:val="26"/>
        </w:rPr>
        <w:t>3.3 Layer 3: Sustainability Scheduling Pre-Filter (`src/layer3_scheduling/`)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Layer 3 filters out candidate nodes lacking capacity, adjusts for MIPS hardware heterogeneity, and shortlists Top-K targets using NSGA-II.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3.1: `src/layer3_scheduling/heterogeneity.py`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Models CPU hardware speedup and slowdown scaling factors across heterogeneous MIPS architectures.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Computes execution scaling ratio: Ratio = MIPS_source / MIPS_target. Implements `scale_duration()` adjusting workload runtime when placed on faster or slower target nodes.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Prevents false green decisions where a slower target node causes a workload to run longer and consume more total energy.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3.2: `src/layer3_scheduling/nsga2_filter.py`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Applies hard rules capacity checks and NSGA-II multi-objective pre-filtering to shortlist Top-K candidates.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Enforces hard rule check: Free RAM &gt;= Pod RAM Request. Formulates multi-objective problem using `pymoo` evaluating (1) Estimated Carbon Footprint (gCO2), and (2) SLA Latency Penalty. Ranks candidates and returns `CandidatePair` objects shortlisted to Top-K (default K=3).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Prevents running the expensive Digital Twin simulation on thousands of invalid or poor target candidates.</w:t>
      </w:r>
    </w:p>
    <w:p>
      <w:pPr>
        <w:spacing w:before="200" w:after="80"/>
      </w:pPr>
      <w:r>
        <w:rPr>
          <w:rFonts w:ascii="Calibri" w:hAnsi="Calibri"/>
          <w:b/>
          <w:color w:val="285A8C"/>
          <w:sz w:val="26"/>
        </w:rPr>
        <w:t>3.4 Layer 4: Digital Twin &amp; Simulation Engine (`src/layer4_digital_twin/`)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Layer 4 simulates 'what if' migration scenarios using ML runtime prediction, Clark migration cost math, SimPy carbon sampling, and 1000 Monte Carlo runs.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4.1: `src/layer4_digital_twin/gbr_predictor.py`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Predicts expected workload runtime on target nodes based on trace features using a strict time-based split.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Uses `GradientBoostingRegressor` trained on CPU request, RAM, CPI, priority, and MIPS ratio. Applies time-ordered 80/20 train/test split to prevent lookahead data leakage. Returns predicted mean duration and residual standard deviation std_gbr.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Provides ML-driven runtime expectations and uncertainty bounds for Monte Carlo sampling.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4.2: `src/layer4_digital_twin/clark_model.py`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Quantifies live migration network duration, memory checkpoint energy, and migration carbon overhead.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Implements Clark et al. live memory migration model: Checkpoint Size D_mem = RAM_assigned; Migration Duration T_mig = D_mem / Network_Bandwidth + Latency_Overhead; Network Energy E_mig = D_mem * e_net + T_mig * P_switches; Migration Carbon C_mig = E_mig * CI_source.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Ensures migration overhead is subtracted when calculating true Net Sustainability Gain.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4.3: `src/layer4_digital_twin/simpy_uncertainty.py`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Models stochastic discrete-event grid carbon intensity fluctuations across future execution windows.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Uses `simpy.Environment` to step through execution windows and sample dynamic renewable carbon intensity variations with event noise.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Simulates dynamic grid fluctuations during workload execution.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4.4: `src/layer4_digital_twin/monte_carlo.py`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Executes 1000 stochastic simulation runs combining all sources of system uncertainty.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Combines GBR runtime error ~ Normal(mean, std^2), Clark migration variance, and SimPy carbon noise across 1000 iterations. Computes empirical sample arrays for STAY Carbon, MIGRATE Carbon, and Net Sustainability Gain (NSG = STAY - MIGRATE).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Generates empirical outcome distributions for Layer 5 statistical evaluation.</w:t>
      </w:r>
    </w:p>
    <w:p>
      <w:pPr>
        <w:spacing w:before="200" w:after="80"/>
      </w:pPr>
      <w:r>
        <w:rPr>
          <w:rFonts w:ascii="Calibri" w:hAnsi="Calibri"/>
          <w:b/>
          <w:color w:val="285A8C"/>
          <w:sz w:val="26"/>
        </w:rPr>
        <w:t>3.5 Layer 5: Model Outputs &amp; Risk Assessment Interface (`src/layer5_outputs/`)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Layer 5 computes statistical confidence intervals, SLA risk scores, and structured data outputs consumed by Layer 6.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5.1: `src/layer5_outputs/nsg_calculator.py`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Computes empirical NSG statistics, 90% confidence intervals, SLA risk scores, and statistical viability flags.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Calculates Mean NSG, 5th percentile (p05), 95th percentile (p95), statistical confidence P(NSG &gt; 0), and SLA Risk Score P(T_total &gt; SLA_deadline). Enforces hard viability gate: Viable = (P(NSG &gt; 0) &gt;= 0.90) and (SLA Risk &lt; 0.80).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Delivers the exact decision interface required by the Layer 6 Decision &amp; Policy Engine.</w:t>
      </w:r>
    </w:p>
    <w:p>
      <w:pPr>
        <w:spacing w:before="160" w:after="40"/>
      </w:pPr>
      <w:r>
        <w:rPr>
          <w:rFonts w:ascii="Calibri" w:hAnsi="Calibri"/>
          <w:b/>
          <w:color w:val="3C3C3C"/>
          <w:sz w:val="23"/>
        </w:rPr>
        <w:t>File 5.2: `src/layer5_outputs/data_contracts.py`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Defines structured dataclasses and JSON schemas for Layer 5 outputs.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Content &amp; Logic: </w:t>
      </w:r>
      <w:r>
        <w:rPr>
          <w:rFonts w:ascii="Calibri" w:hAnsi="Calibri"/>
          <w:sz w:val="22"/>
        </w:rPr>
        <w:t>Defines `CandidateEvaluationResult` (pod_id, current_node_id, current_region, target_node_id, target_region, nsg_mean_gco2, nsg_p05_gco2, nsg_p95_gco2, p_nsg_positive, sla_risk_score, predicted_exec_time_sec, migration_duration_sec, is_statistically_viable).</w:t>
      </w:r>
    </w:p>
    <w:p>
      <w:pPr>
        <w:spacing w:after="80" w:line="276" w:lineRule="auto"/>
      </w:pPr>
      <w:r>
        <w:rPr>
          <w:rFonts w:ascii="Calibri" w:hAnsi="Calibri"/>
          <w:b/>
          <w:sz w:val="22"/>
        </w:rPr>
        <w:t xml:space="preserve">Role in System: </w:t>
      </w:r>
      <w:r>
        <w:rPr>
          <w:rFonts w:ascii="Calibri" w:hAnsi="Calibri"/>
          <w:sz w:val="22"/>
        </w:rPr>
        <w:t>Establishes the clean data contract between Digital Twin evaluation and Decision Engine.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2"/>
        </w:rPr>
        <w:t>4. Key Mathematical Equations &amp; Formulas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1. Kepler eBPF Dynamic Pod Power (Watts):</w:t>
        <w:br/>
        <w:t xml:space="preserve">   P_pod = P_idle_per_pod + (P_max - P_idle) * CPU_util + E_DRAM * RAM_used_gb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2. Hardware MIPS Performance Scaling Ratio:</w:t>
        <w:br/>
        <w:t xml:space="preserve">   Ratio = MIPS_source / MIPS_target</w:t>
        <w:br/>
        <w:t xml:space="preserve">   T_scaled = T_base * Ratio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3. Clark Live-Migration Carbon Overhead (gCO2):</w:t>
        <w:br/>
        <w:t xml:space="preserve">   T_mig = (RAM_assigned / Bandwidth_net) + Latency_overhead</w:t>
        <w:br/>
        <w:t xml:space="preserve">   E_mig = (RAM_assigned * e_net) + (T_mig * P_switches)</w:t>
        <w:br/>
        <w:t xml:space="preserve">   C_mig = (E_mig / 3.6e6) * CI_source_region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4. Net Sustainability Gain (NSG) per Monte Carlo Sample i:</w:t>
        <w:br/>
        <w:t xml:space="preserve">   NSG_i = Carbon_stay,i - (Carbon_target,i + C_mig,i)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5. Statistical Confidence Gate P(NSG &gt; 0):</w:t>
        <w:br/>
        <w:t xml:space="preserve">   P(NSG &gt; 0) = Count(NSG_i &gt; 0) / 1000 &gt;= 0.90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6. Empirical SLA Risk Score Gate:</w:t>
        <w:br/>
        <w:t xml:space="preserve">   SLA_Risk = Count(T_total,i &gt; SLA_deadline) / 1000 &lt; 0.80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2"/>
        </w:rPr>
        <w:t>5. Verification &amp; Experimental Results</w:t>
      </w:r>
    </w:p>
    <w:p>
      <w:pPr>
        <w:spacing w:after="80" w:line="276" w:lineRule="auto"/>
      </w:pPr>
      <w:r>
        <w:rPr>
          <w:rFonts w:ascii="Calibri" w:hAnsi="Calibri"/>
          <w:sz w:val="22"/>
        </w:rPr>
        <w:t>All 11 unit &amp; integration tests in `tests/test_layers_1_to_5.py` passed in 1.85 seconds:</w:t>
      </w:r>
    </w:p>
    <w:p>
      <w:pPr>
        <w:spacing w:before="80" w:after="80"/>
      </w:pPr>
      <w:r>
        <w:rPr>
          <w:rFonts w:ascii="Consolas" w:hAnsi="Consolas"/>
          <w:color w:val="1E1E1E"/>
          <w:sz w:val="19"/>
        </w:rPr>
        <w:t>tests/test_layers_1_to_5.py::test_cluster_config PASSED</w:t>
        <w:br/>
        <w:t>tests/test_layers_1_to_5.py::test_trace_loader PASSED</w:t>
        <w:br/>
        <w:t>tests/test_layers_1_to_5.py::test_kepler_emulator PASSED</w:t>
        <w:br/>
        <w:t>tests/test_layers_1_to_5.py::test_carbon_feed PASSED</w:t>
        <w:br/>
        <w:t>tests/test_layers_1_to_5.py::test_feature_store PASSED</w:t>
        <w:br/>
        <w:t>tests/test_layers_1_to_5.py::test_heterogeneity_scaling PASSED</w:t>
        <w:br/>
        <w:t>tests/test_layers_1_to_5.py::test_nsga2_pre_filter PASSED</w:t>
        <w:br/>
        <w:t>tests/test_layers_1_to_5.py::test_gbr_predictor PASSED</w:t>
        <w:br/>
        <w:t>tests/test_layers_1_to_5.py::test_clark_migration_model PASSED</w:t>
        <w:br/>
        <w:t>tests/test_layers_1_to_5.py::test_simpy_sampler PASSED</w:t>
        <w:br/>
        <w:t>tests/test_layers_1_to_5.py::test_monte_carlo_and_layer5_outputs PASSED</w:t>
        <w:br/>
        <w:t>================ 11 passed in 1.85s ================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