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7365D"/>
          <w:sz w:val="46"/>
        </w:rPr>
        <w:t>PRE-DEVELOPMENT APPROVAL PACK</w:t>
      </w:r>
    </w:p>
    <w:p>
      <w:pPr>
        <w:spacing w:after="320"/>
      </w:pPr>
      <w:r>
        <w:rPr>
          <w:color w:val="5B6573"/>
          <w:sz w:val="28"/>
        </w:rPr>
        <w:t>BOOKDOC2026 Clinic Management SaaS - Delhi Pilot</w:t>
      </w:r>
    </w:p>
    <w:p>
      <w:pPr>
        <w:spacing w:after="40"/>
      </w:pPr>
      <w:r>
        <w:rPr>
          <w:b/>
        </w:rPr>
        <w:t xml:space="preserve">Prepared: </w:t>
      </w:r>
      <w:r>
        <w:t>2026-08-09</w:t>
      </w:r>
    </w:p>
    <w:p>
      <w:pPr>
        <w:spacing w:after="40"/>
      </w:pPr>
      <w:r>
        <w:rPr>
          <w:b/>
        </w:rPr>
        <w:t xml:space="preserve">Product focus: </w:t>
      </w:r>
      <w:r>
        <w:t>Physiotherapy and Orthopaedics clinic management</w:t>
      </w:r>
    </w:p>
    <w:p>
      <w:pPr>
        <w:spacing w:after="40"/>
      </w:pPr>
      <w:r>
        <w:rPr>
          <w:b/>
        </w:rPr>
        <w:t xml:space="preserve">Deployment: </w:t>
      </w:r>
      <w:r>
        <w:t>One centrally operated multi-tenant SaaS deployment</w:t>
      </w:r>
    </w:p>
    <w:p>
      <w:pPr>
        <w:spacing w:after="40"/>
      </w:pPr>
      <w:r>
        <w:rPr>
          <w:b/>
        </w:rPr>
        <w:t xml:space="preserve">Document status: </w:t>
      </w:r>
      <w:r>
        <w:t>Baseline for stakeholder review - implementation not authorized</w:t>
      </w:r>
    </w:p>
    <w:p>
      <w:pPr>
        <w:spacing w:before="200" w:after="240"/>
        <w:pBdr>
          <w:bottom w:val="single" w:sz="16"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vAlign w:val="center"/>
          </w:tcPr>
          <w:p>
            <w:pPr>
              <w:pStyle w:val="Callout"/>
            </w:pPr>
            <w:r>
              <w:rPr>
                <w:b/>
              </w:rPr>
              <w:t xml:space="preserve">Decision requested: </w:t>
            </w:r>
            <w:r>
              <w:t>Approve this pack as the pre-development baseline and authorize the remaining discovery workshops and evidence collection only. This document does not authorize code, database migration, vendor purchase or clinical go-live.</w:t>
            </w:r>
          </w:p>
        </w:tc>
      </w:tr>
    </w:tbl>
    <w:p>
      <w:pPr>
        <w:spacing w:after="20"/>
      </w:pPr>
    </w:p>
    <w:p>
      <w:pPr>
        <w:pStyle w:val="Heading1"/>
      </w:pPr>
      <w:r>
        <w:t>1. Executive baseline</w:t>
      </w:r>
    </w:p>
    <w:p>
      <w:r>
        <w:t>BOOKDOC2026 will be a centrally operated clinic-management SaaS serving independent clinic customers. Each customer is an isolated tenant with its own organizations and branches. Delhi is the first pilot jurisdiction, and Physiotherapy plus Orthopaedics are the first specialty configurations.</w:t>
      </w:r>
    </w:p>
    <w:tbl>
      <w:tblPr>
        <w:tblStyle w:val="TableGrid"/>
        <w:tblW w:type="dxa" w:w="9360"/>
        <w:jc w:val="left"/>
        <w:tblLayout w:type="fixed"/>
        <w:tblLook w:firstColumn="1" w:firstRow="1" w:lastColumn="0" w:lastRow="0" w:noHBand="0" w:noVBand="1" w:val="04A0"/>
        <w:tblInd w:w="120" w:type="dxa"/>
      </w:tblPr>
      <w:tblGrid>
        <w:gridCol w:w="2200"/>
        <w:gridCol w:w="5660"/>
        <w:gridCol w:w="1500"/>
      </w:tblGrid>
      <w:tr>
        <w:trPr>
          <w:tblHeader w:val="true"/>
        </w:trPr>
        <w:tc>
          <w:tcPr>
            <w:tcW w:type="dxa" w:w="2200"/>
            <w:shd w:fill="2E74B5"/>
            <w:tcMar>
              <w:top w:w="80" w:type="dxa"/>
              <w:start w:w="120" w:type="dxa"/>
              <w:bottom w:w="80" w:type="dxa"/>
              <w:end w:w="120" w:type="dxa"/>
            </w:tcMar>
            <w:vAlign w:val="center"/>
          </w:tcPr>
          <w:p>
            <w:pPr>
              <w:spacing w:after="0"/>
            </w:pPr>
            <w:r>
              <w:rPr>
                <w:b/>
                <w:color w:val="FFFFFF"/>
                <w:sz w:val="18"/>
              </w:rPr>
              <w:t>Dimension</w:t>
            </w:r>
          </w:p>
        </w:tc>
        <w:tc>
          <w:tcPr>
            <w:tcW w:type="dxa" w:w="5660"/>
            <w:shd w:fill="2E74B5"/>
            <w:tcMar>
              <w:top w:w="80" w:type="dxa"/>
              <w:start w:w="120" w:type="dxa"/>
              <w:bottom w:w="80" w:type="dxa"/>
              <w:end w:w="120" w:type="dxa"/>
            </w:tcMar>
            <w:vAlign w:val="center"/>
          </w:tcPr>
          <w:p>
            <w:pPr>
              <w:spacing w:after="0"/>
            </w:pPr>
            <w:r>
              <w:rPr>
                <w:b/>
                <w:color w:val="FFFFFF"/>
                <w:sz w:val="18"/>
              </w:rPr>
              <w:t>Approved planning value</w:t>
            </w:r>
          </w:p>
        </w:tc>
        <w:tc>
          <w:tcPr>
            <w:tcW w:type="dxa" w:w="1500"/>
            <w:shd w:fill="2E74B5"/>
            <w:tcMar>
              <w:top w:w="80" w:type="dxa"/>
              <w:start w:w="120" w:type="dxa"/>
              <w:bottom w:w="80" w:type="dxa"/>
              <w:end w:w="120" w:type="dxa"/>
            </w:tcMar>
            <w:vAlign w:val="center"/>
          </w:tcPr>
          <w:p>
            <w:pPr>
              <w:spacing w:after="0"/>
            </w:pPr>
            <w:r>
              <w:rPr>
                <w:b/>
                <w:color w:val="FFFFFF"/>
                <w:sz w:val="18"/>
              </w:rPr>
              <w:t>Status</w:t>
            </w:r>
          </w:p>
        </w:tc>
      </w:tr>
      <w:tr>
        <w:tc>
          <w:tcPr>
            <w:tcW w:type="dxa" w:w="2200"/>
            <w:tcMar>
              <w:top w:w="80" w:type="dxa"/>
              <w:start w:w="120" w:type="dxa"/>
              <w:bottom w:w="80" w:type="dxa"/>
              <w:end w:w="120" w:type="dxa"/>
            </w:tcMar>
            <w:vAlign w:val="center"/>
          </w:tcPr>
          <w:p>
            <w:pPr>
              <w:spacing w:after="0"/>
            </w:pPr>
            <w:r>
              <w:rPr>
                <w:sz w:val="18"/>
              </w:rPr>
              <w:t>Clinic tenants</w:t>
            </w:r>
          </w:p>
        </w:tc>
        <w:tc>
          <w:tcPr>
            <w:tcW w:type="dxa" w:w="5660"/>
            <w:tcMar>
              <w:top w:w="80" w:type="dxa"/>
              <w:start w:w="120" w:type="dxa"/>
              <w:bottom w:w="80" w:type="dxa"/>
              <w:end w:w="120" w:type="dxa"/>
            </w:tcMar>
            <w:vAlign w:val="center"/>
          </w:tcPr>
          <w:p>
            <w:pPr>
              <w:spacing w:after="0"/>
            </w:pPr>
            <w:r>
              <w:rPr>
                <w:sz w:val="18"/>
              </w:rPr>
              <w:t>10 in year one; 50 by year three</w:t>
            </w:r>
          </w:p>
        </w:tc>
        <w:tc>
          <w:tcPr>
            <w:tcW w:type="dxa" w:w="1500"/>
            <w:tcMar>
              <w:top w:w="80" w:type="dxa"/>
              <w:start w:w="120" w:type="dxa"/>
              <w:bottom w:w="80" w:type="dxa"/>
              <w:end w:w="120" w:type="dxa"/>
            </w:tcMar>
            <w:vAlign w:val="center"/>
          </w:tcPr>
          <w:p>
            <w:pPr>
              <w:spacing w:after="0"/>
            </w:pPr>
            <w:r>
              <w:rPr>
                <w:sz w:val="18"/>
              </w:rPr>
              <w:t>Confirmed</w:t>
            </w:r>
          </w:p>
        </w:tc>
      </w:tr>
      <w:tr>
        <w:tc>
          <w:tcPr>
            <w:tcW w:type="dxa" w:w="2200"/>
            <w:tcMar>
              <w:top w:w="80" w:type="dxa"/>
              <w:start w:w="120" w:type="dxa"/>
              <w:bottom w:w="80" w:type="dxa"/>
              <w:end w:w="120" w:type="dxa"/>
            </w:tcMar>
            <w:vAlign w:val="center"/>
          </w:tcPr>
          <w:p>
            <w:pPr>
              <w:spacing w:after="0"/>
            </w:pPr>
            <w:r>
              <w:rPr>
                <w:sz w:val="18"/>
              </w:rPr>
              <w:t>Typical clinic</w:t>
            </w:r>
          </w:p>
        </w:tc>
        <w:tc>
          <w:tcPr>
            <w:tcW w:type="dxa" w:w="5660"/>
            <w:tcMar>
              <w:top w:w="80" w:type="dxa"/>
              <w:start w:w="120" w:type="dxa"/>
              <w:bottom w:w="80" w:type="dxa"/>
              <w:end w:w="120" w:type="dxa"/>
            </w:tcMar>
            <w:vAlign w:val="center"/>
          </w:tcPr>
          <w:p>
            <w:pPr>
              <w:spacing w:after="0"/>
            </w:pPr>
            <w:r>
              <w:rPr>
                <w:sz w:val="18"/>
              </w:rPr>
              <w:t>1-20 staff; fewer than 10 branches</w:t>
            </w:r>
          </w:p>
        </w:tc>
        <w:tc>
          <w:tcPr>
            <w:tcW w:type="dxa" w:w="1500"/>
            <w:tcMar>
              <w:top w:w="80" w:type="dxa"/>
              <w:start w:w="120" w:type="dxa"/>
              <w:bottom w:w="80" w:type="dxa"/>
              <w:end w:w="120" w:type="dxa"/>
            </w:tcMar>
            <w:vAlign w:val="center"/>
          </w:tcPr>
          <w:p>
            <w:pPr>
              <w:spacing w:after="0"/>
            </w:pPr>
            <w:r>
              <w:rPr>
                <w:sz w:val="18"/>
              </w:rPr>
              <w:t>Confirmed</w:t>
            </w:r>
          </w:p>
        </w:tc>
      </w:tr>
      <w:tr>
        <w:tc>
          <w:tcPr>
            <w:tcW w:type="dxa" w:w="2200"/>
            <w:tcMar>
              <w:top w:w="80" w:type="dxa"/>
              <w:start w:w="120" w:type="dxa"/>
              <w:bottom w:w="80" w:type="dxa"/>
              <w:end w:w="120" w:type="dxa"/>
            </w:tcMar>
            <w:vAlign w:val="center"/>
          </w:tcPr>
          <w:p>
            <w:pPr>
              <w:spacing w:after="0"/>
            </w:pPr>
            <w:r>
              <w:rPr>
                <w:sz w:val="18"/>
              </w:rPr>
              <w:t>Normal tenant capacity</w:t>
            </w:r>
          </w:p>
        </w:tc>
        <w:tc>
          <w:tcPr>
            <w:tcW w:type="dxa" w:w="5660"/>
            <w:tcMar>
              <w:top w:w="80" w:type="dxa"/>
              <w:start w:w="120" w:type="dxa"/>
              <w:bottom w:w="80" w:type="dxa"/>
              <w:end w:w="120" w:type="dxa"/>
            </w:tcMar>
            <w:vAlign w:val="center"/>
          </w:tcPr>
          <w:p>
            <w:pPr>
              <w:spacing w:after="0"/>
            </w:pPr>
            <w:r>
              <w:rPr>
                <w:sz w:val="18"/>
              </w:rPr>
              <w:t>Up to 100,000 registered patients; about 100 appointments/day</w:t>
            </w:r>
          </w:p>
        </w:tc>
        <w:tc>
          <w:tcPr>
            <w:tcW w:type="dxa" w:w="1500"/>
            <w:tcMar>
              <w:top w:w="80" w:type="dxa"/>
              <w:start w:w="120" w:type="dxa"/>
              <w:bottom w:w="80" w:type="dxa"/>
              <w:end w:w="120" w:type="dxa"/>
            </w:tcMar>
            <w:vAlign w:val="center"/>
          </w:tcPr>
          <w:p>
            <w:pPr>
              <w:spacing w:after="0"/>
            </w:pPr>
            <w:r>
              <w:rPr>
                <w:sz w:val="18"/>
              </w:rPr>
              <w:t>Confirmed</w:t>
            </w:r>
          </w:p>
        </w:tc>
      </w:tr>
      <w:tr>
        <w:tc>
          <w:tcPr>
            <w:tcW w:type="dxa" w:w="2200"/>
            <w:tcMar>
              <w:top w:w="80" w:type="dxa"/>
              <w:start w:w="120" w:type="dxa"/>
              <w:bottom w:w="80" w:type="dxa"/>
              <w:end w:w="120" w:type="dxa"/>
            </w:tcMar>
            <w:vAlign w:val="center"/>
          </w:tcPr>
          <w:p>
            <w:pPr>
              <w:spacing w:after="0"/>
            </w:pPr>
            <w:r>
              <w:rPr>
                <w:sz w:val="18"/>
              </w:rPr>
              <w:t>Large owner tenant</w:t>
            </w:r>
          </w:p>
        </w:tc>
        <w:tc>
          <w:tcPr>
            <w:tcW w:type="dxa" w:w="5660"/>
            <w:tcMar>
              <w:top w:w="80" w:type="dxa"/>
              <w:start w:w="120" w:type="dxa"/>
              <w:bottom w:w="80" w:type="dxa"/>
              <w:end w:w="120" w:type="dxa"/>
            </w:tcMar>
            <w:vAlign w:val="center"/>
          </w:tcPr>
          <w:p>
            <w:pPr>
              <w:spacing w:after="0"/>
            </w:pPr>
            <w:r>
              <w:rPr>
                <w:sz w:val="18"/>
              </w:rPr>
              <w:t>About 20x normal data; about 2,000 appointments/day</w:t>
            </w:r>
          </w:p>
        </w:tc>
        <w:tc>
          <w:tcPr>
            <w:tcW w:type="dxa" w:w="1500"/>
            <w:tcMar>
              <w:top w:w="80" w:type="dxa"/>
              <w:start w:w="120" w:type="dxa"/>
              <w:bottom w:w="80" w:type="dxa"/>
              <w:end w:w="120" w:type="dxa"/>
            </w:tcMar>
            <w:vAlign w:val="center"/>
          </w:tcPr>
          <w:p>
            <w:pPr>
              <w:spacing w:after="0"/>
            </w:pPr>
            <w:r>
              <w:rPr>
                <w:sz w:val="18"/>
              </w:rPr>
              <w:t>Confirmed</w:t>
            </w:r>
          </w:p>
        </w:tc>
      </w:tr>
      <w:tr>
        <w:tc>
          <w:tcPr>
            <w:tcW w:type="dxa" w:w="2200"/>
            <w:tcMar>
              <w:top w:w="80" w:type="dxa"/>
              <w:start w:w="120" w:type="dxa"/>
              <w:bottom w:w="80" w:type="dxa"/>
              <w:end w:w="120" w:type="dxa"/>
            </w:tcMar>
            <w:vAlign w:val="center"/>
          </w:tcPr>
          <w:p>
            <w:pPr>
              <w:spacing w:after="0"/>
            </w:pPr>
            <w:r>
              <w:rPr>
                <w:sz w:val="18"/>
              </w:rPr>
              <w:t>Onboarding</w:t>
            </w:r>
          </w:p>
        </w:tc>
        <w:tc>
          <w:tcPr>
            <w:tcW w:type="dxa" w:w="5660"/>
            <w:tcMar>
              <w:top w:w="80" w:type="dxa"/>
              <w:start w:w="120" w:type="dxa"/>
              <w:bottom w:w="80" w:type="dxa"/>
              <w:end w:w="120" w:type="dxa"/>
            </w:tcMar>
            <w:vAlign w:val="center"/>
          </w:tcPr>
          <w:p>
            <w:pPr>
              <w:spacing w:after="0"/>
            </w:pPr>
            <w:r>
              <w:rPr>
                <w:sz w:val="18"/>
              </w:rPr>
              <w:t>Clinic-submitted or operator-created application; platform approval before activation</w:t>
            </w:r>
          </w:p>
        </w:tc>
        <w:tc>
          <w:tcPr>
            <w:tcW w:type="dxa" w:w="1500"/>
            <w:tcMar>
              <w:top w:w="80" w:type="dxa"/>
              <w:start w:w="120" w:type="dxa"/>
              <w:bottom w:w="80" w:type="dxa"/>
              <w:end w:w="120" w:type="dxa"/>
            </w:tcMar>
            <w:vAlign w:val="center"/>
          </w:tcPr>
          <w:p>
            <w:pPr>
              <w:spacing w:after="0"/>
            </w:pPr>
            <w:r>
              <w:rPr>
                <w:sz w:val="18"/>
              </w:rPr>
              <w:t>Confirmed</w:t>
            </w:r>
          </w:p>
        </w:tc>
      </w:tr>
      <w:tr>
        <w:tc>
          <w:tcPr>
            <w:tcW w:type="dxa" w:w="2200"/>
            <w:tcMar>
              <w:top w:w="80" w:type="dxa"/>
              <w:start w:w="120" w:type="dxa"/>
              <w:bottom w:w="80" w:type="dxa"/>
              <w:end w:w="120" w:type="dxa"/>
            </w:tcMar>
            <w:vAlign w:val="center"/>
          </w:tcPr>
          <w:p>
            <w:pPr>
              <w:spacing w:after="0"/>
            </w:pPr>
            <w:r>
              <w:rPr>
                <w:sz w:val="18"/>
              </w:rPr>
              <w:t>Branch configuration</w:t>
            </w:r>
          </w:p>
        </w:tc>
        <w:tc>
          <w:tcPr>
            <w:tcW w:type="dxa" w:w="5660"/>
            <w:tcMar>
              <w:top w:w="80" w:type="dxa"/>
              <w:start w:w="120" w:type="dxa"/>
              <w:bottom w:w="80" w:type="dxa"/>
              <w:end w:w="120" w:type="dxa"/>
            </w:tcMar>
            <w:vAlign w:val="center"/>
          </w:tcPr>
          <w:p>
            <w:pPr>
              <w:spacing w:after="0"/>
            </w:pPr>
            <w:r>
              <w:rPr>
                <w:sz w:val="18"/>
              </w:rPr>
              <w:t>Authorized branch administrator; no platform approval</w:t>
            </w:r>
          </w:p>
        </w:tc>
        <w:tc>
          <w:tcPr>
            <w:tcW w:type="dxa" w:w="1500"/>
            <w:tcMar>
              <w:top w:w="80" w:type="dxa"/>
              <w:start w:w="120" w:type="dxa"/>
              <w:bottom w:w="80" w:type="dxa"/>
              <w:end w:w="120" w:type="dxa"/>
            </w:tcMar>
            <w:vAlign w:val="center"/>
          </w:tcPr>
          <w:p>
            <w:pPr>
              <w:spacing w:after="0"/>
            </w:pPr>
            <w:r>
              <w:rPr>
                <w:sz w:val="18"/>
              </w:rPr>
              <w:t>Confirmed</w:t>
            </w:r>
          </w:p>
        </w:tc>
      </w:tr>
    </w:tbl>
    <w:p>
      <w:pPr>
        <w:spacing w:after="40"/>
      </w:pPr>
    </w:p>
    <w:p>
      <w:pPr>
        <w:pStyle w:val="Heading1"/>
      </w:pPr>
      <w:r>
        <w:t>2. Product and architecture decisions</w:t>
      </w:r>
    </w:p>
    <w:p>
      <w:pPr>
        <w:pStyle w:val="ListBullet"/>
      </w:pPr>
      <w:r>
        <w:t>Use the SDTS.ERP2026 modular-monolith pattern with BookDoc2026 namespaces and module-owned schemas.</w:t>
      </w:r>
    </w:p>
    <w:p>
      <w:pPr>
        <w:pStyle w:val="ListBullet"/>
      </w:pPr>
      <w:r>
        <w:t>Use Tenant -&gt; Organization -&gt; Branch as the durable commercial and security hierarchy.</w:t>
      </w:r>
    </w:p>
    <w:p>
      <w:pPr>
        <w:pStyle w:val="ListBullet"/>
      </w:pPr>
      <w:r>
        <w:t>Keep platform-operator control-plane access separate from clinic Admin, Portal and patient experiences.</w:t>
      </w:r>
    </w:p>
    <w:p>
      <w:pPr>
        <w:pStyle w:val="ListBullet"/>
      </w:pPr>
      <w:r>
        <w:t>Use one SQL Server database initially with mandatory tenant scope; database-per-tenant is not assumed.</w:t>
      </w:r>
    </w:p>
    <w:p>
      <w:pPr>
        <w:pStyle w:val="ListBullet"/>
      </w:pPr>
      <w:r>
        <w:t>API owns commands, permissions, monitoring and administration. Production durable work runs in a separate Worker process.</w:t>
      </w:r>
    </w:p>
    <w:p>
      <w:pPr>
        <w:pStyle w:val="ListBullet"/>
      </w:pPr>
      <w:r>
        <w:t>Admin owns report management and scheduling; Portal exposes permission-approved operational reports.</w:t>
      </w:r>
    </w:p>
    <w:p>
      <w:pPr>
        <w:pStyle w:val="ListBullet"/>
      </w:pPr>
      <w:r>
        <w:t>Browser/PDF is normal printing. A constrained local agent may later print only receipts, queue slips and labels.</w:t>
      </w:r>
    </w:p>
    <w:p>
      <w:pPr>
        <w:pStyle w:val="ListBullet"/>
      </w:pPr>
      <w:r>
        <w:t>MAUI starts with patient journeys after stable APIs; staff stages follow field validation.</w:t>
      </w:r>
    </w:p>
    <w:p>
      <w:pPr>
        <w:pStyle w:val="Heading1"/>
      </w:pPr>
      <w:r>
        <w:t>3. Clinic onboarding and branch governance</w:t>
      </w:r>
    </w:p>
    <w:p>
      <w:pPr>
        <w:pStyle w:val="ListNumber"/>
      </w:pPr>
      <w:r>
        <w:t>A clinic applicant submits an onboarding form and secured evidence, or a platform operator directly creates the application.</w:t>
      </w:r>
    </w:p>
    <w:p>
      <w:pPr>
        <w:pStyle w:val="ListNumber"/>
      </w:pPr>
      <w:r>
        <w:t>The system resolves the current platform-managed document-type requirements for jurisdiction and clinic type.</w:t>
      </w:r>
    </w:p>
    <w:p>
      <w:pPr>
        <w:pStyle w:val="ListNumber"/>
      </w:pPr>
      <w:r>
        <w:t>A platform operator reviews evidence, records reasons and explicitly approves, rejects or requests resubmission.</w:t>
      </w:r>
    </w:p>
    <w:p>
      <w:pPr>
        <w:pStyle w:val="ListNumber"/>
      </w:pPr>
      <w:r>
        <w:t>Approval provisions the isolated tenant and first owner; submission alone creates no active tenant access.</w:t>
      </w:r>
    </w:p>
    <w:p>
      <w:pPr>
        <w:pStyle w:val="ListNumber"/>
      </w:pPr>
      <w:r>
        <w:t>Authorized branch administrators manage allow-listed branch branding and invoice/receipt numbering with branch scope, version and audit controls.</w:t>
      </w:r>
    </w:p>
    <w:p>
      <w:pPr>
        <w:pStyle w:val="ListNumber"/>
      </w:pPr>
      <w:r>
        <w:t>Domains and communication identities remain unusable until required provider/legal verification succeeds; no BOOKDOC platform approval is required.</w:t>
      </w:r>
    </w:p>
    <w:tbl>
      <w:tblPr>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pPr>
              <w:pStyle w:val="Callout"/>
            </w:pPr>
            <w:r>
              <w:rPr>
                <w:b/>
              </w:rPr>
              <w:t xml:space="preserve">Control: </w:t>
            </w:r>
            <w:r>
              <w:t>Only platform operators may create, version, activate or retire onboarding document types. Files remain in secured document storage with validation, malware/quarantine state, hashing, access audit, expiry and replacement lineage.</w:t>
            </w:r>
          </w:p>
        </w:tc>
      </w:tr>
    </w:tbl>
    <w:p>
      <w:pPr>
        <w:spacing w:after="20"/>
      </w:pPr>
    </w:p>
    <w:p>
      <w:pPr>
        <w:pStyle w:val="Heading1"/>
      </w:pPr>
      <w:r>
        <w:t>4. Roles and host ownership</w:t>
      </w:r>
    </w:p>
    <w:tbl>
      <w:tblPr>
        <w:tblStyle w:val="TableGrid"/>
        <w:tblW w:type="dxa" w:w="9360"/>
        <w:jc w:val="left"/>
        <w:tblLayout w:type="fixed"/>
        <w:tblLook w:firstColumn="1" w:firstRow="1" w:lastColumn="0" w:lastRow="0" w:noHBand="0" w:noVBand="1" w:val="04A0"/>
        <w:tblInd w:w="120" w:type="dxa"/>
      </w:tblPr>
      <w:tblGrid>
        <w:gridCol w:w="1900"/>
        <w:gridCol w:w="2300"/>
        <w:gridCol w:w="3000"/>
        <w:gridCol w:w="2160"/>
      </w:tblGrid>
      <w:tr>
        <w:trPr>
          <w:tblHeader w:val="true"/>
        </w:trPr>
        <w:tc>
          <w:tcPr>
            <w:tcW w:type="dxa" w:w="1900"/>
            <w:shd w:fill="2E74B5"/>
            <w:tcMar>
              <w:top w:w="80" w:type="dxa"/>
              <w:start w:w="120" w:type="dxa"/>
              <w:bottom w:w="80" w:type="dxa"/>
              <w:end w:w="120" w:type="dxa"/>
            </w:tcMar>
            <w:vAlign w:val="center"/>
          </w:tcPr>
          <w:p>
            <w:pPr>
              <w:spacing w:after="0"/>
            </w:pPr>
            <w:r>
              <w:rPr>
                <w:b/>
                <w:color w:val="FFFFFF"/>
                <w:sz w:val="17"/>
              </w:rPr>
              <w:t>Role</w:t>
            </w:r>
          </w:p>
        </w:tc>
        <w:tc>
          <w:tcPr>
            <w:tcW w:type="dxa" w:w="2300"/>
            <w:shd w:fill="2E74B5"/>
            <w:tcMar>
              <w:top w:w="80" w:type="dxa"/>
              <w:start w:w="120" w:type="dxa"/>
              <w:bottom w:w="80" w:type="dxa"/>
              <w:end w:w="120" w:type="dxa"/>
            </w:tcMar>
            <w:vAlign w:val="center"/>
          </w:tcPr>
          <w:p>
            <w:pPr>
              <w:spacing w:after="0"/>
            </w:pPr>
            <w:r>
              <w:rPr>
                <w:b/>
                <w:color w:val="FFFFFF"/>
                <w:sz w:val="17"/>
              </w:rPr>
              <w:t>Primary experience</w:t>
            </w:r>
          </w:p>
        </w:tc>
        <w:tc>
          <w:tcPr>
            <w:tcW w:type="dxa" w:w="3000"/>
            <w:shd w:fill="2E74B5"/>
            <w:tcMar>
              <w:top w:w="80" w:type="dxa"/>
              <w:start w:w="120" w:type="dxa"/>
              <w:bottom w:w="80" w:type="dxa"/>
              <w:end w:w="120" w:type="dxa"/>
            </w:tcMar>
            <w:vAlign w:val="center"/>
          </w:tcPr>
          <w:p>
            <w:pPr>
              <w:spacing w:after="0"/>
            </w:pPr>
            <w:r>
              <w:rPr>
                <w:b/>
                <w:color w:val="FFFFFF"/>
                <w:sz w:val="17"/>
              </w:rPr>
              <w:t>Key outcome</w:t>
            </w:r>
          </w:p>
        </w:tc>
        <w:tc>
          <w:tcPr>
            <w:tcW w:type="dxa" w:w="2160"/>
            <w:shd w:fill="2E74B5"/>
            <w:tcMar>
              <w:top w:w="80" w:type="dxa"/>
              <w:start w:w="120" w:type="dxa"/>
              <w:bottom w:w="80" w:type="dxa"/>
              <w:end w:w="120" w:type="dxa"/>
            </w:tcMar>
            <w:vAlign w:val="center"/>
          </w:tcPr>
          <w:p>
            <w:pPr>
              <w:spacing w:after="0"/>
            </w:pPr>
            <w:r>
              <w:rPr>
                <w:b/>
                <w:color w:val="FFFFFF"/>
                <w:sz w:val="17"/>
              </w:rPr>
              <w:t>Critical restriction</w:t>
            </w:r>
          </w:p>
        </w:tc>
      </w:tr>
      <w:tr>
        <w:tc>
          <w:tcPr>
            <w:tcW w:type="dxa" w:w="1900"/>
            <w:tcMar>
              <w:top w:w="80" w:type="dxa"/>
              <w:start w:w="120" w:type="dxa"/>
              <w:bottom w:w="80" w:type="dxa"/>
              <w:end w:w="120" w:type="dxa"/>
            </w:tcMar>
            <w:vAlign w:val="center"/>
          </w:tcPr>
          <w:p>
            <w:pPr>
              <w:spacing w:after="0"/>
            </w:pPr>
            <w:r>
              <w:rPr>
                <w:sz w:val="17"/>
              </w:rPr>
              <w:t>Platform operator</w:t>
            </w:r>
          </w:p>
        </w:tc>
        <w:tc>
          <w:tcPr>
            <w:tcW w:type="dxa" w:w="2300"/>
            <w:tcMar>
              <w:top w:w="80" w:type="dxa"/>
              <w:start w:w="120" w:type="dxa"/>
              <w:bottom w:w="80" w:type="dxa"/>
              <w:end w:w="120" w:type="dxa"/>
            </w:tcMar>
            <w:vAlign w:val="center"/>
          </w:tcPr>
          <w:p>
            <w:pPr>
              <w:spacing w:after="0"/>
            </w:pPr>
            <w:r>
              <w:rPr>
                <w:sz w:val="17"/>
              </w:rPr>
              <w:t>Control plane</w:t>
            </w:r>
          </w:p>
        </w:tc>
        <w:tc>
          <w:tcPr>
            <w:tcW w:type="dxa" w:w="3000"/>
            <w:tcMar>
              <w:top w:w="80" w:type="dxa"/>
              <w:start w:w="120" w:type="dxa"/>
              <w:bottom w:w="80" w:type="dxa"/>
              <w:end w:w="120" w:type="dxa"/>
            </w:tcMar>
            <w:vAlign w:val="center"/>
          </w:tcPr>
          <w:p>
            <w:pPr>
              <w:spacing w:after="0"/>
            </w:pPr>
            <w:r>
              <w:rPr>
                <w:sz w:val="17"/>
              </w:rPr>
              <w:t>Approve tenants; manage document types; monitor verification</w:t>
            </w:r>
          </w:p>
        </w:tc>
        <w:tc>
          <w:tcPr>
            <w:tcW w:type="dxa" w:w="2160"/>
            <w:tcMar>
              <w:top w:w="80" w:type="dxa"/>
              <w:start w:w="120" w:type="dxa"/>
              <w:bottom w:w="80" w:type="dxa"/>
              <w:end w:w="120" w:type="dxa"/>
            </w:tcMar>
            <w:vAlign w:val="center"/>
          </w:tcPr>
          <w:p>
            <w:pPr>
              <w:spacing w:after="0"/>
            </w:pPr>
            <w:r>
              <w:rPr>
                <w:sz w:val="17"/>
              </w:rPr>
              <w:t>No standing clinical access</w:t>
            </w:r>
          </w:p>
        </w:tc>
      </w:tr>
      <w:tr>
        <w:tc>
          <w:tcPr>
            <w:tcW w:type="dxa" w:w="1900"/>
            <w:tcMar>
              <w:top w:w="80" w:type="dxa"/>
              <w:start w:w="120" w:type="dxa"/>
              <w:bottom w:w="80" w:type="dxa"/>
              <w:end w:w="120" w:type="dxa"/>
            </w:tcMar>
            <w:vAlign w:val="center"/>
          </w:tcPr>
          <w:p>
            <w:pPr>
              <w:spacing w:after="0"/>
            </w:pPr>
            <w:r>
              <w:rPr>
                <w:sz w:val="17"/>
              </w:rPr>
              <w:t>Clinic owner/admin</w:t>
            </w:r>
          </w:p>
        </w:tc>
        <w:tc>
          <w:tcPr>
            <w:tcW w:type="dxa" w:w="2300"/>
            <w:tcMar>
              <w:top w:w="80" w:type="dxa"/>
              <w:start w:w="120" w:type="dxa"/>
              <w:bottom w:w="80" w:type="dxa"/>
              <w:end w:w="120" w:type="dxa"/>
            </w:tcMar>
            <w:vAlign w:val="center"/>
          </w:tcPr>
          <w:p>
            <w:pPr>
              <w:spacing w:after="0"/>
            </w:pPr>
            <w:r>
              <w:rPr>
                <w:sz w:val="17"/>
              </w:rPr>
              <w:t>Admin + permitted Portal</w:t>
            </w:r>
          </w:p>
        </w:tc>
        <w:tc>
          <w:tcPr>
            <w:tcW w:type="dxa" w:w="3000"/>
            <w:tcMar>
              <w:top w:w="80" w:type="dxa"/>
              <w:start w:w="120" w:type="dxa"/>
              <w:bottom w:w="80" w:type="dxa"/>
              <w:end w:w="120" w:type="dxa"/>
            </w:tcMar>
            <w:vAlign w:val="center"/>
          </w:tcPr>
          <w:p>
            <w:pPr>
              <w:spacing w:after="0"/>
            </w:pPr>
            <w:r>
              <w:rPr>
                <w:sz w:val="17"/>
              </w:rPr>
              <w:t>Configure and govern own tenant/branches</w:t>
            </w:r>
          </w:p>
        </w:tc>
        <w:tc>
          <w:tcPr>
            <w:tcW w:type="dxa" w:w="2160"/>
            <w:tcMar>
              <w:top w:w="80" w:type="dxa"/>
              <w:start w:w="120" w:type="dxa"/>
              <w:bottom w:w="80" w:type="dxa"/>
              <w:end w:w="120" w:type="dxa"/>
            </w:tcMar>
            <w:vAlign w:val="center"/>
          </w:tcPr>
          <w:p>
            <w:pPr>
              <w:spacing w:after="0"/>
            </w:pPr>
            <w:r>
              <w:rPr>
                <w:sz w:val="17"/>
              </w:rPr>
              <w:t>No tenant activation or platform catalog control</w:t>
            </w:r>
          </w:p>
        </w:tc>
      </w:tr>
      <w:tr>
        <w:tc>
          <w:tcPr>
            <w:tcW w:type="dxa" w:w="1900"/>
            <w:tcMar>
              <w:top w:w="80" w:type="dxa"/>
              <w:start w:w="120" w:type="dxa"/>
              <w:bottom w:w="80" w:type="dxa"/>
              <w:end w:w="120" w:type="dxa"/>
            </w:tcMar>
            <w:vAlign w:val="center"/>
          </w:tcPr>
          <w:p>
            <w:pPr>
              <w:spacing w:after="0"/>
            </w:pPr>
            <w:r>
              <w:rPr>
                <w:sz w:val="17"/>
              </w:rPr>
              <w:t>Receptionist</w:t>
            </w:r>
          </w:p>
        </w:tc>
        <w:tc>
          <w:tcPr>
            <w:tcW w:type="dxa" w:w="2300"/>
            <w:tcMar>
              <w:top w:w="80" w:type="dxa"/>
              <w:start w:w="120" w:type="dxa"/>
              <w:bottom w:w="80" w:type="dxa"/>
              <w:end w:w="120" w:type="dxa"/>
            </w:tcMar>
            <w:vAlign w:val="center"/>
          </w:tcPr>
          <w:p>
            <w:pPr>
              <w:spacing w:after="0"/>
            </w:pPr>
            <w:r>
              <w:rPr>
                <w:sz w:val="17"/>
              </w:rPr>
              <w:t>Portal</w:t>
            </w:r>
          </w:p>
        </w:tc>
        <w:tc>
          <w:tcPr>
            <w:tcW w:type="dxa" w:w="3000"/>
            <w:tcMar>
              <w:top w:w="80" w:type="dxa"/>
              <w:start w:w="120" w:type="dxa"/>
              <w:bottom w:w="80" w:type="dxa"/>
              <w:end w:w="120" w:type="dxa"/>
            </w:tcMar>
            <w:vAlign w:val="center"/>
          </w:tcPr>
          <w:p>
            <w:pPr>
              <w:spacing w:after="0"/>
            </w:pPr>
            <w:r>
              <w:rPr>
                <w:sz w:val="17"/>
              </w:rPr>
              <w:t>Patients, booking, arrival and queue</w:t>
            </w:r>
          </w:p>
        </w:tc>
        <w:tc>
          <w:tcPr>
            <w:tcW w:type="dxa" w:w="2160"/>
            <w:tcMar>
              <w:top w:w="80" w:type="dxa"/>
              <w:start w:w="120" w:type="dxa"/>
              <w:bottom w:w="80" w:type="dxa"/>
              <w:end w:w="120" w:type="dxa"/>
            </w:tcMar>
            <w:vAlign w:val="center"/>
          </w:tcPr>
          <w:p>
            <w:pPr>
              <w:spacing w:after="0"/>
            </w:pPr>
            <w:r>
              <w:rPr>
                <w:sz w:val="17"/>
              </w:rPr>
              <w:t>Masked clinical/financial fields</w:t>
            </w:r>
          </w:p>
        </w:tc>
      </w:tr>
      <w:tr>
        <w:tc>
          <w:tcPr>
            <w:tcW w:type="dxa" w:w="1900"/>
            <w:tcMar>
              <w:top w:w="80" w:type="dxa"/>
              <w:start w:w="120" w:type="dxa"/>
              <w:bottom w:w="80" w:type="dxa"/>
              <w:end w:w="120" w:type="dxa"/>
            </w:tcMar>
            <w:vAlign w:val="center"/>
          </w:tcPr>
          <w:p>
            <w:pPr>
              <w:spacing w:after="0"/>
            </w:pPr>
            <w:r>
              <w:rPr>
                <w:sz w:val="17"/>
              </w:rPr>
              <w:t>Doctor/Orthopaedist</w:t>
            </w:r>
          </w:p>
        </w:tc>
        <w:tc>
          <w:tcPr>
            <w:tcW w:type="dxa" w:w="2300"/>
            <w:tcMar>
              <w:top w:w="80" w:type="dxa"/>
              <w:start w:w="120" w:type="dxa"/>
              <w:bottom w:w="80" w:type="dxa"/>
              <w:end w:w="120" w:type="dxa"/>
            </w:tcMar>
            <w:vAlign w:val="center"/>
          </w:tcPr>
          <w:p>
            <w:pPr>
              <w:spacing w:after="0"/>
            </w:pPr>
            <w:r>
              <w:rPr>
                <w:sz w:val="17"/>
              </w:rPr>
              <w:t>Portal; MAUI later</w:t>
            </w:r>
          </w:p>
        </w:tc>
        <w:tc>
          <w:tcPr>
            <w:tcW w:type="dxa" w:w="3000"/>
            <w:tcMar>
              <w:top w:w="80" w:type="dxa"/>
              <w:start w:w="120" w:type="dxa"/>
              <w:bottom w:w="80" w:type="dxa"/>
              <w:end w:w="120" w:type="dxa"/>
            </w:tcMar>
            <w:vAlign w:val="center"/>
          </w:tcPr>
          <w:p>
            <w:pPr>
              <w:spacing w:after="0"/>
            </w:pPr>
            <w:r>
              <w:rPr>
                <w:sz w:val="17"/>
              </w:rPr>
              <w:t>Encounter, prescription, investigation and sign</w:t>
            </w:r>
          </w:p>
        </w:tc>
        <w:tc>
          <w:tcPr>
            <w:tcW w:type="dxa" w:w="2160"/>
            <w:tcMar>
              <w:top w:w="80" w:type="dxa"/>
              <w:start w:w="120" w:type="dxa"/>
              <w:bottom w:w="80" w:type="dxa"/>
              <w:end w:w="120" w:type="dxa"/>
            </w:tcMar>
            <w:vAlign w:val="center"/>
          </w:tcPr>
          <w:p>
            <w:pPr>
              <w:spacing w:after="0"/>
            </w:pPr>
            <w:r>
              <w:rPr>
                <w:sz w:val="17"/>
              </w:rPr>
              <w:t>Care relationship and branch scope</w:t>
            </w:r>
          </w:p>
        </w:tc>
      </w:tr>
      <w:tr>
        <w:tc>
          <w:tcPr>
            <w:tcW w:type="dxa" w:w="1900"/>
            <w:tcMar>
              <w:top w:w="80" w:type="dxa"/>
              <w:start w:w="120" w:type="dxa"/>
              <w:bottom w:w="80" w:type="dxa"/>
              <w:end w:w="120" w:type="dxa"/>
            </w:tcMar>
            <w:vAlign w:val="center"/>
          </w:tcPr>
          <w:p>
            <w:pPr>
              <w:spacing w:after="0"/>
            </w:pPr>
            <w:r>
              <w:rPr>
                <w:sz w:val="17"/>
              </w:rPr>
              <w:t>Physiotherapist</w:t>
            </w:r>
          </w:p>
        </w:tc>
        <w:tc>
          <w:tcPr>
            <w:tcW w:type="dxa" w:w="2300"/>
            <w:tcMar>
              <w:top w:w="80" w:type="dxa"/>
              <w:start w:w="120" w:type="dxa"/>
              <w:bottom w:w="80" w:type="dxa"/>
              <w:end w:w="120" w:type="dxa"/>
            </w:tcMar>
            <w:vAlign w:val="center"/>
          </w:tcPr>
          <w:p>
            <w:pPr>
              <w:spacing w:after="0"/>
            </w:pPr>
            <w:r>
              <w:rPr>
                <w:sz w:val="17"/>
              </w:rPr>
              <w:t>Portal; MAUI later</w:t>
            </w:r>
          </w:p>
        </w:tc>
        <w:tc>
          <w:tcPr>
            <w:tcW w:type="dxa" w:w="3000"/>
            <w:tcMar>
              <w:top w:w="80" w:type="dxa"/>
              <w:start w:w="120" w:type="dxa"/>
              <w:bottom w:w="80" w:type="dxa"/>
              <w:end w:w="120" w:type="dxa"/>
            </w:tcMar>
            <w:vAlign w:val="center"/>
          </w:tcPr>
          <w:p>
            <w:pPr>
              <w:spacing w:after="0"/>
            </w:pPr>
            <w:r>
              <w:rPr>
                <w:sz w:val="17"/>
              </w:rPr>
              <w:t>Assessment, care plan, sessions and discharge</w:t>
            </w:r>
          </w:p>
        </w:tc>
        <w:tc>
          <w:tcPr>
            <w:tcW w:type="dxa" w:w="2160"/>
            <w:tcMar>
              <w:top w:w="80" w:type="dxa"/>
              <w:start w:w="120" w:type="dxa"/>
              <w:bottom w:w="80" w:type="dxa"/>
              <w:end w:w="120" w:type="dxa"/>
            </w:tcMar>
            <w:vAlign w:val="center"/>
          </w:tcPr>
          <w:p>
            <w:pPr>
              <w:spacing w:after="0"/>
            </w:pPr>
            <w:r>
              <w:rPr>
                <w:sz w:val="17"/>
              </w:rPr>
              <w:t>Prescription authority not implied</w:t>
            </w:r>
          </w:p>
        </w:tc>
      </w:tr>
      <w:tr>
        <w:tc>
          <w:tcPr>
            <w:tcW w:type="dxa" w:w="1900"/>
            <w:tcMar>
              <w:top w:w="80" w:type="dxa"/>
              <w:start w:w="120" w:type="dxa"/>
              <w:bottom w:w="80" w:type="dxa"/>
              <w:end w:w="120" w:type="dxa"/>
            </w:tcMar>
            <w:vAlign w:val="center"/>
          </w:tcPr>
          <w:p>
            <w:pPr>
              <w:spacing w:after="0"/>
            </w:pPr>
            <w:r>
              <w:rPr>
                <w:sz w:val="17"/>
              </w:rPr>
              <w:t>Nurse</w:t>
            </w:r>
          </w:p>
        </w:tc>
        <w:tc>
          <w:tcPr>
            <w:tcW w:type="dxa" w:w="2300"/>
            <w:tcMar>
              <w:top w:w="80" w:type="dxa"/>
              <w:start w:w="120" w:type="dxa"/>
              <w:bottom w:w="80" w:type="dxa"/>
              <w:end w:w="120" w:type="dxa"/>
            </w:tcMar>
            <w:vAlign w:val="center"/>
          </w:tcPr>
          <w:p>
            <w:pPr>
              <w:spacing w:after="0"/>
            </w:pPr>
            <w:r>
              <w:rPr>
                <w:sz w:val="17"/>
              </w:rPr>
              <w:t>Portal; MAUI later</w:t>
            </w:r>
          </w:p>
        </w:tc>
        <w:tc>
          <w:tcPr>
            <w:tcW w:type="dxa" w:w="3000"/>
            <w:tcMar>
              <w:top w:w="80" w:type="dxa"/>
              <w:start w:w="120" w:type="dxa"/>
              <w:bottom w:w="80" w:type="dxa"/>
              <w:end w:w="120" w:type="dxa"/>
            </w:tcMar>
            <w:vAlign w:val="center"/>
          </w:tcPr>
          <w:p>
            <w:pPr>
              <w:spacing w:after="0"/>
            </w:pPr>
            <w:r>
              <w:rPr>
                <w:sz w:val="17"/>
              </w:rPr>
              <w:t>Vitals, queues and assigned tasks</w:t>
            </w:r>
          </w:p>
        </w:tc>
        <w:tc>
          <w:tcPr>
            <w:tcW w:type="dxa" w:w="2160"/>
            <w:tcMar>
              <w:top w:w="80" w:type="dxa"/>
              <w:start w:w="120" w:type="dxa"/>
              <w:bottom w:w="80" w:type="dxa"/>
              <w:end w:w="120" w:type="dxa"/>
            </w:tcMar>
            <w:vAlign w:val="center"/>
          </w:tcPr>
          <w:p>
            <w:pPr>
              <w:spacing w:after="0"/>
            </w:pPr>
            <w:r>
              <w:rPr>
                <w:sz w:val="17"/>
              </w:rPr>
              <w:t>Signing/prescribing separately granted</w:t>
            </w:r>
          </w:p>
        </w:tc>
      </w:tr>
      <w:tr>
        <w:tc>
          <w:tcPr>
            <w:tcW w:type="dxa" w:w="1900"/>
            <w:tcMar>
              <w:top w:w="80" w:type="dxa"/>
              <w:start w:w="120" w:type="dxa"/>
              <w:bottom w:w="80" w:type="dxa"/>
              <w:end w:w="120" w:type="dxa"/>
            </w:tcMar>
            <w:vAlign w:val="center"/>
          </w:tcPr>
          <w:p>
            <w:pPr>
              <w:spacing w:after="0"/>
            </w:pPr>
            <w:r>
              <w:rPr>
                <w:sz w:val="17"/>
              </w:rPr>
              <w:t>Cashier</w:t>
            </w:r>
          </w:p>
        </w:tc>
        <w:tc>
          <w:tcPr>
            <w:tcW w:type="dxa" w:w="2300"/>
            <w:tcMar>
              <w:top w:w="80" w:type="dxa"/>
              <w:start w:w="120" w:type="dxa"/>
              <w:bottom w:w="80" w:type="dxa"/>
              <w:end w:w="120" w:type="dxa"/>
            </w:tcMar>
            <w:vAlign w:val="center"/>
          </w:tcPr>
          <w:p>
            <w:pPr>
              <w:spacing w:after="0"/>
            </w:pPr>
            <w:r>
              <w:rPr>
                <w:sz w:val="17"/>
              </w:rPr>
              <w:t>Portal</w:t>
            </w:r>
          </w:p>
        </w:tc>
        <w:tc>
          <w:tcPr>
            <w:tcW w:type="dxa" w:w="3000"/>
            <w:tcMar>
              <w:top w:w="80" w:type="dxa"/>
              <w:start w:w="120" w:type="dxa"/>
              <w:bottom w:w="80" w:type="dxa"/>
              <w:end w:w="120" w:type="dxa"/>
            </w:tcMar>
            <w:vAlign w:val="center"/>
          </w:tcPr>
          <w:p>
            <w:pPr>
              <w:spacing w:after="0"/>
            </w:pPr>
            <w:r>
              <w:rPr>
                <w:sz w:val="17"/>
              </w:rPr>
              <w:t>Invoice, payment, receipt and close</w:t>
            </w:r>
          </w:p>
        </w:tc>
        <w:tc>
          <w:tcPr>
            <w:tcW w:type="dxa" w:w="2160"/>
            <w:tcMar>
              <w:top w:w="80" w:type="dxa"/>
              <w:start w:w="120" w:type="dxa"/>
              <w:bottom w:w="80" w:type="dxa"/>
              <w:end w:w="120" w:type="dxa"/>
            </w:tcMar>
            <w:vAlign w:val="center"/>
          </w:tcPr>
          <w:p>
            <w:pPr>
              <w:spacing w:after="0"/>
            </w:pPr>
            <w:r>
              <w:rPr>
                <w:sz w:val="17"/>
              </w:rPr>
              <w:t>Refund/discount approval separated</w:t>
            </w:r>
          </w:p>
        </w:tc>
      </w:tr>
      <w:tr>
        <w:tc>
          <w:tcPr>
            <w:tcW w:type="dxa" w:w="1900"/>
            <w:tcMar>
              <w:top w:w="80" w:type="dxa"/>
              <w:start w:w="120" w:type="dxa"/>
              <w:bottom w:w="80" w:type="dxa"/>
              <w:end w:w="120" w:type="dxa"/>
            </w:tcMar>
            <w:vAlign w:val="center"/>
          </w:tcPr>
          <w:p>
            <w:pPr>
              <w:spacing w:after="0"/>
            </w:pPr>
            <w:r>
              <w:rPr>
                <w:sz w:val="17"/>
              </w:rPr>
              <w:t>Radiology/Lab technician</w:t>
            </w:r>
          </w:p>
        </w:tc>
        <w:tc>
          <w:tcPr>
            <w:tcW w:type="dxa" w:w="2300"/>
            <w:tcMar>
              <w:top w:w="80" w:type="dxa"/>
              <w:start w:w="120" w:type="dxa"/>
              <w:bottom w:w="80" w:type="dxa"/>
              <w:end w:w="120" w:type="dxa"/>
            </w:tcMar>
            <w:vAlign w:val="center"/>
          </w:tcPr>
          <w:p>
            <w:pPr>
              <w:spacing w:after="0"/>
            </w:pPr>
            <w:r>
              <w:rPr>
                <w:sz w:val="17"/>
              </w:rPr>
              <w:t>Portal</w:t>
            </w:r>
          </w:p>
        </w:tc>
        <w:tc>
          <w:tcPr>
            <w:tcW w:type="dxa" w:w="3000"/>
            <w:tcMar>
              <w:top w:w="80" w:type="dxa"/>
              <w:start w:w="120" w:type="dxa"/>
              <w:bottom w:w="80" w:type="dxa"/>
              <w:end w:w="120" w:type="dxa"/>
            </w:tcMar>
            <w:vAlign w:val="center"/>
          </w:tcPr>
          <w:p>
            <w:pPr>
              <w:spacing w:after="0"/>
            </w:pPr>
            <w:r>
              <w:rPr>
                <w:sz w:val="17"/>
              </w:rPr>
              <w:t>Department worklist and status</w:t>
            </w:r>
          </w:p>
        </w:tc>
        <w:tc>
          <w:tcPr>
            <w:tcW w:type="dxa" w:w="2160"/>
            <w:tcMar>
              <w:top w:w="80" w:type="dxa"/>
              <w:start w:w="120" w:type="dxa"/>
              <w:bottom w:w="80" w:type="dxa"/>
              <w:end w:w="120" w:type="dxa"/>
            </w:tcMar>
            <w:vAlign w:val="center"/>
          </w:tcPr>
          <w:p>
            <w:pPr>
              <w:spacing w:after="0"/>
            </w:pPr>
            <w:r>
              <w:rPr>
                <w:sz w:val="17"/>
              </w:rPr>
              <w:t>Verification/release separately granted</w:t>
            </w:r>
          </w:p>
        </w:tc>
      </w:tr>
      <w:tr>
        <w:tc>
          <w:tcPr>
            <w:tcW w:type="dxa" w:w="1900"/>
            <w:tcMar>
              <w:top w:w="80" w:type="dxa"/>
              <w:start w:w="120" w:type="dxa"/>
              <w:bottom w:w="80" w:type="dxa"/>
              <w:end w:w="120" w:type="dxa"/>
            </w:tcMar>
            <w:vAlign w:val="center"/>
          </w:tcPr>
          <w:p>
            <w:pPr>
              <w:spacing w:after="0"/>
            </w:pPr>
            <w:r>
              <w:rPr>
                <w:sz w:val="17"/>
              </w:rPr>
              <w:t>Patient</w:t>
            </w:r>
          </w:p>
        </w:tc>
        <w:tc>
          <w:tcPr>
            <w:tcW w:type="dxa" w:w="2300"/>
            <w:tcMar>
              <w:top w:w="80" w:type="dxa"/>
              <w:start w:w="120" w:type="dxa"/>
              <w:bottom w:w="80" w:type="dxa"/>
              <w:end w:w="120" w:type="dxa"/>
            </w:tcMar>
            <w:vAlign w:val="center"/>
          </w:tcPr>
          <w:p>
            <w:pPr>
              <w:spacing w:after="0"/>
            </w:pPr>
            <w:r>
              <w:rPr>
                <w:sz w:val="17"/>
              </w:rPr>
              <w:t>Patient Portal + MAUI</w:t>
            </w:r>
          </w:p>
        </w:tc>
        <w:tc>
          <w:tcPr>
            <w:tcW w:type="dxa" w:w="3000"/>
            <w:tcMar>
              <w:top w:w="80" w:type="dxa"/>
              <w:start w:w="120" w:type="dxa"/>
              <w:bottom w:w="80" w:type="dxa"/>
              <w:end w:w="120" w:type="dxa"/>
            </w:tcMar>
            <w:vAlign w:val="center"/>
          </w:tcPr>
          <w:p>
            <w:pPr>
              <w:spacing w:after="0"/>
            </w:pPr>
            <w:r>
              <w:rPr>
                <w:sz w:val="17"/>
              </w:rPr>
              <w:t>Own bookings, queue, bills and released records</w:t>
            </w:r>
          </w:p>
        </w:tc>
        <w:tc>
          <w:tcPr>
            <w:tcW w:type="dxa" w:w="2160"/>
            <w:tcMar>
              <w:top w:w="80" w:type="dxa"/>
              <w:start w:w="120" w:type="dxa"/>
              <w:bottom w:w="80" w:type="dxa"/>
              <w:end w:w="120" w:type="dxa"/>
            </w:tcMar>
            <w:vAlign w:val="center"/>
          </w:tcPr>
          <w:p>
            <w:pPr>
              <w:spacing w:after="0"/>
            </w:pPr>
            <w:r>
              <w:rPr>
                <w:sz w:val="17"/>
              </w:rPr>
              <w:t>Self/approved representation only</w:t>
            </w:r>
          </w:p>
        </w:tc>
      </w:tr>
    </w:tbl>
    <w:p>
      <w:pPr>
        <w:spacing w:after="40"/>
      </w:pPr>
    </w:p>
    <w:p>
      <w:pPr>
        <w:pStyle w:val="Heading1"/>
      </w:pPr>
      <w:r>
        <w:t>5. Specialty preparation</w:t>
      </w:r>
    </w:p>
    <w:p>
      <w:pPr>
        <w:pStyle w:val="Heading2"/>
      </w:pPr>
      <w:r>
        <w:t>5.1 Physiotherapy</w:t>
      </w:r>
    </w:p>
    <w:p>
      <w:r>
        <w:t>The specialty extension covers initial assessment, pain/range-of-motion/strength and functional baselines, goals-based care-plan versions, scheduled therapy courses, session documentation, exercise programs, reassessment and discharge/referral. Package consumption must never erase clinical session evidence.</w:t>
      </w:r>
    </w:p>
    <w:p>
      <w:pPr>
        <w:pStyle w:val="Heading2"/>
      </w:pPr>
      <w:r>
        <w:t>5.2 Orthopaedics</w:t>
      </w:r>
    </w:p>
    <w:p>
      <w:r>
        <w:t>The specialty extension covers musculoskeletal history and examination, body site and laterality, red flags, imaging/investigation order and review, diagnosis, medication, clinic procedures, physiotherapy referral, external surgery/hospital referral and follow-up. A schedule or proposal never proves that a procedure occurred.</w:t>
      </w: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vAlign w:val="center"/>
          </w:tcPr>
          <w:p>
            <w:pPr>
              <w:pStyle w:val="Callout"/>
            </w:pPr>
            <w:r>
              <w:rPr>
                <w:b/>
              </w:rPr>
              <w:t xml:space="preserve">Specialty gate: </w:t>
            </w:r>
            <w:r>
              <w:t>Ten anonymized acceptance cases per specialty, approved templates/outcome tools, professional permissions, red-flag behavior, consent, signing/amendment, documents and billing rules are required before clinical implementation.</w:t>
            </w:r>
          </w:p>
        </w:tc>
      </w:tr>
    </w:tbl>
    <w:p>
      <w:pPr>
        <w:spacing w:after="20"/>
      </w:pPr>
    </w:p>
    <w:p>
      <w:pPr>
        <w:pStyle w:val="Heading1"/>
      </w:pPr>
      <w:r>
        <w:t>6. Reporting, Worker and printing</w:t>
      </w:r>
    </w:p>
    <w:tbl>
      <w:tblPr>
        <w:tblStyle w:val="TableGrid"/>
        <w:tblW w:type="dxa" w:w="9360"/>
        <w:jc w:val="left"/>
        <w:tblLayout w:type="fixed"/>
        <w:tblLook w:firstColumn="1" w:firstRow="1" w:lastColumn="0" w:lastRow="0" w:noHBand="0" w:noVBand="1" w:val="04A0"/>
        <w:tblInd w:w="120" w:type="dxa"/>
      </w:tblPr>
      <w:tblGrid>
        <w:gridCol w:w="1600"/>
        <w:gridCol w:w="3400"/>
        <w:gridCol w:w="3200"/>
        <w:gridCol w:w="1160"/>
      </w:tblGrid>
      <w:tr>
        <w:trPr>
          <w:tblHeader w:val="true"/>
        </w:trPr>
        <w:tc>
          <w:tcPr>
            <w:tcW w:type="dxa" w:w="1600"/>
            <w:shd w:fill="2E74B5"/>
            <w:tcMar>
              <w:top w:w="80" w:type="dxa"/>
              <w:start w:w="120" w:type="dxa"/>
              <w:bottom w:w="80" w:type="dxa"/>
              <w:end w:w="120" w:type="dxa"/>
            </w:tcMar>
            <w:vAlign w:val="center"/>
          </w:tcPr>
          <w:p>
            <w:pPr>
              <w:spacing w:after="0"/>
            </w:pPr>
            <w:r>
              <w:rPr>
                <w:b/>
                <w:color w:val="FFFFFF"/>
                <w:sz w:val="17"/>
              </w:rPr>
              <w:t>Area</w:t>
            </w:r>
          </w:p>
        </w:tc>
        <w:tc>
          <w:tcPr>
            <w:tcW w:type="dxa" w:w="3400"/>
            <w:shd w:fill="2E74B5"/>
            <w:tcMar>
              <w:top w:w="80" w:type="dxa"/>
              <w:start w:w="120" w:type="dxa"/>
              <w:bottom w:w="80" w:type="dxa"/>
              <w:end w:w="120" w:type="dxa"/>
            </w:tcMar>
            <w:vAlign w:val="center"/>
          </w:tcPr>
          <w:p>
            <w:pPr>
              <w:spacing w:after="0"/>
            </w:pPr>
            <w:r>
              <w:rPr>
                <w:b/>
                <w:color w:val="FFFFFF"/>
                <w:sz w:val="17"/>
              </w:rPr>
              <w:t>Target decision</w:t>
            </w:r>
          </w:p>
        </w:tc>
        <w:tc>
          <w:tcPr>
            <w:tcW w:type="dxa" w:w="3200"/>
            <w:shd w:fill="2E74B5"/>
            <w:tcMar>
              <w:top w:w="80" w:type="dxa"/>
              <w:start w:w="120" w:type="dxa"/>
              <w:bottom w:w="80" w:type="dxa"/>
              <w:end w:w="120" w:type="dxa"/>
            </w:tcMar>
            <w:vAlign w:val="center"/>
          </w:tcPr>
          <w:p>
            <w:pPr>
              <w:spacing w:after="0"/>
            </w:pPr>
            <w:r>
              <w:rPr>
                <w:b/>
                <w:color w:val="FFFFFF"/>
                <w:sz w:val="17"/>
              </w:rPr>
              <w:t>Legacy retirement evidence</w:t>
            </w:r>
          </w:p>
        </w:tc>
        <w:tc>
          <w:tcPr>
            <w:tcW w:type="dxa" w:w="1160"/>
            <w:shd w:fill="2E74B5"/>
            <w:tcMar>
              <w:top w:w="80" w:type="dxa"/>
              <w:start w:w="120" w:type="dxa"/>
              <w:bottom w:w="80" w:type="dxa"/>
              <w:end w:w="120" w:type="dxa"/>
            </w:tcMar>
            <w:vAlign w:val="center"/>
          </w:tcPr>
          <w:p>
            <w:pPr>
              <w:spacing w:after="0"/>
            </w:pPr>
            <w:r>
              <w:rPr>
                <w:b/>
                <w:color w:val="FFFFFF"/>
                <w:sz w:val="17"/>
              </w:rPr>
              <w:t>Status</w:t>
            </w:r>
          </w:p>
        </w:tc>
      </w:tr>
      <w:tr>
        <w:tc>
          <w:tcPr>
            <w:tcW w:type="dxa" w:w="1600"/>
            <w:tcMar>
              <w:top w:w="80" w:type="dxa"/>
              <w:start w:w="120" w:type="dxa"/>
              <w:bottom w:w="80" w:type="dxa"/>
              <w:end w:w="120" w:type="dxa"/>
            </w:tcMar>
            <w:vAlign w:val="center"/>
          </w:tcPr>
          <w:p>
            <w:pPr>
              <w:spacing w:after="0"/>
            </w:pPr>
            <w:r>
              <w:rPr>
                <w:sz w:val="17"/>
              </w:rPr>
              <w:t>Backend Worker</w:t>
            </w:r>
          </w:p>
        </w:tc>
        <w:tc>
          <w:tcPr>
            <w:tcW w:type="dxa" w:w="3400"/>
            <w:tcMar>
              <w:top w:w="80" w:type="dxa"/>
              <w:start w:w="120" w:type="dxa"/>
              <w:bottom w:w="80" w:type="dxa"/>
              <w:end w:w="120" w:type="dxa"/>
            </w:tcMar>
            <w:vAlign w:val="center"/>
          </w:tcPr>
          <w:p>
            <w:pPr>
              <w:spacing w:after="0"/>
            </w:pPr>
            <w:r>
              <w:rPr>
                <w:sz w:val="17"/>
              </w:rPr>
              <w:t>Typed durable handlers; API-hosted development and separate production Worker</w:t>
            </w:r>
          </w:p>
        </w:tc>
        <w:tc>
          <w:tcPr>
            <w:tcW w:type="dxa" w:w="3200"/>
            <w:tcMar>
              <w:top w:w="80" w:type="dxa"/>
              <w:start w:w="120" w:type="dxa"/>
              <w:bottom w:w="80" w:type="dxa"/>
              <w:end w:w="120" w:type="dxa"/>
            </w:tcMar>
            <w:vAlign w:val="center"/>
          </w:tcPr>
          <w:p>
            <w:pPr>
              <w:spacing w:after="0"/>
            </w:pPr>
            <w:r>
              <w:rPr>
                <w:sz w:val="17"/>
              </w:rPr>
              <w:t>Task inventory, shadow/parallel run, retry/dead-letter/idempotency</w:t>
            </w:r>
          </w:p>
        </w:tc>
        <w:tc>
          <w:tcPr>
            <w:tcW w:type="dxa" w:w="1160"/>
            <w:shd w:fill="FFF2CC"/>
            <w:tcMar>
              <w:top w:w="80" w:type="dxa"/>
              <w:start w:w="120" w:type="dxa"/>
              <w:bottom w:w="80" w:type="dxa"/>
              <w:end w:w="120" w:type="dxa"/>
            </w:tcMar>
            <w:vAlign w:val="center"/>
          </w:tcPr>
          <w:p>
            <w:pPr>
              <w:spacing w:after="0"/>
            </w:pPr>
            <w:r>
              <w:rPr>
                <w:sz w:val="17"/>
              </w:rPr>
              <w:t>Proposed</w:t>
            </w:r>
          </w:p>
        </w:tc>
      </w:tr>
      <w:tr>
        <w:tc>
          <w:tcPr>
            <w:tcW w:type="dxa" w:w="1600"/>
            <w:tcMar>
              <w:top w:w="80" w:type="dxa"/>
              <w:start w:w="120" w:type="dxa"/>
              <w:bottom w:w="80" w:type="dxa"/>
              <w:end w:w="120" w:type="dxa"/>
            </w:tcMar>
            <w:vAlign w:val="center"/>
          </w:tcPr>
          <w:p>
            <w:pPr>
              <w:spacing w:after="0"/>
            </w:pPr>
            <w:r>
              <w:rPr>
                <w:sz w:val="17"/>
              </w:rPr>
              <w:t>Reporting</w:t>
            </w:r>
          </w:p>
        </w:tc>
        <w:tc>
          <w:tcPr>
            <w:tcW w:type="dxa" w:w="3400"/>
            <w:tcMar>
              <w:top w:w="80" w:type="dxa"/>
              <w:start w:w="120" w:type="dxa"/>
              <w:bottom w:w="80" w:type="dxa"/>
              <w:end w:w="120" w:type="dxa"/>
            </w:tcMar>
            <w:vAlign w:val="center"/>
          </w:tcPr>
          <w:p>
            <w:pPr>
              <w:spacing w:after="0"/>
            </w:pPr>
            <w:r>
              <w:rPr>
                <w:sz w:val="17"/>
              </w:rPr>
              <w:t>HTML preview, PDF, XLSX and CSV; Admin schedules; Portal operational catalog</w:t>
            </w:r>
          </w:p>
        </w:tc>
        <w:tc>
          <w:tcPr>
            <w:tcW w:type="dxa" w:w="3200"/>
            <w:tcMar>
              <w:top w:w="80" w:type="dxa"/>
              <w:start w:w="120" w:type="dxa"/>
              <w:bottom w:w="80" w:type="dxa"/>
              <w:end w:w="120" w:type="dxa"/>
            </w:tcMar>
            <w:vAlign w:val="center"/>
          </w:tcPr>
          <w:p>
            <w:pPr>
              <w:spacing w:after="0"/>
            </w:pPr>
            <w:r>
              <w:rPr>
                <w:sz w:val="17"/>
              </w:rPr>
              <w:t>45 primary layouts + 43 variants classified and golden-tested</w:t>
            </w:r>
          </w:p>
        </w:tc>
        <w:tc>
          <w:tcPr>
            <w:tcW w:type="dxa" w:w="1160"/>
            <w:shd w:fill="FFF2CC"/>
            <w:tcMar>
              <w:top w:w="80" w:type="dxa"/>
              <w:start w:w="120" w:type="dxa"/>
              <w:bottom w:w="80" w:type="dxa"/>
              <w:end w:w="120" w:type="dxa"/>
            </w:tcMar>
            <w:vAlign w:val="center"/>
          </w:tcPr>
          <w:p>
            <w:pPr>
              <w:spacing w:after="0"/>
            </w:pPr>
            <w:r>
              <w:rPr>
                <w:sz w:val="17"/>
              </w:rPr>
              <w:t>Proposed</w:t>
            </w:r>
          </w:p>
        </w:tc>
      </w:tr>
      <w:tr>
        <w:tc>
          <w:tcPr>
            <w:tcW w:type="dxa" w:w="1600"/>
            <w:tcMar>
              <w:top w:w="80" w:type="dxa"/>
              <w:start w:w="120" w:type="dxa"/>
              <w:bottom w:w="80" w:type="dxa"/>
              <w:end w:w="120" w:type="dxa"/>
            </w:tcMar>
            <w:vAlign w:val="center"/>
          </w:tcPr>
          <w:p>
            <w:pPr>
              <w:spacing w:after="0"/>
            </w:pPr>
            <w:r>
              <w:rPr>
                <w:sz w:val="17"/>
              </w:rPr>
              <w:t>Snapshots</w:t>
            </w:r>
          </w:p>
        </w:tc>
        <w:tc>
          <w:tcPr>
            <w:tcW w:type="dxa" w:w="3400"/>
            <w:tcMar>
              <w:top w:w="80" w:type="dxa"/>
              <w:start w:w="120" w:type="dxa"/>
              <w:bottom w:w="80" w:type="dxa"/>
              <w:end w:w="120" w:type="dxa"/>
            </w:tcMar>
            <w:vAlign w:val="center"/>
          </w:tcPr>
          <w:p>
            <w:pPr>
              <w:spacing w:after="0"/>
            </w:pPr>
            <w:r>
              <w:rPr>
                <w:sz w:val="17"/>
              </w:rPr>
              <w:t>Regenerate operations; retain issued clinical/financial/official outputs</w:t>
            </w:r>
          </w:p>
        </w:tc>
        <w:tc>
          <w:tcPr>
            <w:tcW w:type="dxa" w:w="3200"/>
            <w:tcMar>
              <w:top w:w="80" w:type="dxa"/>
              <w:start w:w="120" w:type="dxa"/>
              <w:bottom w:w="80" w:type="dxa"/>
              <w:end w:w="120" w:type="dxa"/>
            </w:tcMar>
            <w:vAlign w:val="center"/>
          </w:tcPr>
          <w:p>
            <w:pPr>
              <w:spacing w:after="0"/>
            </w:pPr>
            <w:r>
              <w:rPr>
                <w:sz w:val="17"/>
              </w:rPr>
              <w:t>Historical accessibility and retention approval</w:t>
            </w:r>
          </w:p>
        </w:tc>
        <w:tc>
          <w:tcPr>
            <w:tcW w:type="dxa" w:w="1160"/>
            <w:shd w:fill="FFF2CC"/>
            <w:tcMar>
              <w:top w:w="80" w:type="dxa"/>
              <w:start w:w="120" w:type="dxa"/>
              <w:bottom w:w="80" w:type="dxa"/>
              <w:end w:w="120" w:type="dxa"/>
            </w:tcMar>
            <w:vAlign w:val="center"/>
          </w:tcPr>
          <w:p>
            <w:pPr>
              <w:spacing w:after="0"/>
            </w:pPr>
            <w:r>
              <w:rPr>
                <w:sz w:val="17"/>
              </w:rPr>
              <w:t>Proposed</w:t>
            </w:r>
          </w:p>
        </w:tc>
      </w:tr>
      <w:tr>
        <w:tc>
          <w:tcPr>
            <w:tcW w:type="dxa" w:w="1600"/>
            <w:tcMar>
              <w:top w:w="80" w:type="dxa"/>
              <w:start w:w="120" w:type="dxa"/>
              <w:bottom w:w="80" w:type="dxa"/>
              <w:end w:w="120" w:type="dxa"/>
            </w:tcMar>
            <w:vAlign w:val="center"/>
          </w:tcPr>
          <w:p>
            <w:pPr>
              <w:spacing w:after="0"/>
            </w:pPr>
            <w:r>
              <w:rPr>
                <w:sz w:val="17"/>
              </w:rPr>
              <w:t>Printing</w:t>
            </w:r>
          </w:p>
        </w:tc>
        <w:tc>
          <w:tcPr>
            <w:tcW w:type="dxa" w:w="3400"/>
            <w:tcMar>
              <w:top w:w="80" w:type="dxa"/>
              <w:start w:w="120" w:type="dxa"/>
              <w:bottom w:w="80" w:type="dxa"/>
              <w:end w:w="120" w:type="dxa"/>
            </w:tcMar>
            <w:vAlign w:val="center"/>
          </w:tcPr>
          <w:p>
            <w:pPr>
              <w:spacing w:after="0"/>
            </w:pPr>
            <w:r>
              <w:rPr>
                <w:sz w:val="17"/>
              </w:rPr>
              <w:t>Browser/PDF first; agent only receipt/slip/label</w:t>
            </w:r>
          </w:p>
        </w:tc>
        <w:tc>
          <w:tcPr>
            <w:tcW w:type="dxa" w:w="3200"/>
            <w:tcMar>
              <w:top w:w="80" w:type="dxa"/>
              <w:start w:w="120" w:type="dxa"/>
              <w:bottom w:w="80" w:type="dxa"/>
              <w:end w:w="120" w:type="dxa"/>
            </w:tcMar>
            <w:vAlign w:val="center"/>
          </w:tcPr>
          <w:p>
            <w:pPr>
              <w:spacing w:after="0"/>
            </w:pPr>
            <w:r>
              <w:rPr>
                <w:sz w:val="17"/>
              </w:rPr>
              <w:t>Offline, duplicate, wrong-branch and printer evidence</w:t>
            </w:r>
          </w:p>
        </w:tc>
        <w:tc>
          <w:tcPr>
            <w:tcW w:type="dxa" w:w="1160"/>
            <w:shd w:fill="FFF2CC"/>
            <w:tcMar>
              <w:top w:w="80" w:type="dxa"/>
              <w:start w:w="120" w:type="dxa"/>
              <w:bottom w:w="80" w:type="dxa"/>
              <w:end w:w="120" w:type="dxa"/>
            </w:tcMar>
            <w:vAlign w:val="center"/>
          </w:tcPr>
          <w:p>
            <w:pPr>
              <w:spacing w:after="0"/>
            </w:pPr>
            <w:r>
              <w:rPr>
                <w:sz w:val="17"/>
              </w:rPr>
              <w:t>Deferred</w:t>
            </w:r>
          </w:p>
        </w:tc>
      </w:tr>
    </w:tbl>
    <w:p>
      <w:pPr>
        <w:spacing w:after="40"/>
      </w:pPr>
    </w:p>
    <w:p>
      <w:pPr>
        <w:pStyle w:val="Heading1"/>
      </w:pPr>
      <w:r>
        <w:t>7. India and Delhi preparation</w:t>
      </w:r>
    </w:p>
    <w:p>
      <w:r>
        <w:t>The pack uses the DPDP Act/Rules, ABDM Health Data Management Policy, EHR Standards for India and GST invoice rules as design inputs. Delhi establishment, professional registration, prescription, biomedical-waste, fire/building and diagnostic obligations require named legal and clinic review. The software will capture configurable evidence and expiry; it will not claim to certify compliance automatically.</w:t>
      </w:r>
    </w:p>
    <w:p>
      <w:pPr>
        <w:pStyle w:val="ListBullet"/>
      </w:pPr>
      <w:r>
        <w:t>MeitY DPDP Rules 2025: https://www.meity.gov.in/documents/act-and-policies/digital-personal-data-protection-rules-2025-gDOxUjMtQWa</w:t>
      </w:r>
    </w:p>
    <w:p>
      <w:pPr>
        <w:pStyle w:val="ListBullet"/>
      </w:pPr>
      <w:r>
        <w:t>ABDM Health Data Management Policy: https://abdm.gov.in/static/media/health_management_policy_bac9429a79.80f74bc3e039c00acd4f.pdf</w:t>
      </w:r>
    </w:p>
    <w:p>
      <w:pPr>
        <w:pStyle w:val="ListBullet"/>
      </w:pPr>
      <w:r>
        <w:t>Delhi Health forms/acts/rules: https://health.delhi.gov.in/health/forms-act-rule</w:t>
      </w:r>
    </w:p>
    <w:p>
      <w:pPr>
        <w:pStyle w:val="ListBullet"/>
      </w:pPr>
      <w:r>
        <w:t>Delhi Physiotherapy Council: https://health.delhi.gov.in/health/delhi-physiotherapy-and-occupational-therapy-council</w:t>
      </w:r>
    </w:p>
    <w:p>
      <w:pPr>
        <w:pStyle w:val="Heading1"/>
      </w:pPr>
      <w:r>
        <w:t>8. Implementation readiness</w:t>
      </w:r>
    </w:p>
    <w:tbl>
      <w:tblPr>
        <w:tblStyle w:val="TableGrid"/>
        <w:tblW w:type="dxa" w:w="9360"/>
        <w:jc w:val="left"/>
        <w:tblLayout w:type="fixed"/>
        <w:tblLook w:firstColumn="1" w:firstRow="1" w:lastColumn="0" w:lastRow="0" w:noHBand="0" w:noVBand="1" w:val="04A0"/>
        <w:tblInd w:w="120" w:type="dxa"/>
      </w:tblPr>
      <w:tblGrid>
        <w:gridCol w:w="1450"/>
        <w:gridCol w:w="3150"/>
        <w:gridCol w:w="1350"/>
        <w:gridCol w:w="2350"/>
        <w:gridCol w:w="1060"/>
      </w:tblGrid>
      <w:tr>
        <w:trPr>
          <w:tblHeader w:val="true"/>
        </w:trPr>
        <w:tc>
          <w:tcPr>
            <w:tcW w:type="dxa" w:w="1450"/>
            <w:shd w:fill="2E74B5"/>
            <w:tcMar>
              <w:top w:w="80" w:type="dxa"/>
              <w:start w:w="120" w:type="dxa"/>
              <w:bottom w:w="80" w:type="dxa"/>
              <w:end w:w="120" w:type="dxa"/>
            </w:tcMar>
            <w:vAlign w:val="center"/>
          </w:tcPr>
          <w:p>
            <w:pPr>
              <w:spacing w:after="0"/>
            </w:pPr>
            <w:r>
              <w:rPr>
                <w:b/>
                <w:color w:val="FFFFFF"/>
                <w:sz w:val="16"/>
              </w:rPr>
              <w:t>Gate</w:t>
            </w:r>
          </w:p>
        </w:tc>
        <w:tc>
          <w:tcPr>
            <w:tcW w:type="dxa" w:w="3150"/>
            <w:shd w:fill="2E74B5"/>
            <w:tcMar>
              <w:top w:w="80" w:type="dxa"/>
              <w:start w:w="120" w:type="dxa"/>
              <w:bottom w:w="80" w:type="dxa"/>
              <w:end w:w="120" w:type="dxa"/>
            </w:tcMar>
            <w:vAlign w:val="center"/>
          </w:tcPr>
          <w:p>
            <w:pPr>
              <w:spacing w:after="0"/>
            </w:pPr>
            <w:r>
              <w:rPr>
                <w:b/>
                <w:color w:val="FFFFFF"/>
                <w:sz w:val="16"/>
              </w:rPr>
              <w:t>Evidence required</w:t>
            </w:r>
          </w:p>
        </w:tc>
        <w:tc>
          <w:tcPr>
            <w:tcW w:type="dxa" w:w="1350"/>
            <w:shd w:fill="2E74B5"/>
            <w:tcMar>
              <w:top w:w="80" w:type="dxa"/>
              <w:start w:w="120" w:type="dxa"/>
              <w:bottom w:w="80" w:type="dxa"/>
              <w:end w:w="120" w:type="dxa"/>
            </w:tcMar>
            <w:vAlign w:val="center"/>
          </w:tcPr>
          <w:p>
            <w:pPr>
              <w:spacing w:after="0"/>
            </w:pPr>
            <w:r>
              <w:rPr>
                <w:b/>
                <w:color w:val="FFFFFF"/>
                <w:sz w:val="16"/>
              </w:rPr>
              <w:t>Current result</w:t>
            </w:r>
          </w:p>
        </w:tc>
        <w:tc>
          <w:tcPr>
            <w:tcW w:type="dxa" w:w="2350"/>
            <w:shd w:fill="2E74B5"/>
            <w:tcMar>
              <w:top w:w="80" w:type="dxa"/>
              <w:start w:w="120" w:type="dxa"/>
              <w:bottom w:w="80" w:type="dxa"/>
              <w:end w:w="120" w:type="dxa"/>
            </w:tcMar>
            <w:vAlign w:val="center"/>
          </w:tcPr>
          <w:p>
            <w:pPr>
              <w:spacing w:after="0"/>
            </w:pPr>
            <w:r>
              <w:rPr>
                <w:b/>
                <w:color w:val="FFFFFF"/>
                <w:sz w:val="16"/>
              </w:rPr>
              <w:t>Next action</w:t>
            </w:r>
          </w:p>
        </w:tc>
        <w:tc>
          <w:tcPr>
            <w:tcW w:type="dxa" w:w="1060"/>
            <w:shd w:fill="2E74B5"/>
            <w:tcMar>
              <w:top w:w="80" w:type="dxa"/>
              <w:start w:w="120" w:type="dxa"/>
              <w:bottom w:w="80" w:type="dxa"/>
              <w:end w:w="120" w:type="dxa"/>
            </w:tcMar>
            <w:vAlign w:val="center"/>
          </w:tcPr>
          <w:p>
            <w:pPr>
              <w:spacing w:after="0"/>
            </w:pPr>
            <w:r>
              <w:rPr>
                <w:b/>
                <w:color w:val="FFFFFF"/>
                <w:sz w:val="16"/>
              </w:rPr>
              <w:t>Status</w:t>
            </w:r>
          </w:p>
        </w:tc>
      </w:tr>
      <w:tr>
        <w:tc>
          <w:tcPr>
            <w:tcW w:type="dxa" w:w="1450"/>
            <w:tcMar>
              <w:top w:w="80" w:type="dxa"/>
              <w:start w:w="120" w:type="dxa"/>
              <w:bottom w:w="80" w:type="dxa"/>
              <w:end w:w="120" w:type="dxa"/>
            </w:tcMar>
            <w:vAlign w:val="center"/>
          </w:tcPr>
          <w:p>
            <w:pPr>
              <w:spacing w:after="0"/>
            </w:pPr>
            <w:r>
              <w:rPr>
                <w:sz w:val="16"/>
              </w:rPr>
              <w:t>Discovery</w:t>
            </w:r>
          </w:p>
        </w:tc>
        <w:tc>
          <w:tcPr>
            <w:tcW w:type="dxa" w:w="3150"/>
            <w:tcMar>
              <w:top w:w="80" w:type="dxa"/>
              <w:start w:w="120" w:type="dxa"/>
              <w:bottom w:w="80" w:type="dxa"/>
              <w:end w:w="120" w:type="dxa"/>
            </w:tcMar>
            <w:vAlign w:val="center"/>
          </w:tcPr>
          <w:p>
            <w:pPr>
              <w:spacing w:after="0"/>
            </w:pPr>
            <w:r>
              <w:rPr>
                <w:sz w:val="16"/>
              </w:rPr>
              <w:t>Live schema, anonymized sample, secret rotation</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Obtain source evidence</w:t>
            </w:r>
          </w:p>
        </w:tc>
        <w:tc>
          <w:tcPr>
            <w:tcW w:type="dxa" w:w="1060"/>
            <w:shd w:fill="FFF2CC"/>
            <w:tcMar>
              <w:top w:w="80" w:type="dxa"/>
              <w:start w:w="120" w:type="dxa"/>
              <w:bottom w:w="80" w:type="dxa"/>
              <w:end w:w="120" w:type="dxa"/>
            </w:tcMar>
            <w:vAlign w:val="center"/>
          </w:tcPr>
          <w:p>
            <w:pPr>
              <w:spacing w:after="0"/>
            </w:pPr>
            <w:r>
              <w:rPr>
                <w:sz w:val="16"/>
              </w:rPr>
              <w:t>Blocked</w:t>
            </w:r>
          </w:p>
        </w:tc>
      </w:tr>
      <w:tr>
        <w:tc>
          <w:tcPr>
            <w:tcW w:type="dxa" w:w="1450"/>
            <w:tcMar>
              <w:top w:w="80" w:type="dxa"/>
              <w:start w:w="120" w:type="dxa"/>
              <w:bottom w:w="80" w:type="dxa"/>
              <w:end w:w="120" w:type="dxa"/>
            </w:tcMar>
            <w:vAlign w:val="center"/>
          </w:tcPr>
          <w:p>
            <w:pPr>
              <w:spacing w:after="0"/>
            </w:pPr>
            <w:r>
              <w:rPr>
                <w:sz w:val="16"/>
              </w:rPr>
              <w:t>Security/privacy</w:t>
            </w:r>
          </w:p>
        </w:tc>
        <w:tc>
          <w:tcPr>
            <w:tcW w:type="dxa" w:w="3150"/>
            <w:tcMar>
              <w:top w:w="80" w:type="dxa"/>
              <w:start w:w="120" w:type="dxa"/>
              <w:bottom w:w="80" w:type="dxa"/>
              <w:end w:w="120" w:type="dxa"/>
            </w:tcMar>
            <w:vAlign w:val="center"/>
          </w:tcPr>
          <w:p>
            <w:pPr>
              <w:spacing w:after="0"/>
            </w:pPr>
            <w:r>
              <w:rPr>
                <w:sz w:val="16"/>
              </w:rPr>
              <w:t>Threat model, data-flow map, tenant isolation, Delhi review</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Name reviewers</w:t>
            </w:r>
          </w:p>
        </w:tc>
        <w:tc>
          <w:tcPr>
            <w:tcW w:type="dxa" w:w="1060"/>
            <w:shd w:fill="FFF2CC"/>
            <w:tcMar>
              <w:top w:w="80" w:type="dxa"/>
              <w:start w:w="120" w:type="dxa"/>
              <w:bottom w:w="80" w:type="dxa"/>
              <w:end w:w="120" w:type="dxa"/>
            </w:tcMar>
            <w:vAlign w:val="center"/>
          </w:tcPr>
          <w:p>
            <w:pPr>
              <w:spacing w:after="0"/>
            </w:pPr>
            <w:r>
              <w:rPr>
                <w:sz w:val="16"/>
              </w:rPr>
              <w:t>TBD</w:t>
            </w:r>
          </w:p>
        </w:tc>
      </w:tr>
      <w:tr>
        <w:tc>
          <w:tcPr>
            <w:tcW w:type="dxa" w:w="1450"/>
            <w:tcMar>
              <w:top w:w="80" w:type="dxa"/>
              <w:start w:w="120" w:type="dxa"/>
              <w:bottom w:w="80" w:type="dxa"/>
              <w:end w:w="120" w:type="dxa"/>
            </w:tcMar>
            <w:vAlign w:val="center"/>
          </w:tcPr>
          <w:p>
            <w:pPr>
              <w:spacing w:after="0"/>
            </w:pPr>
            <w:r>
              <w:rPr>
                <w:sz w:val="16"/>
              </w:rPr>
              <w:t>Physiotherapy</w:t>
            </w:r>
          </w:p>
        </w:tc>
        <w:tc>
          <w:tcPr>
            <w:tcW w:type="dxa" w:w="3150"/>
            <w:tcMar>
              <w:top w:w="80" w:type="dxa"/>
              <w:start w:w="120" w:type="dxa"/>
              <w:bottom w:w="80" w:type="dxa"/>
              <w:end w:w="120" w:type="dxa"/>
            </w:tcMar>
            <w:vAlign w:val="center"/>
          </w:tcPr>
          <w:p>
            <w:pPr>
              <w:spacing w:after="0"/>
            </w:pPr>
            <w:r>
              <w:rPr>
                <w:sz w:val="16"/>
              </w:rPr>
              <w:t>Approved templates/measures and 10 cases</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Run specialty workshop</w:t>
            </w:r>
          </w:p>
        </w:tc>
        <w:tc>
          <w:tcPr>
            <w:tcW w:type="dxa" w:w="1060"/>
            <w:shd w:fill="FFF2CC"/>
            <w:tcMar>
              <w:top w:w="80" w:type="dxa"/>
              <w:start w:w="120" w:type="dxa"/>
              <w:bottom w:w="80" w:type="dxa"/>
              <w:end w:w="120" w:type="dxa"/>
            </w:tcMar>
            <w:vAlign w:val="center"/>
          </w:tcPr>
          <w:p>
            <w:pPr>
              <w:spacing w:after="0"/>
            </w:pPr>
            <w:r>
              <w:rPr>
                <w:sz w:val="16"/>
              </w:rPr>
              <w:t>TBD</w:t>
            </w:r>
          </w:p>
        </w:tc>
      </w:tr>
      <w:tr>
        <w:tc>
          <w:tcPr>
            <w:tcW w:type="dxa" w:w="1450"/>
            <w:tcMar>
              <w:top w:w="80" w:type="dxa"/>
              <w:start w:w="120" w:type="dxa"/>
              <w:bottom w:w="80" w:type="dxa"/>
              <w:end w:w="120" w:type="dxa"/>
            </w:tcMar>
            <w:vAlign w:val="center"/>
          </w:tcPr>
          <w:p>
            <w:pPr>
              <w:spacing w:after="0"/>
            </w:pPr>
            <w:r>
              <w:rPr>
                <w:sz w:val="16"/>
              </w:rPr>
              <w:t>Orthopaedics</w:t>
            </w:r>
          </w:p>
        </w:tc>
        <w:tc>
          <w:tcPr>
            <w:tcW w:type="dxa" w:w="3150"/>
            <w:tcMar>
              <w:top w:w="80" w:type="dxa"/>
              <w:start w:w="120" w:type="dxa"/>
              <w:bottom w:w="80" w:type="dxa"/>
              <w:end w:w="120" w:type="dxa"/>
            </w:tcMar>
            <w:vAlign w:val="center"/>
          </w:tcPr>
          <w:p>
            <w:pPr>
              <w:spacing w:after="0"/>
            </w:pPr>
            <w:r>
              <w:rPr>
                <w:sz w:val="16"/>
              </w:rPr>
              <w:t>Approved exam/procedure/referral and 10 cases</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Run specialty workshop</w:t>
            </w:r>
          </w:p>
        </w:tc>
        <w:tc>
          <w:tcPr>
            <w:tcW w:type="dxa" w:w="1060"/>
            <w:shd w:fill="FFF2CC"/>
            <w:tcMar>
              <w:top w:w="80" w:type="dxa"/>
              <w:start w:w="120" w:type="dxa"/>
              <w:bottom w:w="80" w:type="dxa"/>
              <w:end w:w="120" w:type="dxa"/>
            </w:tcMar>
            <w:vAlign w:val="center"/>
          </w:tcPr>
          <w:p>
            <w:pPr>
              <w:spacing w:after="0"/>
            </w:pPr>
            <w:r>
              <w:rPr>
                <w:sz w:val="16"/>
              </w:rPr>
              <w:t>TBD</w:t>
            </w:r>
          </w:p>
        </w:tc>
      </w:tr>
      <w:tr>
        <w:tc>
          <w:tcPr>
            <w:tcW w:type="dxa" w:w="1450"/>
            <w:tcMar>
              <w:top w:w="80" w:type="dxa"/>
              <w:start w:w="120" w:type="dxa"/>
              <w:bottom w:w="80" w:type="dxa"/>
              <w:end w:w="120" w:type="dxa"/>
            </w:tcMar>
            <w:vAlign w:val="center"/>
          </w:tcPr>
          <w:p>
            <w:pPr>
              <w:spacing w:after="0"/>
            </w:pPr>
            <w:r>
              <w:rPr>
                <w:sz w:val="16"/>
              </w:rPr>
              <w:t>Database/migration</w:t>
            </w:r>
          </w:p>
        </w:tc>
        <w:tc>
          <w:tcPr>
            <w:tcW w:type="dxa" w:w="3150"/>
            <w:tcMar>
              <w:top w:w="80" w:type="dxa"/>
              <w:start w:w="120" w:type="dxa"/>
              <w:bottom w:w="80" w:type="dxa"/>
              <w:end w:w="120" w:type="dxa"/>
            </w:tcMar>
            <w:vAlign w:val="center"/>
          </w:tcPr>
          <w:p>
            <w:pPr>
              <w:spacing w:after="0"/>
            </w:pPr>
            <w:r>
              <w:rPr>
                <w:sz w:val="16"/>
              </w:rPr>
              <w:t>Profile, ownership, mappings and reconciliation</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Profile live database</w:t>
            </w:r>
          </w:p>
        </w:tc>
        <w:tc>
          <w:tcPr>
            <w:tcW w:type="dxa" w:w="1060"/>
            <w:shd w:fill="FFF2CC"/>
            <w:tcMar>
              <w:top w:w="80" w:type="dxa"/>
              <w:start w:w="120" w:type="dxa"/>
              <w:bottom w:w="80" w:type="dxa"/>
              <w:end w:w="120" w:type="dxa"/>
            </w:tcMar>
            <w:vAlign w:val="center"/>
          </w:tcPr>
          <w:p>
            <w:pPr>
              <w:spacing w:after="0"/>
            </w:pPr>
            <w:r>
              <w:rPr>
                <w:sz w:val="16"/>
              </w:rPr>
              <w:t>Blocked</w:t>
            </w:r>
          </w:p>
        </w:tc>
      </w:tr>
      <w:tr>
        <w:tc>
          <w:tcPr>
            <w:tcW w:type="dxa" w:w="1450"/>
            <w:tcMar>
              <w:top w:w="80" w:type="dxa"/>
              <w:start w:w="120" w:type="dxa"/>
              <w:bottom w:w="80" w:type="dxa"/>
              <w:end w:w="120" w:type="dxa"/>
            </w:tcMar>
            <w:vAlign w:val="center"/>
          </w:tcPr>
          <w:p>
            <w:pPr>
              <w:spacing w:after="0"/>
            </w:pPr>
            <w:r>
              <w:rPr>
                <w:sz w:val="16"/>
              </w:rPr>
              <w:t>Worker</w:t>
            </w:r>
          </w:p>
        </w:tc>
        <w:tc>
          <w:tcPr>
            <w:tcW w:type="dxa" w:w="3150"/>
            <w:tcMar>
              <w:top w:w="80" w:type="dxa"/>
              <w:start w:w="120" w:type="dxa"/>
              <w:bottom w:w="80" w:type="dxa"/>
              <w:end w:w="120" w:type="dxa"/>
            </w:tcMar>
            <w:vAlign w:val="center"/>
          </w:tcPr>
          <w:p>
            <w:pPr>
              <w:spacing w:after="0"/>
            </w:pPr>
            <w:r>
              <w:rPr>
                <w:sz w:val="16"/>
              </w:rPr>
              <w:t>Legacy task inventory and controlled replacement design</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Inventory service tasks</w:t>
            </w:r>
          </w:p>
        </w:tc>
        <w:tc>
          <w:tcPr>
            <w:tcW w:type="dxa" w:w="1060"/>
            <w:shd w:fill="FFF2CC"/>
            <w:tcMar>
              <w:top w:w="80" w:type="dxa"/>
              <w:start w:w="120" w:type="dxa"/>
              <w:bottom w:w="80" w:type="dxa"/>
              <w:end w:w="120" w:type="dxa"/>
            </w:tcMar>
            <w:vAlign w:val="center"/>
          </w:tcPr>
          <w:p>
            <w:pPr>
              <w:spacing w:after="0"/>
            </w:pPr>
            <w:r>
              <w:rPr>
                <w:sz w:val="16"/>
              </w:rPr>
              <w:t>TBD</w:t>
            </w:r>
          </w:p>
        </w:tc>
      </w:tr>
      <w:tr>
        <w:tc>
          <w:tcPr>
            <w:tcW w:type="dxa" w:w="1450"/>
            <w:tcMar>
              <w:top w:w="80" w:type="dxa"/>
              <w:start w:w="120" w:type="dxa"/>
              <w:bottom w:w="80" w:type="dxa"/>
              <w:end w:w="120" w:type="dxa"/>
            </w:tcMar>
            <w:vAlign w:val="center"/>
          </w:tcPr>
          <w:p>
            <w:pPr>
              <w:spacing w:after="0"/>
            </w:pPr>
            <w:r>
              <w:rPr>
                <w:sz w:val="16"/>
              </w:rPr>
              <w:t>Reports</w:t>
            </w:r>
          </w:p>
        </w:tc>
        <w:tc>
          <w:tcPr>
            <w:tcW w:type="dxa" w:w="3150"/>
            <w:tcMar>
              <w:top w:w="80" w:type="dxa"/>
              <w:start w:w="120" w:type="dxa"/>
              <w:bottom w:w="80" w:type="dxa"/>
              <w:end w:w="120" w:type="dxa"/>
            </w:tcMar>
            <w:vAlign w:val="center"/>
          </w:tcPr>
          <w:p>
            <w:pPr>
              <w:spacing w:after="0"/>
            </w:pPr>
            <w:r>
              <w:rPr>
                <w:sz w:val="16"/>
              </w:rPr>
              <w:t>45+43 catalog, owners and golden evidence</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Run report classification</w:t>
            </w:r>
          </w:p>
        </w:tc>
        <w:tc>
          <w:tcPr>
            <w:tcW w:type="dxa" w:w="1060"/>
            <w:shd w:fill="FFF2CC"/>
            <w:tcMar>
              <w:top w:w="80" w:type="dxa"/>
              <w:start w:w="120" w:type="dxa"/>
              <w:bottom w:w="80" w:type="dxa"/>
              <w:end w:w="120" w:type="dxa"/>
            </w:tcMar>
            <w:vAlign w:val="center"/>
          </w:tcPr>
          <w:p>
            <w:pPr>
              <w:spacing w:after="0"/>
            </w:pPr>
            <w:r>
              <w:rPr>
                <w:sz w:val="16"/>
              </w:rPr>
              <w:t>TBD</w:t>
            </w:r>
          </w:p>
        </w:tc>
      </w:tr>
      <w:tr>
        <w:tc>
          <w:tcPr>
            <w:tcW w:type="dxa" w:w="1450"/>
            <w:tcMar>
              <w:top w:w="80" w:type="dxa"/>
              <w:start w:w="120" w:type="dxa"/>
              <w:bottom w:w="80" w:type="dxa"/>
              <w:end w:w="120" w:type="dxa"/>
            </w:tcMar>
            <w:vAlign w:val="center"/>
          </w:tcPr>
          <w:p>
            <w:pPr>
              <w:spacing w:after="0"/>
            </w:pPr>
            <w:r>
              <w:rPr>
                <w:sz w:val="16"/>
              </w:rPr>
              <w:t>Operations</w:t>
            </w:r>
          </w:p>
        </w:tc>
        <w:tc>
          <w:tcPr>
            <w:tcW w:type="dxa" w:w="3150"/>
            <w:tcMar>
              <w:top w:w="80" w:type="dxa"/>
              <w:start w:w="120" w:type="dxa"/>
              <w:bottom w:w="80" w:type="dxa"/>
              <w:end w:w="120" w:type="dxa"/>
            </w:tcMar>
            <w:vAlign w:val="center"/>
          </w:tcPr>
          <w:p>
            <w:pPr>
              <w:spacing w:after="0"/>
            </w:pPr>
            <w:r>
              <w:rPr>
                <w:sz w:val="16"/>
              </w:rPr>
              <w:t>RPO/RTO, concurrency, vendors, support and recovery</w:t>
            </w:r>
          </w:p>
        </w:tc>
        <w:tc>
          <w:tcPr>
            <w:tcW w:type="dxa" w:w="1350"/>
            <w:tcMar>
              <w:top w:w="80" w:type="dxa"/>
              <w:start w:w="120" w:type="dxa"/>
              <w:bottom w:w="80" w:type="dxa"/>
              <w:end w:w="120" w:type="dxa"/>
            </w:tcMar>
            <w:vAlign w:val="center"/>
          </w:tcPr>
          <w:p>
            <w:pPr>
              <w:spacing w:after="0"/>
            </w:pPr>
            <w:r>
              <w:rPr>
                <w:sz w:val="16"/>
              </w:rPr>
              <w:t>Not met</w:t>
            </w:r>
          </w:p>
        </w:tc>
        <w:tc>
          <w:tcPr>
            <w:tcW w:type="dxa" w:w="2350"/>
            <w:tcMar>
              <w:top w:w="80" w:type="dxa"/>
              <w:start w:w="120" w:type="dxa"/>
              <w:bottom w:w="80" w:type="dxa"/>
              <w:end w:w="120" w:type="dxa"/>
            </w:tcMar>
            <w:vAlign w:val="center"/>
          </w:tcPr>
          <w:p>
            <w:pPr>
              <w:spacing w:after="0"/>
            </w:pPr>
            <w:r>
              <w:rPr>
                <w:sz w:val="16"/>
              </w:rPr>
              <w:t>Complete operational decisions</w:t>
            </w:r>
          </w:p>
        </w:tc>
        <w:tc>
          <w:tcPr>
            <w:tcW w:type="dxa" w:w="1060"/>
            <w:shd w:fill="FFF2CC"/>
            <w:tcMar>
              <w:top w:w="80" w:type="dxa"/>
              <w:start w:w="120" w:type="dxa"/>
              <w:bottom w:w="80" w:type="dxa"/>
              <w:end w:w="120" w:type="dxa"/>
            </w:tcMar>
            <w:vAlign w:val="center"/>
          </w:tcPr>
          <w:p>
            <w:pPr>
              <w:spacing w:after="0"/>
            </w:pPr>
            <w:r>
              <w:rPr>
                <w:sz w:val="16"/>
              </w:rPr>
              <w:t>TBD</w:t>
            </w:r>
          </w:p>
        </w:tc>
      </w:tr>
      <w:tr>
        <w:tc>
          <w:tcPr>
            <w:tcW w:type="dxa" w:w="1450"/>
            <w:tcMar>
              <w:top w:w="80" w:type="dxa"/>
              <w:start w:w="120" w:type="dxa"/>
              <w:bottom w:w="80" w:type="dxa"/>
              <w:end w:w="120" w:type="dxa"/>
            </w:tcMar>
            <w:vAlign w:val="center"/>
          </w:tcPr>
          <w:p>
            <w:pPr>
              <w:spacing w:after="0"/>
            </w:pPr>
            <w:r>
              <w:rPr>
                <w:sz w:val="16"/>
              </w:rPr>
              <w:t>Reference slice</w:t>
            </w:r>
          </w:p>
        </w:tc>
        <w:tc>
          <w:tcPr>
            <w:tcW w:type="dxa" w:w="3150"/>
            <w:tcMar>
              <w:top w:w="80" w:type="dxa"/>
              <w:start w:w="120" w:type="dxa"/>
              <w:bottom w:w="80" w:type="dxa"/>
              <w:end w:w="120" w:type="dxa"/>
            </w:tcMar>
            <w:vAlign w:val="center"/>
          </w:tcPr>
          <w:p>
            <w:pPr>
              <w:spacing w:after="0"/>
            </w:pPr>
            <w:r>
              <w:rPr>
                <w:sz w:val="16"/>
              </w:rPr>
              <w:t>Tenant/branch/catalog/API/audit/Worker/isolation</w:t>
            </w:r>
          </w:p>
        </w:tc>
        <w:tc>
          <w:tcPr>
            <w:tcW w:type="dxa" w:w="1350"/>
            <w:tcMar>
              <w:top w:w="80" w:type="dxa"/>
              <w:start w:w="120" w:type="dxa"/>
              <w:bottom w:w="80" w:type="dxa"/>
              <w:end w:w="120" w:type="dxa"/>
            </w:tcMar>
            <w:vAlign w:val="center"/>
          </w:tcPr>
          <w:p>
            <w:pPr>
              <w:spacing w:after="0"/>
            </w:pPr>
            <w:r>
              <w:rPr>
                <w:sz w:val="16"/>
              </w:rPr>
              <w:t>Not authorized</w:t>
            </w:r>
          </w:p>
        </w:tc>
        <w:tc>
          <w:tcPr>
            <w:tcW w:type="dxa" w:w="2350"/>
            <w:tcMar>
              <w:top w:w="80" w:type="dxa"/>
              <w:start w:w="120" w:type="dxa"/>
              <w:bottom w:w="80" w:type="dxa"/>
              <w:end w:w="120" w:type="dxa"/>
            </w:tcMar>
            <w:vAlign w:val="center"/>
          </w:tcPr>
          <w:p>
            <w:pPr>
              <w:spacing w:after="0"/>
            </w:pPr>
            <w:r>
              <w:rPr>
                <w:sz w:val="16"/>
              </w:rPr>
              <w:t>Start after gate approval</w:t>
            </w:r>
          </w:p>
        </w:tc>
        <w:tc>
          <w:tcPr>
            <w:tcW w:type="dxa" w:w="1060"/>
            <w:shd w:fill="FFF2CC"/>
            <w:tcMar>
              <w:top w:w="80" w:type="dxa"/>
              <w:start w:w="120" w:type="dxa"/>
              <w:bottom w:w="80" w:type="dxa"/>
              <w:end w:w="120" w:type="dxa"/>
            </w:tcMar>
            <w:vAlign w:val="center"/>
          </w:tcPr>
          <w:p>
            <w:pPr>
              <w:spacing w:after="0"/>
            </w:pPr>
            <w:r>
              <w:rPr>
                <w:sz w:val="16"/>
              </w:rPr>
              <w:t>Blocked</w:t>
            </w:r>
          </w:p>
        </w:tc>
      </w:tr>
    </w:tbl>
    <w:p>
      <w:pPr>
        <w:spacing w:after="40"/>
      </w:pPr>
    </w:p>
    <w:p>
      <w:pPr>
        <w:pStyle w:val="Heading1"/>
      </w:pPr>
      <w:r>
        <w:t>9. Deliverable index</w:t>
      </w:r>
    </w:p>
    <w:p>
      <w:r>
        <w:t>The version-controlled Markdown master remains the authoritative navigator. The following working artifacts support workshops and approvals:</w:t>
      </w:r>
    </w:p>
    <w:tbl>
      <w:tblPr>
        <w:tblStyle w:val="TableGrid"/>
        <w:tblW w:type="dxa" w:w="9360"/>
        <w:jc w:val="left"/>
        <w:tblLayout w:type="fixed"/>
        <w:tblLook w:firstColumn="1" w:firstRow="1" w:lastColumn="0" w:lastRow="0" w:noHBand="0" w:noVBand="1" w:val="04A0"/>
        <w:tblInd w:w="120" w:type="dxa"/>
      </w:tblPr>
      <w:tblGrid>
        <w:gridCol w:w="4000"/>
        <w:gridCol w:w="4200"/>
        <w:gridCol w:w="1160"/>
      </w:tblGrid>
      <w:tr>
        <w:trPr>
          <w:tblHeader w:val="true"/>
        </w:trPr>
        <w:tc>
          <w:tcPr>
            <w:tcW w:type="dxa" w:w="4000"/>
            <w:shd w:fill="2E74B5"/>
            <w:tcMar>
              <w:top w:w="80" w:type="dxa"/>
              <w:start w:w="120" w:type="dxa"/>
              <w:bottom w:w="80" w:type="dxa"/>
              <w:end w:w="120" w:type="dxa"/>
            </w:tcMar>
            <w:vAlign w:val="center"/>
          </w:tcPr>
          <w:p>
            <w:pPr>
              <w:spacing w:after="0"/>
            </w:pPr>
            <w:r>
              <w:rPr>
                <w:b/>
                <w:color w:val="FFFFFF"/>
                <w:sz w:val="18"/>
              </w:rPr>
              <w:t>Artifact</w:t>
            </w:r>
          </w:p>
        </w:tc>
        <w:tc>
          <w:tcPr>
            <w:tcW w:type="dxa" w:w="4200"/>
            <w:shd w:fill="2E74B5"/>
            <w:tcMar>
              <w:top w:w="80" w:type="dxa"/>
              <w:start w:w="120" w:type="dxa"/>
              <w:bottom w:w="80" w:type="dxa"/>
              <w:end w:w="120" w:type="dxa"/>
            </w:tcMar>
            <w:vAlign w:val="center"/>
          </w:tcPr>
          <w:p>
            <w:pPr>
              <w:spacing w:after="0"/>
            </w:pPr>
            <w:r>
              <w:rPr>
                <w:b/>
                <w:color w:val="FFFFFF"/>
                <w:sz w:val="18"/>
              </w:rPr>
              <w:t>Purpose</w:t>
            </w:r>
          </w:p>
        </w:tc>
        <w:tc>
          <w:tcPr>
            <w:tcW w:type="dxa" w:w="1160"/>
            <w:shd w:fill="2E74B5"/>
            <w:tcMar>
              <w:top w:w="80" w:type="dxa"/>
              <w:start w:w="120" w:type="dxa"/>
              <w:bottom w:w="80" w:type="dxa"/>
              <w:end w:w="120" w:type="dxa"/>
            </w:tcMar>
            <w:vAlign w:val="center"/>
          </w:tcPr>
          <w:p>
            <w:pPr>
              <w:spacing w:after="0"/>
            </w:pPr>
            <w:r>
              <w:rPr>
                <w:b/>
                <w:color w:val="FFFFFF"/>
                <w:sz w:val="18"/>
              </w:rPr>
              <w:t>Format</w:t>
            </w:r>
          </w:p>
        </w:tc>
      </w:tr>
      <w:tr>
        <w:tc>
          <w:tcPr>
            <w:tcW w:type="dxa" w:w="4000"/>
            <w:tcMar>
              <w:top w:w="80" w:type="dxa"/>
              <w:start w:w="120" w:type="dxa"/>
              <w:bottom w:w="80" w:type="dxa"/>
              <w:end w:w="120" w:type="dxa"/>
            </w:tcMar>
            <w:vAlign w:val="center"/>
          </w:tcPr>
          <w:p>
            <w:pPr>
              <w:spacing w:after="0"/>
            </w:pPr>
            <w:r>
              <w:rPr>
                <w:sz w:val="18"/>
              </w:rPr>
              <w:t>BOOKDOC2026-Requirements-and-Traceability</w:t>
            </w:r>
          </w:p>
        </w:tc>
        <w:tc>
          <w:tcPr>
            <w:tcW w:type="dxa" w:w="4200"/>
            <w:tcMar>
              <w:top w:w="80" w:type="dxa"/>
              <w:start w:w="120" w:type="dxa"/>
              <w:bottom w:w="80" w:type="dxa"/>
              <w:end w:w="120" w:type="dxa"/>
            </w:tcMar>
            <w:vAlign w:val="center"/>
          </w:tcPr>
          <w:p>
            <w:pPr>
              <w:spacing w:after="0"/>
            </w:pPr>
            <w:r>
              <w:rPr>
                <w:sz w:val="18"/>
              </w:rPr>
              <w:t>Roles, workflows, requirements, tests, risks and decisions</w:t>
            </w:r>
          </w:p>
        </w:tc>
        <w:tc>
          <w:tcPr>
            <w:tcW w:type="dxa" w:w="1160"/>
            <w:tcMar>
              <w:top w:w="80" w:type="dxa"/>
              <w:start w:w="120" w:type="dxa"/>
              <w:bottom w:w="80" w:type="dxa"/>
              <w:end w:w="120" w:type="dxa"/>
            </w:tcMar>
            <w:vAlign w:val="center"/>
          </w:tcPr>
          <w:p>
            <w:pPr>
              <w:spacing w:after="0"/>
            </w:pPr>
            <w:r>
              <w:rPr>
                <w:sz w:val="18"/>
              </w:rPr>
              <w:t>XLSX</w:t>
            </w:r>
          </w:p>
        </w:tc>
      </w:tr>
      <w:tr>
        <w:tc>
          <w:tcPr>
            <w:tcW w:type="dxa" w:w="4000"/>
            <w:tcMar>
              <w:top w:w="80" w:type="dxa"/>
              <w:start w:w="120" w:type="dxa"/>
              <w:bottom w:w="80" w:type="dxa"/>
              <w:end w:w="120" w:type="dxa"/>
            </w:tcMar>
            <w:vAlign w:val="center"/>
          </w:tcPr>
          <w:p>
            <w:pPr>
              <w:spacing w:after="0"/>
            </w:pPr>
            <w:r>
              <w:rPr>
                <w:sz w:val="18"/>
              </w:rPr>
              <w:t>BOOKDOC2026-Migration-Data-and-Reports</w:t>
            </w:r>
          </w:p>
        </w:tc>
        <w:tc>
          <w:tcPr>
            <w:tcW w:type="dxa" w:w="4200"/>
            <w:tcMar>
              <w:top w:w="80" w:type="dxa"/>
              <w:start w:w="120" w:type="dxa"/>
              <w:bottom w:w="80" w:type="dxa"/>
              <w:end w:w="120" w:type="dxa"/>
            </w:tcMar>
            <w:vAlign w:val="center"/>
          </w:tcPr>
          <w:p>
            <w:pPr>
              <w:spacing w:after="0"/>
            </w:pPr>
            <w:r>
              <w:rPr>
                <w:sz w:val="18"/>
              </w:rPr>
              <w:t>Screen map, data dictionary, migration map, report and onboarding catalogs</w:t>
            </w:r>
          </w:p>
        </w:tc>
        <w:tc>
          <w:tcPr>
            <w:tcW w:type="dxa" w:w="1160"/>
            <w:tcMar>
              <w:top w:w="80" w:type="dxa"/>
              <w:start w:w="120" w:type="dxa"/>
              <w:bottom w:w="80" w:type="dxa"/>
              <w:end w:w="120" w:type="dxa"/>
            </w:tcMar>
            <w:vAlign w:val="center"/>
          </w:tcPr>
          <w:p>
            <w:pPr>
              <w:spacing w:after="0"/>
            </w:pPr>
            <w:r>
              <w:rPr>
                <w:sz w:val="18"/>
              </w:rPr>
              <w:t>XLSX</w:t>
            </w:r>
          </w:p>
        </w:tc>
      </w:tr>
      <w:tr>
        <w:tc>
          <w:tcPr>
            <w:tcW w:type="dxa" w:w="4000"/>
            <w:tcMar>
              <w:top w:w="80" w:type="dxa"/>
              <w:start w:w="120" w:type="dxa"/>
              <w:bottom w:w="80" w:type="dxa"/>
              <w:end w:w="120" w:type="dxa"/>
            </w:tcMar>
            <w:vAlign w:val="center"/>
          </w:tcPr>
          <w:p>
            <w:pPr>
              <w:spacing w:after="0"/>
            </w:pPr>
            <w:r>
              <w:rPr>
                <w:sz w:val="18"/>
              </w:rPr>
              <w:t>BOOKDOC2026-API-and-Operational-Readiness</w:t>
            </w:r>
          </w:p>
        </w:tc>
        <w:tc>
          <w:tcPr>
            <w:tcW w:type="dxa" w:w="4200"/>
            <w:tcMar>
              <w:top w:w="80" w:type="dxa"/>
              <w:start w:w="120" w:type="dxa"/>
              <w:bottom w:w="80" w:type="dxa"/>
              <w:end w:w="120" w:type="dxa"/>
            </w:tcMar>
            <w:vAlign w:val="center"/>
          </w:tcPr>
          <w:p>
            <w:pPr>
              <w:spacing w:after="0"/>
            </w:pPr>
            <w:r>
              <w:rPr>
                <w:sz w:val="18"/>
              </w:rPr>
              <w:t>API permissions, integrations, environments, gates and volumes</w:t>
            </w:r>
          </w:p>
        </w:tc>
        <w:tc>
          <w:tcPr>
            <w:tcW w:type="dxa" w:w="1160"/>
            <w:tcMar>
              <w:top w:w="80" w:type="dxa"/>
              <w:start w:w="120" w:type="dxa"/>
              <w:bottom w:w="80" w:type="dxa"/>
              <w:end w:w="120" w:type="dxa"/>
            </w:tcMar>
            <w:vAlign w:val="center"/>
          </w:tcPr>
          <w:p>
            <w:pPr>
              <w:spacing w:after="0"/>
            </w:pPr>
            <w:r>
              <w:rPr>
                <w:sz w:val="18"/>
              </w:rPr>
              <w:t>XLSX</w:t>
            </w:r>
          </w:p>
        </w:tc>
      </w:tr>
      <w:tr>
        <w:tc>
          <w:tcPr>
            <w:tcW w:type="dxa" w:w="4000"/>
            <w:tcMar>
              <w:top w:w="80" w:type="dxa"/>
              <w:start w:w="120" w:type="dxa"/>
              <w:bottom w:w="80" w:type="dxa"/>
              <w:end w:w="120" w:type="dxa"/>
            </w:tcMar>
            <w:vAlign w:val="center"/>
          </w:tcPr>
          <w:p>
            <w:pPr>
              <w:spacing w:after="0"/>
            </w:pPr>
            <w:r>
              <w:rPr>
                <w:sz w:val="18"/>
              </w:rPr>
              <w:t>BOOKDOC2026 Pre-development Approval Pack</w:t>
            </w:r>
          </w:p>
        </w:tc>
        <w:tc>
          <w:tcPr>
            <w:tcW w:type="dxa" w:w="4200"/>
            <w:tcMar>
              <w:top w:w="80" w:type="dxa"/>
              <w:start w:w="120" w:type="dxa"/>
              <w:bottom w:w="80" w:type="dxa"/>
              <w:end w:w="120" w:type="dxa"/>
            </w:tcMar>
            <w:vAlign w:val="center"/>
          </w:tcPr>
          <w:p>
            <w:pPr>
              <w:spacing w:after="0"/>
            </w:pPr>
            <w:r>
              <w:rPr>
                <w:sz w:val="18"/>
              </w:rPr>
              <w:t>Formal review and sign-off summary</w:t>
            </w:r>
          </w:p>
        </w:tc>
        <w:tc>
          <w:tcPr>
            <w:tcW w:type="dxa" w:w="1160"/>
            <w:tcMar>
              <w:top w:w="80" w:type="dxa"/>
              <w:start w:w="120" w:type="dxa"/>
              <w:bottom w:w="80" w:type="dxa"/>
              <w:end w:w="120" w:type="dxa"/>
            </w:tcMar>
            <w:vAlign w:val="center"/>
          </w:tcPr>
          <w:p>
            <w:pPr>
              <w:spacing w:after="0"/>
            </w:pPr>
            <w:r>
              <w:rPr>
                <w:sz w:val="18"/>
              </w:rPr>
              <w:t>DOCX + PDF</w:t>
            </w:r>
          </w:p>
        </w:tc>
      </w:tr>
      <w:tr>
        <w:tc>
          <w:tcPr>
            <w:tcW w:type="dxa" w:w="4000"/>
            <w:tcMar>
              <w:top w:w="80" w:type="dxa"/>
              <w:start w:w="120" w:type="dxa"/>
              <w:bottom w:w="80" w:type="dxa"/>
              <w:end w:w="120" w:type="dxa"/>
            </w:tcMar>
            <w:vAlign w:val="center"/>
          </w:tcPr>
          <w:p>
            <w:pPr>
              <w:spacing w:after="0"/>
            </w:pPr>
            <w:r>
              <w:rPr>
                <w:sz w:val="18"/>
              </w:rPr>
              <w:t>Pre-development diagrams</w:t>
            </w:r>
          </w:p>
        </w:tc>
        <w:tc>
          <w:tcPr>
            <w:tcW w:type="dxa" w:w="4200"/>
            <w:tcMar>
              <w:top w:w="80" w:type="dxa"/>
              <w:start w:w="120" w:type="dxa"/>
              <w:bottom w:w="80" w:type="dxa"/>
              <w:end w:w="120" w:type="dxa"/>
            </w:tcMar>
            <w:vAlign w:val="center"/>
          </w:tcPr>
          <w:p>
            <w:pPr>
              <w:spacing w:after="0"/>
            </w:pPr>
            <w:r>
              <w:rPr>
                <w:sz w:val="18"/>
              </w:rPr>
              <w:t>Architecture, onboarding and durable-work flows</w:t>
            </w:r>
          </w:p>
        </w:tc>
        <w:tc>
          <w:tcPr>
            <w:tcW w:type="dxa" w:w="1160"/>
            <w:tcMar>
              <w:top w:w="80" w:type="dxa"/>
              <w:start w:w="120" w:type="dxa"/>
              <w:bottom w:w="80" w:type="dxa"/>
              <w:end w:w="120" w:type="dxa"/>
            </w:tcMar>
            <w:vAlign w:val="center"/>
          </w:tcPr>
          <w:p>
            <w:pPr>
              <w:spacing w:after="0"/>
            </w:pPr>
            <w:r>
              <w:rPr>
                <w:sz w:val="18"/>
              </w:rPr>
              <w:t>Markdown/Mermaid</w:t>
            </w:r>
          </w:p>
        </w:tc>
      </w:tr>
    </w:tbl>
    <w:p>
      <w:pPr>
        <w:spacing w:after="40"/>
      </w:pPr>
    </w:p>
    <w:p>
      <w:r>
        <w:br w:type="page"/>
      </w:r>
    </w:p>
    <w:p>
      <w:pPr>
        <w:pStyle w:val="Heading1"/>
      </w:pPr>
      <w:r>
        <w:t>10. Approval record</w:t>
      </w:r>
    </w:p>
    <w:p>
      <w:r>
        <w:t>Approval confirms the planning baseline and permission to continue discovery and preparation. It does not authorize implementation, production data movement, vendor purchase or go-live.</w:t>
      </w:r>
    </w:p>
    <w:tbl>
      <w:tblPr>
        <w:tblStyle w:val="TableGrid"/>
        <w:tblW w:type="dxa" w:w="9360"/>
        <w:jc w:val="left"/>
        <w:tblLayout w:type="fixed"/>
        <w:tblLook w:firstColumn="1" w:firstRow="1" w:lastColumn="0" w:lastRow="0" w:noHBand="0" w:noVBand="1" w:val="04A0"/>
        <w:tblInd w:w="120" w:type="dxa"/>
      </w:tblPr>
      <w:tblGrid>
        <w:gridCol w:w="1800"/>
        <w:gridCol w:w="1600"/>
        <w:gridCol w:w="1700"/>
        <w:gridCol w:w="2860"/>
        <w:gridCol w:w="1400"/>
      </w:tblGrid>
      <w:tr>
        <w:trPr>
          <w:tblHeader w:val="true"/>
        </w:trPr>
        <w:tc>
          <w:tcPr>
            <w:tcW w:type="dxa" w:w="1800"/>
            <w:shd w:fill="2E74B5"/>
            <w:tcMar>
              <w:top w:w="80" w:type="dxa"/>
              <w:start w:w="120" w:type="dxa"/>
              <w:bottom w:w="80" w:type="dxa"/>
              <w:end w:w="120" w:type="dxa"/>
            </w:tcMar>
            <w:vAlign w:val="center"/>
          </w:tcPr>
          <w:p>
            <w:pPr>
              <w:spacing w:after="0"/>
            </w:pPr>
            <w:r>
              <w:rPr>
                <w:b/>
                <w:color w:val="FFFFFF"/>
                <w:sz w:val="17"/>
              </w:rPr>
              <w:t>Role</w:t>
            </w:r>
          </w:p>
        </w:tc>
        <w:tc>
          <w:tcPr>
            <w:tcW w:type="dxa" w:w="1600"/>
            <w:shd w:fill="2E74B5"/>
            <w:tcMar>
              <w:top w:w="80" w:type="dxa"/>
              <w:start w:w="120" w:type="dxa"/>
              <w:bottom w:w="80" w:type="dxa"/>
              <w:end w:w="120" w:type="dxa"/>
            </w:tcMar>
            <w:vAlign w:val="center"/>
          </w:tcPr>
          <w:p>
            <w:pPr>
              <w:spacing w:after="0"/>
            </w:pPr>
            <w:r>
              <w:rPr>
                <w:b/>
                <w:color w:val="FFFFFF"/>
                <w:sz w:val="17"/>
              </w:rPr>
              <w:t>Name</w:t>
            </w:r>
          </w:p>
        </w:tc>
        <w:tc>
          <w:tcPr>
            <w:tcW w:type="dxa" w:w="1700"/>
            <w:shd w:fill="2E74B5"/>
            <w:tcMar>
              <w:top w:w="80" w:type="dxa"/>
              <w:start w:w="120" w:type="dxa"/>
              <w:bottom w:w="80" w:type="dxa"/>
              <w:end w:w="120" w:type="dxa"/>
            </w:tcMar>
            <w:vAlign w:val="center"/>
          </w:tcPr>
          <w:p>
            <w:pPr>
              <w:spacing w:after="0"/>
            </w:pPr>
            <w:r>
              <w:rPr>
                <w:b/>
                <w:color w:val="FFFFFF"/>
                <w:sz w:val="17"/>
              </w:rPr>
              <w:t>Decision</w:t>
            </w:r>
          </w:p>
        </w:tc>
        <w:tc>
          <w:tcPr>
            <w:tcW w:type="dxa" w:w="2860"/>
            <w:shd w:fill="2E74B5"/>
            <w:tcMar>
              <w:top w:w="80" w:type="dxa"/>
              <w:start w:w="120" w:type="dxa"/>
              <w:bottom w:w="80" w:type="dxa"/>
              <w:end w:w="120" w:type="dxa"/>
            </w:tcMar>
            <w:vAlign w:val="center"/>
          </w:tcPr>
          <w:p>
            <w:pPr>
              <w:spacing w:after="0"/>
            </w:pPr>
            <w:r>
              <w:rPr>
                <w:b/>
                <w:color w:val="FFFFFF"/>
                <w:sz w:val="17"/>
              </w:rPr>
              <w:t>Signature / evidence reference</w:t>
            </w:r>
          </w:p>
        </w:tc>
        <w:tc>
          <w:tcPr>
            <w:tcW w:type="dxa" w:w="1400"/>
            <w:shd w:fill="2E74B5"/>
            <w:tcMar>
              <w:top w:w="80" w:type="dxa"/>
              <w:start w:w="120" w:type="dxa"/>
              <w:bottom w:w="80" w:type="dxa"/>
              <w:end w:w="120" w:type="dxa"/>
            </w:tcMar>
            <w:vAlign w:val="center"/>
          </w:tcPr>
          <w:p>
            <w:pPr>
              <w:spacing w:after="0"/>
            </w:pPr>
            <w:r>
              <w:rPr>
                <w:b/>
                <w:color w:val="FFFFFF"/>
                <w:sz w:val="17"/>
              </w:rPr>
              <w:t>Date</w:t>
            </w:r>
          </w:p>
        </w:tc>
      </w:tr>
      <w:tr>
        <w:tc>
          <w:tcPr>
            <w:tcW w:type="dxa" w:w="1800"/>
            <w:tcMar>
              <w:top w:w="80" w:type="dxa"/>
              <w:start w:w="120" w:type="dxa"/>
              <w:bottom w:w="80" w:type="dxa"/>
              <w:end w:w="120" w:type="dxa"/>
            </w:tcMar>
            <w:vAlign w:val="center"/>
          </w:tcPr>
          <w:p>
            <w:pPr>
              <w:spacing w:after="0"/>
            </w:pPr>
            <w:r>
              <w:rPr>
                <w:sz w:val="17"/>
              </w:rPr>
              <w:t>Product owner</w:t>
            </w:r>
          </w:p>
        </w:tc>
        <w:tc>
          <w:tcPr>
            <w:tcW w:type="dxa" w:w="1600"/>
            <w:tcMar>
              <w:top w:w="80" w:type="dxa"/>
              <w:start w:w="120" w:type="dxa"/>
              <w:bottom w:w="80" w:type="dxa"/>
              <w:end w:w="120" w:type="dxa"/>
            </w:tcMar>
            <w:vAlign w:val="center"/>
          </w:tcPr>
          <w:p>
            <w:pPr>
              <w:spacing w:after="0"/>
            </w:pPr>
            <w:r>
              <w:rPr>
                <w:sz w:val="17"/>
              </w:rPr>
              <w:t>TBD</w:t>
            </w:r>
          </w:p>
        </w:tc>
        <w:tc>
          <w:tcPr>
            <w:tcW w:type="dxa" w:w="1700"/>
            <w:tcMar>
              <w:top w:w="80" w:type="dxa"/>
              <w:start w:w="120" w:type="dxa"/>
              <w:bottom w:w="80" w:type="dxa"/>
              <w:end w:w="120" w:type="dxa"/>
            </w:tcMar>
            <w:vAlign w:val="center"/>
          </w:tcPr>
          <w:p>
            <w:pPr>
              <w:spacing w:after="0"/>
            </w:pPr>
            <w:r>
              <w:rPr>
                <w:sz w:val="17"/>
              </w:rPr>
              <w:t>Approve / revise</w:t>
            </w:r>
          </w:p>
        </w:tc>
        <w:tc>
          <w:tcPr>
            <w:tcW w:type="dxa" w:w="2860"/>
            <w:tcMar>
              <w:top w:w="80" w:type="dxa"/>
              <w:start w:w="120" w:type="dxa"/>
              <w:bottom w:w="80" w:type="dxa"/>
              <w:end w:w="120" w:type="dxa"/>
            </w:tcMar>
            <w:vAlign w:val="center"/>
          </w:tcPr>
          <w:p>
            <w:pPr>
              <w:spacing w:after="0"/>
            </w:pPr>
            <w:r>
              <w:rPr>
                <w:sz w:val="17"/>
              </w:rPr>
              <w:t>TBD</w:t>
            </w:r>
          </w:p>
        </w:tc>
        <w:tc>
          <w:tcPr>
            <w:tcW w:type="dxa" w:w="1400"/>
            <w:shd w:fill="FFF2CC"/>
            <w:tcMar>
              <w:top w:w="80" w:type="dxa"/>
              <w:start w:w="120" w:type="dxa"/>
              <w:bottom w:w="80" w:type="dxa"/>
              <w:end w:w="120" w:type="dxa"/>
            </w:tcMar>
            <w:vAlign w:val="center"/>
          </w:tcPr>
          <w:p>
            <w:pPr>
              <w:spacing w:after="0"/>
            </w:pPr>
            <w:r>
              <w:rPr>
                <w:sz w:val="17"/>
              </w:rPr>
              <w:t>TBD</w:t>
            </w:r>
          </w:p>
        </w:tc>
      </w:tr>
      <w:tr>
        <w:tc>
          <w:tcPr>
            <w:tcW w:type="dxa" w:w="1800"/>
            <w:tcMar>
              <w:top w:w="80" w:type="dxa"/>
              <w:start w:w="120" w:type="dxa"/>
              <w:bottom w:w="80" w:type="dxa"/>
              <w:end w:w="120" w:type="dxa"/>
            </w:tcMar>
            <w:vAlign w:val="center"/>
          </w:tcPr>
          <w:p>
            <w:pPr>
              <w:spacing w:after="0"/>
            </w:pPr>
            <w:r>
              <w:rPr>
                <w:sz w:val="17"/>
              </w:rPr>
              <w:t>Clinical safety owner</w:t>
            </w:r>
          </w:p>
        </w:tc>
        <w:tc>
          <w:tcPr>
            <w:tcW w:type="dxa" w:w="1600"/>
            <w:tcMar>
              <w:top w:w="80" w:type="dxa"/>
              <w:start w:w="120" w:type="dxa"/>
              <w:bottom w:w="80" w:type="dxa"/>
              <w:end w:w="120" w:type="dxa"/>
            </w:tcMar>
            <w:vAlign w:val="center"/>
          </w:tcPr>
          <w:p>
            <w:pPr>
              <w:spacing w:after="0"/>
            </w:pPr>
            <w:r>
              <w:rPr>
                <w:sz w:val="17"/>
              </w:rPr>
              <w:t>TBD</w:t>
            </w:r>
          </w:p>
        </w:tc>
        <w:tc>
          <w:tcPr>
            <w:tcW w:type="dxa" w:w="1700"/>
            <w:tcMar>
              <w:top w:w="80" w:type="dxa"/>
              <w:start w:w="120" w:type="dxa"/>
              <w:bottom w:w="80" w:type="dxa"/>
              <w:end w:w="120" w:type="dxa"/>
            </w:tcMar>
            <w:vAlign w:val="center"/>
          </w:tcPr>
          <w:p>
            <w:pPr>
              <w:spacing w:after="0"/>
            </w:pPr>
            <w:r>
              <w:rPr>
                <w:sz w:val="17"/>
              </w:rPr>
              <w:t>Approve / revise</w:t>
            </w:r>
          </w:p>
        </w:tc>
        <w:tc>
          <w:tcPr>
            <w:tcW w:type="dxa" w:w="2860"/>
            <w:tcMar>
              <w:top w:w="80" w:type="dxa"/>
              <w:start w:w="120" w:type="dxa"/>
              <w:bottom w:w="80" w:type="dxa"/>
              <w:end w:w="120" w:type="dxa"/>
            </w:tcMar>
            <w:vAlign w:val="center"/>
          </w:tcPr>
          <w:p>
            <w:pPr>
              <w:spacing w:after="0"/>
            </w:pPr>
            <w:r>
              <w:rPr>
                <w:sz w:val="17"/>
              </w:rPr>
              <w:t>TBD</w:t>
            </w:r>
          </w:p>
        </w:tc>
        <w:tc>
          <w:tcPr>
            <w:tcW w:type="dxa" w:w="1400"/>
            <w:shd w:fill="FFF2CC"/>
            <w:tcMar>
              <w:top w:w="80" w:type="dxa"/>
              <w:start w:w="120" w:type="dxa"/>
              <w:bottom w:w="80" w:type="dxa"/>
              <w:end w:w="120" w:type="dxa"/>
            </w:tcMar>
            <w:vAlign w:val="center"/>
          </w:tcPr>
          <w:p>
            <w:pPr>
              <w:spacing w:after="0"/>
            </w:pPr>
            <w:r>
              <w:rPr>
                <w:sz w:val="17"/>
              </w:rPr>
              <w:t>TBD</w:t>
            </w:r>
          </w:p>
        </w:tc>
      </w:tr>
      <w:tr>
        <w:tc>
          <w:tcPr>
            <w:tcW w:type="dxa" w:w="1800"/>
            <w:tcMar>
              <w:top w:w="80" w:type="dxa"/>
              <w:start w:w="120" w:type="dxa"/>
              <w:bottom w:w="80" w:type="dxa"/>
              <w:end w:w="120" w:type="dxa"/>
            </w:tcMar>
            <w:vAlign w:val="center"/>
          </w:tcPr>
          <w:p>
            <w:pPr>
              <w:spacing w:after="0"/>
            </w:pPr>
            <w:r>
              <w:rPr>
                <w:sz w:val="17"/>
              </w:rPr>
              <w:t>Finance owner</w:t>
            </w:r>
          </w:p>
        </w:tc>
        <w:tc>
          <w:tcPr>
            <w:tcW w:type="dxa" w:w="1600"/>
            <w:tcMar>
              <w:top w:w="80" w:type="dxa"/>
              <w:start w:w="120" w:type="dxa"/>
              <w:bottom w:w="80" w:type="dxa"/>
              <w:end w:w="120" w:type="dxa"/>
            </w:tcMar>
            <w:vAlign w:val="center"/>
          </w:tcPr>
          <w:p>
            <w:pPr>
              <w:spacing w:after="0"/>
            </w:pPr>
            <w:r>
              <w:rPr>
                <w:sz w:val="17"/>
              </w:rPr>
              <w:t>TBD</w:t>
            </w:r>
          </w:p>
        </w:tc>
        <w:tc>
          <w:tcPr>
            <w:tcW w:type="dxa" w:w="1700"/>
            <w:tcMar>
              <w:top w:w="80" w:type="dxa"/>
              <w:start w:w="120" w:type="dxa"/>
              <w:bottom w:w="80" w:type="dxa"/>
              <w:end w:w="120" w:type="dxa"/>
            </w:tcMar>
            <w:vAlign w:val="center"/>
          </w:tcPr>
          <w:p>
            <w:pPr>
              <w:spacing w:after="0"/>
            </w:pPr>
            <w:r>
              <w:rPr>
                <w:sz w:val="17"/>
              </w:rPr>
              <w:t>Approve / revise</w:t>
            </w:r>
          </w:p>
        </w:tc>
        <w:tc>
          <w:tcPr>
            <w:tcW w:type="dxa" w:w="2860"/>
            <w:tcMar>
              <w:top w:w="80" w:type="dxa"/>
              <w:start w:w="120" w:type="dxa"/>
              <w:bottom w:w="80" w:type="dxa"/>
              <w:end w:w="120" w:type="dxa"/>
            </w:tcMar>
            <w:vAlign w:val="center"/>
          </w:tcPr>
          <w:p>
            <w:pPr>
              <w:spacing w:after="0"/>
            </w:pPr>
            <w:r>
              <w:rPr>
                <w:sz w:val="17"/>
              </w:rPr>
              <w:t>TBD</w:t>
            </w:r>
          </w:p>
        </w:tc>
        <w:tc>
          <w:tcPr>
            <w:tcW w:type="dxa" w:w="1400"/>
            <w:shd w:fill="FFF2CC"/>
            <w:tcMar>
              <w:top w:w="80" w:type="dxa"/>
              <w:start w:w="120" w:type="dxa"/>
              <w:bottom w:w="80" w:type="dxa"/>
              <w:end w:w="120" w:type="dxa"/>
            </w:tcMar>
            <w:vAlign w:val="center"/>
          </w:tcPr>
          <w:p>
            <w:pPr>
              <w:spacing w:after="0"/>
            </w:pPr>
            <w:r>
              <w:rPr>
                <w:sz w:val="17"/>
              </w:rPr>
              <w:t>TBD</w:t>
            </w:r>
          </w:p>
        </w:tc>
      </w:tr>
      <w:tr>
        <w:tc>
          <w:tcPr>
            <w:tcW w:type="dxa" w:w="1800"/>
            <w:tcMar>
              <w:top w:w="80" w:type="dxa"/>
              <w:start w:w="120" w:type="dxa"/>
              <w:bottom w:w="80" w:type="dxa"/>
              <w:end w:w="120" w:type="dxa"/>
            </w:tcMar>
            <w:vAlign w:val="center"/>
          </w:tcPr>
          <w:p>
            <w:pPr>
              <w:spacing w:after="0"/>
            </w:pPr>
            <w:r>
              <w:rPr>
                <w:sz w:val="17"/>
              </w:rPr>
              <w:t>Privacy/legal reviewer</w:t>
            </w:r>
          </w:p>
        </w:tc>
        <w:tc>
          <w:tcPr>
            <w:tcW w:type="dxa" w:w="1600"/>
            <w:tcMar>
              <w:top w:w="80" w:type="dxa"/>
              <w:start w:w="120" w:type="dxa"/>
              <w:bottom w:w="80" w:type="dxa"/>
              <w:end w:w="120" w:type="dxa"/>
            </w:tcMar>
            <w:vAlign w:val="center"/>
          </w:tcPr>
          <w:p>
            <w:pPr>
              <w:spacing w:after="0"/>
            </w:pPr>
            <w:r>
              <w:rPr>
                <w:sz w:val="17"/>
              </w:rPr>
              <w:t>TBD</w:t>
            </w:r>
          </w:p>
        </w:tc>
        <w:tc>
          <w:tcPr>
            <w:tcW w:type="dxa" w:w="1700"/>
            <w:tcMar>
              <w:top w:w="80" w:type="dxa"/>
              <w:start w:w="120" w:type="dxa"/>
              <w:bottom w:w="80" w:type="dxa"/>
              <w:end w:w="120" w:type="dxa"/>
            </w:tcMar>
            <w:vAlign w:val="center"/>
          </w:tcPr>
          <w:p>
            <w:pPr>
              <w:spacing w:after="0"/>
            </w:pPr>
            <w:r>
              <w:rPr>
                <w:sz w:val="17"/>
              </w:rPr>
              <w:t>Approve / revise</w:t>
            </w:r>
          </w:p>
        </w:tc>
        <w:tc>
          <w:tcPr>
            <w:tcW w:type="dxa" w:w="2860"/>
            <w:tcMar>
              <w:top w:w="80" w:type="dxa"/>
              <w:start w:w="120" w:type="dxa"/>
              <w:bottom w:w="80" w:type="dxa"/>
              <w:end w:w="120" w:type="dxa"/>
            </w:tcMar>
            <w:vAlign w:val="center"/>
          </w:tcPr>
          <w:p>
            <w:pPr>
              <w:spacing w:after="0"/>
            </w:pPr>
            <w:r>
              <w:rPr>
                <w:sz w:val="17"/>
              </w:rPr>
              <w:t>TBD</w:t>
            </w:r>
          </w:p>
        </w:tc>
        <w:tc>
          <w:tcPr>
            <w:tcW w:type="dxa" w:w="1400"/>
            <w:shd w:fill="FFF2CC"/>
            <w:tcMar>
              <w:top w:w="80" w:type="dxa"/>
              <w:start w:w="120" w:type="dxa"/>
              <w:bottom w:w="80" w:type="dxa"/>
              <w:end w:w="120" w:type="dxa"/>
            </w:tcMar>
            <w:vAlign w:val="center"/>
          </w:tcPr>
          <w:p>
            <w:pPr>
              <w:spacing w:after="0"/>
            </w:pPr>
            <w:r>
              <w:rPr>
                <w:sz w:val="17"/>
              </w:rPr>
              <w:t>TBD</w:t>
            </w:r>
          </w:p>
        </w:tc>
      </w:tr>
      <w:tr>
        <w:tc>
          <w:tcPr>
            <w:tcW w:type="dxa" w:w="1800"/>
            <w:tcMar>
              <w:top w:w="80" w:type="dxa"/>
              <w:start w:w="120" w:type="dxa"/>
              <w:bottom w:w="80" w:type="dxa"/>
              <w:end w:w="120" w:type="dxa"/>
            </w:tcMar>
            <w:vAlign w:val="center"/>
          </w:tcPr>
          <w:p>
            <w:pPr>
              <w:spacing w:after="0"/>
            </w:pPr>
            <w:r>
              <w:rPr>
                <w:sz w:val="17"/>
              </w:rPr>
              <w:t>Architecture owner</w:t>
            </w:r>
          </w:p>
        </w:tc>
        <w:tc>
          <w:tcPr>
            <w:tcW w:type="dxa" w:w="1600"/>
            <w:tcMar>
              <w:top w:w="80" w:type="dxa"/>
              <w:start w:w="120" w:type="dxa"/>
              <w:bottom w:w="80" w:type="dxa"/>
              <w:end w:w="120" w:type="dxa"/>
            </w:tcMar>
            <w:vAlign w:val="center"/>
          </w:tcPr>
          <w:p>
            <w:pPr>
              <w:spacing w:after="0"/>
            </w:pPr>
            <w:r>
              <w:rPr>
                <w:sz w:val="17"/>
              </w:rPr>
              <w:t>TBD</w:t>
            </w:r>
          </w:p>
        </w:tc>
        <w:tc>
          <w:tcPr>
            <w:tcW w:type="dxa" w:w="1700"/>
            <w:tcMar>
              <w:top w:w="80" w:type="dxa"/>
              <w:start w:w="120" w:type="dxa"/>
              <w:bottom w:w="80" w:type="dxa"/>
              <w:end w:w="120" w:type="dxa"/>
            </w:tcMar>
            <w:vAlign w:val="center"/>
          </w:tcPr>
          <w:p>
            <w:pPr>
              <w:spacing w:after="0"/>
            </w:pPr>
            <w:r>
              <w:rPr>
                <w:sz w:val="17"/>
              </w:rPr>
              <w:t>Approve / revise</w:t>
            </w:r>
          </w:p>
        </w:tc>
        <w:tc>
          <w:tcPr>
            <w:tcW w:type="dxa" w:w="2860"/>
            <w:tcMar>
              <w:top w:w="80" w:type="dxa"/>
              <w:start w:w="120" w:type="dxa"/>
              <w:bottom w:w="80" w:type="dxa"/>
              <w:end w:w="120" w:type="dxa"/>
            </w:tcMar>
            <w:vAlign w:val="center"/>
          </w:tcPr>
          <w:p>
            <w:pPr>
              <w:spacing w:after="0"/>
            </w:pPr>
            <w:r>
              <w:rPr>
                <w:sz w:val="17"/>
              </w:rPr>
              <w:t>TBD</w:t>
            </w:r>
          </w:p>
        </w:tc>
        <w:tc>
          <w:tcPr>
            <w:tcW w:type="dxa" w:w="1400"/>
            <w:shd w:fill="FFF2CC"/>
            <w:tcMar>
              <w:top w:w="80" w:type="dxa"/>
              <w:start w:w="120" w:type="dxa"/>
              <w:bottom w:w="80" w:type="dxa"/>
              <w:end w:w="120" w:type="dxa"/>
            </w:tcMar>
            <w:vAlign w:val="center"/>
          </w:tcPr>
          <w:p>
            <w:pPr>
              <w:spacing w:after="0"/>
            </w:pPr>
            <w:r>
              <w:rPr>
                <w:sz w:val="17"/>
              </w:rPr>
              <w:t>TBD</w:t>
            </w:r>
          </w:p>
        </w:tc>
      </w:tr>
      <w:tr>
        <w:tc>
          <w:tcPr>
            <w:tcW w:type="dxa" w:w="1800"/>
            <w:tcMar>
              <w:top w:w="80" w:type="dxa"/>
              <w:start w:w="120" w:type="dxa"/>
              <w:bottom w:w="80" w:type="dxa"/>
              <w:end w:w="120" w:type="dxa"/>
            </w:tcMar>
            <w:vAlign w:val="center"/>
          </w:tcPr>
          <w:p>
            <w:pPr>
              <w:spacing w:after="0"/>
            </w:pPr>
            <w:r>
              <w:rPr>
                <w:sz w:val="17"/>
              </w:rPr>
              <w:t>Operations owner</w:t>
            </w:r>
          </w:p>
        </w:tc>
        <w:tc>
          <w:tcPr>
            <w:tcW w:type="dxa" w:w="1600"/>
            <w:tcMar>
              <w:top w:w="80" w:type="dxa"/>
              <w:start w:w="120" w:type="dxa"/>
              <w:bottom w:w="80" w:type="dxa"/>
              <w:end w:w="120" w:type="dxa"/>
            </w:tcMar>
            <w:vAlign w:val="center"/>
          </w:tcPr>
          <w:p>
            <w:pPr>
              <w:spacing w:after="0"/>
            </w:pPr>
            <w:r>
              <w:rPr>
                <w:sz w:val="17"/>
              </w:rPr>
              <w:t>TBD</w:t>
            </w:r>
          </w:p>
        </w:tc>
        <w:tc>
          <w:tcPr>
            <w:tcW w:type="dxa" w:w="1700"/>
            <w:tcMar>
              <w:top w:w="80" w:type="dxa"/>
              <w:start w:w="120" w:type="dxa"/>
              <w:bottom w:w="80" w:type="dxa"/>
              <w:end w:w="120" w:type="dxa"/>
            </w:tcMar>
            <w:vAlign w:val="center"/>
          </w:tcPr>
          <w:p>
            <w:pPr>
              <w:spacing w:after="0"/>
            </w:pPr>
            <w:r>
              <w:rPr>
                <w:sz w:val="17"/>
              </w:rPr>
              <w:t>Approve / revise</w:t>
            </w:r>
          </w:p>
        </w:tc>
        <w:tc>
          <w:tcPr>
            <w:tcW w:type="dxa" w:w="2860"/>
            <w:tcMar>
              <w:top w:w="80" w:type="dxa"/>
              <w:start w:w="120" w:type="dxa"/>
              <w:bottom w:w="80" w:type="dxa"/>
              <w:end w:w="120" w:type="dxa"/>
            </w:tcMar>
            <w:vAlign w:val="center"/>
          </w:tcPr>
          <w:p>
            <w:pPr>
              <w:spacing w:after="0"/>
            </w:pPr>
            <w:r>
              <w:rPr>
                <w:sz w:val="17"/>
              </w:rPr>
              <w:t>TBD</w:t>
            </w:r>
          </w:p>
        </w:tc>
        <w:tc>
          <w:tcPr>
            <w:tcW w:type="dxa" w:w="1400"/>
            <w:shd w:fill="FFF2CC"/>
            <w:tcMar>
              <w:top w:w="80" w:type="dxa"/>
              <w:start w:w="120" w:type="dxa"/>
              <w:bottom w:w="80" w:type="dxa"/>
              <w:end w:w="120" w:type="dxa"/>
            </w:tcMar>
            <w:vAlign w:val="center"/>
          </w:tcPr>
          <w:p>
            <w:pPr>
              <w:spacing w:after="0"/>
            </w:pPr>
            <w:r>
              <w:rPr>
                <w:sz w:val="17"/>
              </w:rPr>
              <w:t>TBD</w:t>
            </w:r>
          </w:p>
        </w:tc>
      </w:tr>
    </w:tbl>
    <w:p>
      <w:pPr>
        <w:spacing w:after="40"/>
      </w:pPr>
    </w:p>
    <w:p>
      <w:pPr>
        <w:pStyle w:val="Heading2"/>
      </w:pPr>
      <w:r>
        <w:t>Approval conditions</w:t>
      </w:r>
    </w:p>
    <w:p>
      <w:pPr>
        <w:pStyle w:val="ListBullet"/>
      </w:pPr>
      <w:r>
        <w:t>All TBD or Blocked items remain visible and are assigned before their dependent module begins.</w:t>
      </w:r>
    </w:p>
    <w:p>
      <w:pPr>
        <w:pStyle w:val="ListBullet"/>
      </w:pPr>
      <w:r>
        <w:t>No production credentials, patient records or unredacted extracts are added to the planning repository.</w:t>
      </w:r>
    </w:p>
    <w:p>
      <w:pPr>
        <w:pStyle w:val="ListBullet"/>
      </w:pPr>
      <w:r>
        <w:t>Changes to scope, tenancy, specialty safety, estimates or release gates update the master, register and affected workbooks.</w:t>
      </w:r>
    </w:p>
    <w:p>
      <w:pPr>
        <w:pStyle w:val="ListBullet"/>
      </w:pPr>
      <w:r>
        <w:t>Implementation begins only through the readiness gate and a separately approved reference-slice backlog.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B6573"/>
        <w:sz w:val="18"/>
      </w:rPr>
      <w:t>BOOKDOC2026 | Pre-development Approval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200" w:line="264" w:lineRule="auto"/>
      <w:ind w:left="259" w:right="259"/>
    </w:pPr>
    <w:rPr>
      <w:rFonts w:ascii="Calibri" w:hAnsi="Calibri"/>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BOOKDOC2026 Pre-development Approval Pack</dc:title>
  <dc:subject>Clinic management SaaS planning baseline</dc:subject>
  <dc:creator>BOOKDOC2026 Planning Team</dc:creator>
  <cp:keywords>BOOKDOC2026, clinic management, physiotherapy, orthopaedics, SaaS, Delhi</cp:keywords>
  <dc:description>generated by python-docx</dc:description>
  <cp:lastModifiedBy/>
  <cp:revision>1</cp:revision>
  <dcterms:created xsi:type="dcterms:W3CDTF">2013-12-23T23:15:00Z</dcterms:created>
  <dcterms:modified xsi:type="dcterms:W3CDTF">2013-12-23T23:15:00Z</dcterms:modified>
  <cp:category/>
</cp:coreProperties>
</file>