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0D1B2A"/>
          <w:sz w:val="40"/>
        </w:rPr>
        <w:t>CraftAI Studio — Platform Architecture &amp; Workflow</w:t>
      </w:r>
    </w:p>
    <w:p>
      <w:pPr>
        <w:spacing w:before="0" w:after="240"/>
      </w:pPr>
      <w:r>
        <w:rPr>
          <w:rFonts w:ascii="Arial" w:hAnsi="Arial"/>
          <w:b/>
          <w:color w:val="0096D6"/>
          <w:sz w:val="21"/>
        </w:rPr>
        <w:t>Comprehensive Technical Specification, AI Model Pipeline &amp; Page Connectivity Guide</w:t>
      </w:r>
    </w:p>
    <w:p>
      <w:pPr>
        <w:spacing w:before="160" w:after="60"/>
      </w:pPr>
      <w:r>
        <w:rPr>
          <w:rFonts w:ascii="Arial" w:hAnsi="Arial"/>
          <w:b/>
          <w:color w:val="0D1B2A"/>
          <w:sz w:val="26"/>
        </w:rPr>
        <w:t>1. Platform Overview &amp; Core Architecture</w:t>
      </w:r>
    </w:p>
    <w:p>
      <w:pPr>
        <w:spacing w:before="0" w:after="120" w:line="276" w:lineRule="auto"/>
      </w:pPr>
      <w:r>
        <w:rPr>
          <w:rFonts w:ascii="Arial" w:hAnsi="Arial"/>
          <w:color w:val="232D37"/>
          <w:sz w:val="19"/>
        </w:rPr>
        <w:t>CraftAI Studio is a high-performance web application designed for generative image creation, prompt refinement, and community asset remixing. Built on Next.js 16 (App Router) and React 19, the frontend delivers a zero-latency user experience by pairing an optimistic local caching layer with Supabase Cloud for persistent data storage.</w:t>
      </w:r>
    </w:p>
    <w:p>
      <w:pPr>
        <w:spacing w:before="160" w:after="60"/>
      </w:pPr>
      <w:r>
        <w:rPr>
          <w:rFonts w:ascii="Arial" w:hAnsi="Arial"/>
          <w:b/>
          <w:color w:val="0D1B2A"/>
          <w:sz w:val="26"/>
        </w:rPr>
        <w:t>2. AI Generative Models &amp; Pipeline Engine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592"/>
            <w:shd w:val="clear" w:color="auto"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Model Name</w:t>
            </w:r>
          </w:p>
        </w:tc>
        <w:tc>
          <w:tcPr>
            <w:tcW w:type="dxa" w:w="1872"/>
            <w:shd w:val="clear" w:color="auto"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Latency / Type</w:t>
            </w:r>
          </w:p>
        </w:tc>
        <w:tc>
          <w:tcPr>
            <w:tcW w:type="dxa" w:w="5616"/>
            <w:shd w:val="clear" w:color="auto"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Role &amp; Key Capabilities</w:t>
            </w:r>
          </w:p>
        </w:tc>
      </w:tr>
      <w:tr>
        <w:tc>
          <w:tcPr>
            <w:tcW w:type="dxa" w:w="2592"/>
            <w:shd w:val="clear" w:color="auto" w:fill="F4F8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32D37"/>
                <w:sz w:val="17"/>
              </w:rPr>
              <w:t>Flux Schnell (v1.2)</w:t>
            </w:r>
          </w:p>
        </w:tc>
        <w:tc>
          <w:tcPr>
            <w:tcW w:type="dxa" w:w="1872"/>
            <w:shd w:val="clear" w:color="auto" w:fill="F4F8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32D37"/>
                <w:sz w:val="17"/>
              </w:rPr>
              <w:t>Sub-2s Diffusion</w:t>
            </w:r>
          </w:p>
        </w:tc>
        <w:tc>
          <w:tcPr>
            <w:tcW w:type="dxa" w:w="5616"/>
            <w:shd w:val="clear" w:color="auto" w:fill="F4F8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32D37"/>
                <w:sz w:val="17"/>
              </w:rPr>
              <w:t>Primary engine: 12B parameter rectified flow diffusion model. Unmatched photorealism, structural accuracy, complex scene geometry, and crisp typography.</w:t>
            </w:r>
          </w:p>
        </w:tc>
      </w:tr>
      <w:tr>
        <w:tc>
          <w:tcPr>
            <w:tcW w:type="dxa" w:w="2592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32D37"/>
                <w:sz w:val="17"/>
              </w:rPr>
              <w:t>SDXL Turbo (v2.0)</w:t>
            </w:r>
          </w:p>
        </w:tc>
        <w:tc>
          <w:tcPr>
            <w:tcW w:type="dxa" w:w="1872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32D37"/>
                <w:sz w:val="17"/>
              </w:rPr>
              <w:t>Sub-1s Adversarial</w:t>
            </w:r>
          </w:p>
        </w:tc>
        <w:tc>
          <w:tcPr>
            <w:tcW w:type="dxa" w:w="5616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32D37"/>
                <w:sz w:val="17"/>
              </w:rPr>
              <w:t>Real-time ADD (Adversarial Diffusion Distillation) engine. Optimized for instant prompt prototyping, high-frequency variation tests, and interactive remix iterations.</w:t>
            </w:r>
          </w:p>
        </w:tc>
      </w:tr>
      <w:tr>
        <w:tc>
          <w:tcPr>
            <w:tcW w:type="dxa" w:w="2592"/>
            <w:shd w:val="clear" w:color="auto" w:fill="F4F8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32D37"/>
                <w:sz w:val="17"/>
              </w:rPr>
              <w:t>Stable XL (v1.0)</w:t>
            </w:r>
          </w:p>
        </w:tc>
        <w:tc>
          <w:tcPr>
            <w:tcW w:type="dxa" w:w="1872"/>
            <w:shd w:val="clear" w:color="auto" w:fill="F4F8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32D37"/>
                <w:sz w:val="17"/>
              </w:rPr>
              <w:t>2-3s Latent Diffusion</w:t>
            </w:r>
          </w:p>
        </w:tc>
        <w:tc>
          <w:tcPr>
            <w:tcW w:type="dxa" w:w="5616"/>
            <w:shd w:val="clear" w:color="auto" w:fill="F4F8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32D37"/>
                <w:sz w:val="17"/>
              </w:rPr>
              <w:t>High-capacity dual text-encoder architecture. Excels in artistic illustrations, concept artwork, painterly watercolors, and anime aesthetics.</w:t>
            </w:r>
          </w:p>
        </w:tc>
      </w:tr>
    </w:tbl>
    <w:p>
      <w:pPr>
        <w:spacing w:before="100" w:after="160"/>
      </w:pPr>
      <w:r>
        <w:rPr>
          <w:rFonts w:ascii="Arial" w:hAnsi="Arial"/>
          <w:b/>
          <w:color w:val="0096D6"/>
          <w:sz w:val="18"/>
        </w:rPr>
        <w:t xml:space="preserve">Watermark Removal &amp; Lossless Canvas Rendering: </w:t>
      </w:r>
      <w:r>
        <w:rPr>
          <w:rFonts w:ascii="Arial" w:hAnsi="Arial"/>
          <w:color w:val="232D37"/>
          <w:sz w:val="18"/>
        </w:rPr>
        <w:t>Images synthesized through the Pollinations API include a tiny bottom badge. CraftAI Studio routes all outputs through an automated HTML5 Canvas crop transformation (stripWatermark) with clipPath bounds, completely eliminating all logos while preserving pure 1024x1024 lossless pixels.</w:t>
      </w:r>
    </w:p>
    <w:p>
      <w:pPr>
        <w:spacing w:before="160" w:after="60"/>
      </w:pPr>
      <w:r>
        <w:rPr>
          <w:rFonts w:ascii="Arial" w:hAnsi="Arial"/>
          <w:b/>
          <w:color w:val="0D1B2A"/>
          <w:sz w:val="26"/>
        </w:rPr>
        <w:t>3. Application Pages &amp; Navigation Topology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592"/>
            <w:shd w:val="clear" w:color="auto"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Route &amp; Screen</w:t>
            </w:r>
          </w:p>
        </w:tc>
        <w:tc>
          <w:tcPr>
            <w:tcW w:type="dxa" w:w="2592"/>
            <w:shd w:val="clear" w:color="auto"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Functional Role</w:t>
            </w:r>
          </w:p>
        </w:tc>
        <w:tc>
          <w:tcPr>
            <w:tcW w:type="dxa" w:w="4896"/>
            <w:shd w:val="clear" w:color="auto"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Connected Flows &amp; User Actions</w:t>
            </w:r>
          </w:p>
        </w:tc>
      </w:tr>
      <w:tr>
        <w:tc>
          <w:tcPr>
            <w:tcW w:type="dxa" w:w="2592"/>
            <w:shd w:val="clear" w:color="auto" w:fill="F4F8F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32D37"/>
                <w:sz w:val="17"/>
              </w:rPr>
              <w:t>AI Chat Workspace (/)</w:t>
            </w:r>
          </w:p>
        </w:tc>
        <w:tc>
          <w:tcPr>
            <w:tcW w:type="dxa" w:w="2592"/>
            <w:shd w:val="clear" w:color="auto" w:fill="F4F8F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32D37"/>
                <w:sz w:val="17"/>
              </w:rPr>
              <w:t>ChatGPT-Style Home Prompt Launcher</w:t>
            </w:r>
          </w:p>
        </w:tc>
        <w:tc>
          <w:tcPr>
            <w:tcW w:type="dxa" w:w="4896"/>
            <w:shd w:val="clear" w:color="auto" w:fill="F4F8F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32D37"/>
                <w:sz w:val="17"/>
              </w:rPr>
              <w:t>Serves as the entry page. Features a central prompt capsule, model selector, auto-enhance toggle, and 4 quick-launch idea chips (Stickers, Cosmic Landscapes, Cyberpunk Samurai, Ghibli Anime). Submitting a prompt seamlessly navigates to Studio with auto-generation activated.</w:t>
            </w:r>
          </w:p>
        </w:tc>
      </w:tr>
      <w:tr>
        <w:tc>
          <w:tcPr>
            <w:tcW w:type="dxa" w:w="259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32D37"/>
                <w:sz w:val="17"/>
              </w:rPr>
              <w:t>Prompt Master Studio (/studio)</w:t>
            </w:r>
          </w:p>
        </w:tc>
        <w:tc>
          <w:tcPr>
            <w:tcW w:type="dxa" w:w="259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32D37"/>
                <w:sz w:val="17"/>
              </w:rPr>
              <w:t>Primary Interactive Creation Suite</w:t>
            </w:r>
          </w:p>
        </w:tc>
        <w:tc>
          <w:tcPr>
            <w:tcW w:type="dxa" w:w="4896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32D37"/>
                <w:sz w:val="17"/>
              </w:rPr>
              <w:t>Features a two-column layout: Left Canvas displays the real-time lossless render with Safe Mode filtering, Save Private, and Publish Public CTAs. The Right Panel hosts the Prompt Studio Assistant (draggable 300px–800px) with conversation history, two-way style boosters, visual anchor likeness detection, and a busy-locked synthesis state.</w:t>
            </w:r>
          </w:p>
        </w:tc>
      </w:tr>
      <w:tr>
        <w:tc>
          <w:tcPr>
            <w:tcW w:type="dxa" w:w="2592"/>
            <w:shd w:val="clear" w:color="auto" w:fill="F4F8F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32D37"/>
                <w:sz w:val="17"/>
              </w:rPr>
              <w:t>Recent Generations (Sidebar Drawer)</w:t>
            </w:r>
          </w:p>
        </w:tc>
        <w:tc>
          <w:tcPr>
            <w:tcW w:type="dxa" w:w="2592"/>
            <w:shd w:val="clear" w:color="auto" w:fill="F4F8F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32D37"/>
                <w:sz w:val="17"/>
              </w:rPr>
              <w:t>Session-Aware Navigation &amp; History</w:t>
            </w:r>
          </w:p>
        </w:tc>
        <w:tc>
          <w:tcPr>
            <w:tcW w:type="dxa" w:w="4896"/>
            <w:shd w:val="clear" w:color="auto" w:fill="F4F8F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32D37"/>
                <w:sz w:val="17"/>
              </w:rPr>
              <w:t>Scoped strictly per logged-in user. Clicking '+ New Generation' initiates a fresh session. Submitting follow-up prompts to modify an active artwork updates the SAME session entry in place (updating title, thumbnail, and timestamp) rather than creating clutter.</w:t>
            </w:r>
          </w:p>
        </w:tc>
      </w:tr>
      <w:tr>
        <w:tc>
          <w:tcPr>
            <w:tcW w:type="dxa" w:w="259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32D37"/>
                <w:sz w:val="17"/>
              </w:rPr>
              <w:t>Remix Lab (/remix/[id])</w:t>
            </w:r>
          </w:p>
        </w:tc>
        <w:tc>
          <w:tcPr>
            <w:tcW w:type="dxa" w:w="259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32D37"/>
                <w:sz w:val="17"/>
              </w:rPr>
              <w:t>Image-to-Image Variation Suite</w:t>
            </w:r>
          </w:p>
        </w:tc>
        <w:tc>
          <w:tcPr>
            <w:tcW w:type="dxa" w:w="4896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32D37"/>
                <w:sz w:val="17"/>
              </w:rPr>
              <w:t>Opens when user clicks 'Remix in Lab' on any artwork. Locks the source image as a reference anchor and allows users to converse with the Remix Assistant, applying style modifiers, texture shifts, and lighting transfers with full provenance tracking.</w:t>
            </w:r>
          </w:p>
        </w:tc>
      </w:tr>
      <w:tr>
        <w:tc>
          <w:tcPr>
            <w:tcW w:type="dxa" w:w="2592"/>
            <w:shd w:val="clear" w:color="auto" w:fill="F4F8F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32D37"/>
                <w:sz w:val="17"/>
              </w:rPr>
              <w:t>Explore Gallery (/explore)</w:t>
            </w:r>
          </w:p>
        </w:tc>
        <w:tc>
          <w:tcPr>
            <w:tcW w:type="dxa" w:w="2592"/>
            <w:shd w:val="clear" w:color="auto" w:fill="F4F8F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32D37"/>
                <w:sz w:val="17"/>
              </w:rPr>
              <w:t>Community Prompt &amp; Art Marketplace</w:t>
            </w:r>
          </w:p>
        </w:tc>
        <w:tc>
          <w:tcPr>
            <w:tcW w:type="dxa" w:w="4896"/>
            <w:shd w:val="clear" w:color="auto" w:fill="F4F8F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32D37"/>
                <w:sz w:val="17"/>
              </w:rPr>
              <w:t>A curated showcase feed of published artworks. Users can filter by categories (Photorealism, Anime, Cyberpunk, 3D Render) and perform 1-tap dual actions: 'Use as Prompt' or 'Use as Reference' with creator royalty attribution.</w:t>
            </w:r>
          </w:p>
        </w:tc>
      </w:tr>
      <w:tr>
        <w:tc>
          <w:tcPr>
            <w:tcW w:type="dxa" w:w="259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32D37"/>
                <w:sz w:val="17"/>
              </w:rPr>
              <w:t>Creator Profile (/profile)</w:t>
            </w:r>
          </w:p>
        </w:tc>
        <w:tc>
          <w:tcPr>
            <w:tcW w:type="dxa" w:w="259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32D37"/>
                <w:sz w:val="17"/>
              </w:rPr>
              <w:t>Personal Dashboard &amp; Asset Portfolio</w:t>
            </w:r>
          </w:p>
        </w:tc>
        <w:tc>
          <w:tcPr>
            <w:tcW w:type="dxa" w:w="4896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32D37"/>
                <w:sz w:val="17"/>
              </w:rPr>
              <w:t>Accessible via the top-right user profile header. Displays creator credentials, credit balances (98 Credits), saved private bookmarks, and published public showcase collections.</w:t>
            </w:r>
          </w:p>
        </w:tc>
      </w:tr>
      <w:tr>
        <w:tc>
          <w:tcPr>
            <w:tcW w:type="dxa" w:w="2592"/>
            <w:shd w:val="clear" w:color="auto" w:fill="F4F8F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32D37"/>
                <w:sz w:val="17"/>
              </w:rPr>
              <w:t>Authentication (/auth/login &amp; /auth/register)</w:t>
            </w:r>
          </w:p>
        </w:tc>
        <w:tc>
          <w:tcPr>
            <w:tcW w:type="dxa" w:w="2592"/>
            <w:shd w:val="clear" w:color="auto" w:fill="F4F8F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32D37"/>
                <w:sz w:val="17"/>
              </w:rPr>
              <w:t>Secure Identity &amp; Session Provider</w:t>
            </w:r>
          </w:p>
        </w:tc>
        <w:tc>
          <w:tcPr>
            <w:tcW w:type="dxa" w:w="4896"/>
            <w:shd w:val="clear" w:color="auto" w:fill="F4F8F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32D37"/>
                <w:sz w:val="17"/>
              </w:rPr>
              <w:t>Manages user authentication via Supabase Auth and UserContext. Automatically scopes recent generation keys and private collections to the active email/user ID.</w:t>
            </w:r>
          </w:p>
        </w:tc>
      </w:tr>
    </w:tbl>
    <w:p>
      <w:pPr>
        <w:spacing w:before="160" w:after="60"/>
      </w:pPr>
      <w:r>
        <w:rPr>
          <w:rFonts w:ascii="Arial" w:hAnsi="Arial"/>
          <w:b/>
          <w:color w:val="0D1B2A"/>
          <w:sz w:val="26"/>
        </w:rPr>
        <w:t>4. Key Features &amp; Production Design Patterns</w:t>
      </w:r>
    </w:p>
    <w:p>
      <w:pPr>
        <w:spacing w:before="20" w:after="40"/>
        <w:ind w:left="288"/>
      </w:pPr>
      <w:r>
        <w:rPr>
          <w:b/>
          <w:color w:val="0096D6"/>
        </w:rPr>
        <w:t xml:space="preserve">• </w:t>
      </w:r>
      <w:r>
        <w:rPr>
          <w:rFonts w:ascii="Arial" w:hAnsi="Arial"/>
          <w:b/>
          <w:color w:val="0D1B2A"/>
          <w:sz w:val="18"/>
        </w:rPr>
        <w:t xml:space="preserve">Conversational Chat Stream: </w:t>
      </w:r>
      <w:r>
        <w:rPr>
          <w:rFonts w:ascii="Arial" w:hAnsi="Arial"/>
          <w:color w:val="232D37"/>
          <w:sz w:val="18"/>
        </w:rPr>
        <w:t>Prompt Studio Assistant maintains a responsive message stream with auto-scrolling, distinguishing user prompts from assistant status updates and model metadata.</w:t>
      </w:r>
    </w:p>
    <w:p>
      <w:pPr>
        <w:spacing w:before="20" w:after="40"/>
        <w:ind w:left="288"/>
      </w:pPr>
      <w:r>
        <w:rPr>
          <w:b/>
          <w:color w:val="0096D6"/>
        </w:rPr>
        <w:t xml:space="preserve">• </w:t>
      </w:r>
      <w:r>
        <w:rPr>
          <w:rFonts w:ascii="Arial" w:hAnsi="Arial"/>
          <w:b/>
          <w:color w:val="0D1B2A"/>
          <w:sz w:val="18"/>
        </w:rPr>
        <w:t xml:space="preserve">Visual Reference Anchor Likeness: </w:t>
      </w:r>
      <w:r>
        <w:rPr>
          <w:rFonts w:ascii="Arial" w:hAnsi="Arial"/>
          <w:color w:val="232D37"/>
          <w:sz w:val="18"/>
        </w:rPr>
        <w:t>Users can drag &amp; drop reference portraits or photos. The system parses the filename into likeness descriptors, injects facial/style features into the prompt, and marks the canvas with an 'Anchor Detected' badge.</w:t>
      </w:r>
    </w:p>
    <w:p>
      <w:pPr>
        <w:spacing w:before="20" w:after="40"/>
        <w:ind w:left="288"/>
      </w:pPr>
      <w:r>
        <w:rPr>
          <w:b/>
          <w:color w:val="0096D6"/>
        </w:rPr>
        <w:t xml:space="preserve">• </w:t>
      </w:r>
      <w:r>
        <w:rPr>
          <w:rFonts w:ascii="Arial" w:hAnsi="Arial"/>
          <w:b/>
          <w:color w:val="0D1B2A"/>
          <w:sz w:val="18"/>
        </w:rPr>
        <w:t xml:space="preserve">Two-Way Style Boosters: </w:t>
      </w:r>
      <w:r>
        <w:rPr>
          <w:rFonts w:ascii="Arial" w:hAnsi="Arial"/>
          <w:color w:val="232D37"/>
          <w:sz w:val="18"/>
        </w:rPr>
        <w:t>8 interactive toggle chips (Cinematic Lighting, Photorealistic 8K, Cyberpunk Neon, Studio Ghibli Anime, etc.) that can be selected or unselected with clean regex sanitization.</w:t>
      </w:r>
    </w:p>
    <w:p>
      <w:pPr>
        <w:spacing w:before="20" w:after="40"/>
        <w:ind w:left="288"/>
      </w:pPr>
      <w:r>
        <w:rPr>
          <w:b/>
          <w:color w:val="0096D6"/>
        </w:rPr>
        <w:t xml:space="preserve">• </w:t>
      </w:r>
      <w:r>
        <w:rPr>
          <w:rFonts w:ascii="Arial" w:hAnsi="Arial"/>
          <w:b/>
          <w:color w:val="0D1B2A"/>
          <w:sz w:val="18"/>
        </w:rPr>
        <w:t xml:space="preserve">Busy State Locking: </w:t>
      </w:r>
      <w:r>
        <w:rPr>
          <w:rFonts w:ascii="Arial" w:hAnsi="Arial"/>
          <w:color w:val="232D37"/>
          <w:sz w:val="18"/>
        </w:rPr>
        <w:t>While an image is synthesizing (isBusy = generating || imageLoading), all generation buttons, prompt recipe textareas, and booster chips are disabled with 'Synthesizing in Progress...' to prevent duplicate submissions.</w:t>
      </w:r>
    </w:p>
    <w:p>
      <w:pPr>
        <w:spacing w:before="20" w:after="40"/>
        <w:ind w:left="288"/>
      </w:pPr>
      <w:r>
        <w:rPr>
          <w:b/>
          <w:color w:val="0096D6"/>
        </w:rPr>
        <w:t xml:space="preserve">• </w:t>
      </w:r>
      <w:r>
        <w:rPr>
          <w:rFonts w:ascii="Arial" w:hAnsi="Arial"/>
          <w:b/>
          <w:color w:val="0D1B2A"/>
          <w:sz w:val="18"/>
        </w:rPr>
        <w:t xml:space="preserve">Dual-Layer Data Architecture: </w:t>
      </w:r>
      <w:r>
        <w:rPr>
          <w:rFonts w:ascii="Arial" w:hAnsi="Arial"/>
          <w:color w:val="232D37"/>
          <w:sz w:val="18"/>
        </w:rPr>
        <w:t>Combines zero-latency optimistic localStorage caching with Supabase PostgreSQL cloud sync, guaranteeing instantaneous UI updates (0ms delay) even on unstable connections.</w:t>
      </w:r>
    </w:p>
    <w:p>
      <w:pPr>
        <w:spacing w:before="200" w:after="0"/>
        <w:jc w:val="right"/>
      </w:pPr>
      <w:r>
        <w:rPr>
          <w:rFonts w:ascii="Arial" w:hAnsi="Arial"/>
          <w:color w:val="505A69"/>
          <w:sz w:val="16"/>
        </w:rPr>
        <w:t>CraftAI Studio • Technical Architecture v2.0 • September 2026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