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rPr>
          <w:b/>
          <w:bCs/>
          <w:color w:val="1F3864"/>
          <w:sz w:val="44"/>
          <w:szCs w:val="44"/>
        </w:rPr>
        <w:t xml:space="preserve">Records Retention Schedule</w:t>
      </w:r>
    </w:p>
    <w:p>
      <w:pPr>
        <w:spacing w:after="300"/>
        <w:jc w:val="center"/>
      </w:pPr>
      <w:r>
        <w:rPr>
          <w:b/>
          <w:bCs/>
          <w:color w:val="808080"/>
          <w:sz w:val="24"/>
          <w:szCs w:val="24"/>
        </w:rPr>
        <w:t xml:space="preserve">SAMPLE DOCUMENT — FOR ARCHIVING PROJECT REFERENCE ONLY</w:t>
      </w:r>
    </w:p>
    <w:p>
      <w:pPr>
        <w:spacing w:after="120"/>
      </w:pPr>
      <w:r>
        <w:rPr>
          <w:sz w:val="18"/>
          <w:szCs w:val="18"/>
        </w:rPr>
        <w:t xml:space="preserve">Document Type:  Business Practice — Uncontrolled if Printed</w:t>
      </w:r>
    </w:p>
    <w:p>
      <w:pPr>
        <w:spacing w:after="120"/>
      </w:pPr>
      <w:r>
        <w:rPr>
          <w:sz w:val="18"/>
          <w:szCs w:val="18"/>
        </w:rPr>
        <w:t xml:space="preserve">Publish Date:  [Sample Date]</w:t>
      </w:r>
    </w:p>
    <w:p>
      <w:pPr>
        <w:spacing w:after="120"/>
      </w:pPr>
      <w:r>
        <w:rPr>
          <w:sz w:val="18"/>
          <w:szCs w:val="18"/>
        </w:rPr>
        <w:t xml:space="preserve">Document Contact:  [Records Management Contact]</w:t>
      </w:r>
    </w:p>
    <w:p>
      <w:pPr>
        <w:spacing w:after="120"/>
      </w:pPr>
      <w:r>
        <w:rPr>
          <w:sz w:val="18"/>
          <w:szCs w:val="18"/>
        </w:rPr>
        <w:t xml:space="preserve">Revision:  Sample v1</w:t>
      </w:r>
    </w:p>
    <w:p>
      <w:pPr>
        <w:pStyle w:val="Heading1"/>
        <w:spacing w:after="120" w:before="240"/>
      </w:pPr>
      <w:r>
        <w:rPr>
          <w:b/>
          <w:bCs/>
          <w:color w:val="1F3864"/>
        </w:rPr>
        <w:t xml:space="preserve">Important Notes</w:t>
      </w:r>
    </w:p>
    <w:p>
      <w:pPr>
        <w:pStyle w:val="ListParagraph"/>
        <w:numPr>
          <w:ilvl w:val="0"/>
          <w:numId w:val="1"/>
        </w:numPr>
        <w:spacing w:after="60"/>
      </w:pPr>
      <w:r>
        <w:t xml:space="preserve">This is a sample, illustrative records retention schedule created for use in testing and demonstrating an archiving project. It is not associated with any specific organization, and the record series, codes, and retention periods shown are representative examples only.</w:t>
      </w:r>
    </w:p>
    <w:p>
      <w:pPr>
        <w:pStyle w:val="ListParagraph"/>
        <w:numPr>
          <w:ilvl w:val="0"/>
          <w:numId w:val="1"/>
        </w:numPr>
        <w:spacing w:after="60"/>
      </w:pPr>
      <w:r>
        <w:t xml:space="preserve">Total retention periods shown apply to both physical and electronic records, regardless of where or by whom they are maintained, including third-party service providers.</w:t>
      </w:r>
    </w:p>
    <w:p>
      <w:pPr>
        <w:pStyle w:val="ListParagraph"/>
        <w:numPr>
          <w:ilvl w:val="0"/>
          <w:numId w:val="1"/>
        </w:numPr>
        <w:spacing w:after="60"/>
      </w:pPr>
      <w:r>
        <w:t xml:space="preserve">Many retention periods in a real schedule are dictated by regulatory requirements. Before modifying any retention period for a category of records, consult with Legal and Records Management.</w:t>
      </w:r>
    </w:p>
    <w:p>
      <w:pPr>
        <w:pStyle w:val="ListParagraph"/>
        <w:numPr>
          <w:ilvl w:val="0"/>
          <w:numId w:val="1"/>
        </w:numPr>
        <w:spacing w:after="60"/>
      </w:pPr>
      <w:r>
        <w:t xml:space="preserve">Record series, codes, and functional groupings in this sample may be adapted, renamed, or restructured to fit the needs of the archiving project.</w:t>
      </w:r>
    </w:p>
    <w:p>
      <w:pPr>
        <w:pStyle w:val="Heading1"/>
        <w:spacing w:after="120" w:before="240"/>
      </w:pPr>
      <w:r>
        <w:rPr>
          <w:b/>
          <w:bCs/>
          <w:color w:val="1F3864"/>
        </w:rPr>
        <w:t xml:space="preserve">Definitions</w:t>
      </w:r>
    </w:p>
    <w:p>
      <w:pPr>
        <w:spacing w:after="80"/>
      </w:pPr>
      <w:r>
        <w:rPr>
          <w:b/>
          <w:bCs/>
        </w:rPr>
        <w:t xml:space="preserve">Active: </w:t>
      </w:r>
      <w:r>
        <w:t xml:space="preserve">While a matter, relationship, or engagement is in place.</w:t>
      </w:r>
    </w:p>
    <w:p>
      <w:pPr>
        <w:spacing w:after="80"/>
      </w:pPr>
      <w:r>
        <w:rPr>
          <w:b/>
          <w:bCs/>
        </w:rPr>
        <w:t xml:space="preserve">Current Year: </w:t>
      </w:r>
      <w:r>
        <w:t xml:space="preserve">The year in which a record is created.</w:t>
      </w:r>
    </w:p>
    <w:p>
      <w:pPr>
        <w:spacing w:after="80"/>
      </w:pPr>
      <w:r>
        <w:rPr>
          <w:b/>
          <w:bCs/>
        </w:rPr>
        <w:t xml:space="preserve">Superseded: </w:t>
      </w:r>
      <w:r>
        <w:t xml:space="preserve">Retain until the next version is created, released, or received.</w:t>
      </w:r>
    </w:p>
    <w:p>
      <w:pPr>
        <w:spacing w:after="80"/>
      </w:pPr>
      <w:r>
        <w:rPr>
          <w:b/>
          <w:bCs/>
        </w:rPr>
        <w:t xml:space="preserve">Permanent: </w:t>
      </w:r>
      <w:r>
        <w:t xml:space="preserve">Retain indefinitely.</w:t>
      </w:r>
    </w:p>
    <w:p>
      <w:pPr>
        <w:spacing w:after="80"/>
      </w:pPr>
      <w:r>
        <w:rPr>
          <w:b/>
          <w:bCs/>
        </w:rPr>
        <w:t xml:space="preserve">Life of Asset / Equipment: </w:t>
      </w:r>
      <w:r>
        <w:t xml:space="preserve">Retain for as long as the related asset or equipment remains in service.</w:t>
      </w:r>
    </w:p>
    <w:p>
      <w:pPr>
        <w:spacing w:after="80"/>
      </w:pPr>
      <w:r>
        <w:rPr>
          <w:b/>
          <w:bCs/>
        </w:rPr>
        <w:t xml:space="preserve">FPSC / FERC: </w:t>
      </w:r>
      <w:r>
        <w:t xml:space="preserve">Illustrative references to a state public service commission and a federal energy regulatory body, used here only as sample regulatory citations.</w:t>
      </w:r>
    </w:p>
    <w:p>
      <w:pPr>
        <w:pStyle w:val="Heading1"/>
        <w:spacing w:after="120" w:before="240"/>
      </w:pPr>
      <w:r>
        <w:rPr>
          <w:b/>
          <w:bCs/>
          <w:color w:val="1F3864"/>
        </w:rPr>
        <w:t xml:space="preserve">Records Retention Schedule</w:t>
      </w:r>
    </w:p>
    <w:p>
      <w:pPr>
        <w:spacing w:after="120"/>
      </w:pPr>
      <w:r>
        <w:t xml:space="preserve">The table below lists sample record series by business function, along with an illustrative series code, description, the event that triggers the retention period, the retention requirement, and any format requirement. Use this structure as a template and replace the sample entries with the record series relevant to your own project.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1750"/>
        <w:gridCol w:w="900"/>
        <w:gridCol w:w="4450"/>
        <w:gridCol w:w="1850"/>
        <w:gridCol w:w="1150"/>
        <w:gridCol w:w="2800"/>
      </w:tblGrid>
      <w:tr>
        <w:trPr>
          <w:cantSplit/>
          <w:tblHeader/>
        </w:trPr>
        <w:tc>
          <w:tcPr>
            <w:tcW w:type="dxa" w:w="1500"/>
            <w:tcBorders>
              <w:top w:val="single" w:color="A6A6A6" w:sz="2"/>
              <w:left w:val="single" w:color="A6A6A6" w:sz="2"/>
              <w:bottom w:val="single" w:color="A6A6A6" w:sz="2"/>
              <w:right w:val="single" w:color="A6A6A6" w:sz="2"/>
            </w:tcBorders>
            <w:shd w:fill="1F3864" w:val="clear"/>
            <w:tcMar>
              <w:top w:type="dxa" w:w="60"/>
              <w:left w:type="dxa" w:w="80"/>
              <w:bottom w:type="dxa" w:w="60"/>
              <w:right w:type="dxa" w:w="80"/>
            </w:tcMar>
            <w:vAlign w:val="center"/>
          </w:tcPr>
          <w:p>
            <w:r>
              <w:rPr>
                <w:b/>
                <w:bCs/>
                <w:color w:val="FFFFFF"/>
                <w:sz w:val="18"/>
                <w:szCs w:val="18"/>
              </w:rPr>
              <w:t xml:space="preserve">Function</w:t>
            </w:r>
          </w:p>
        </w:tc>
        <w:tc>
          <w:tcPr>
            <w:tcW w:type="dxa" w:w="1750"/>
            <w:tcBorders>
              <w:top w:val="single" w:color="A6A6A6" w:sz="2"/>
              <w:left w:val="single" w:color="A6A6A6" w:sz="2"/>
              <w:bottom w:val="single" w:color="A6A6A6" w:sz="2"/>
              <w:right w:val="single" w:color="A6A6A6" w:sz="2"/>
            </w:tcBorders>
            <w:shd w:fill="1F3864" w:val="clear"/>
            <w:tcMar>
              <w:top w:type="dxa" w:w="60"/>
              <w:left w:type="dxa" w:w="80"/>
              <w:bottom w:type="dxa" w:w="60"/>
              <w:right w:type="dxa" w:w="80"/>
            </w:tcMar>
            <w:vAlign w:val="center"/>
          </w:tcPr>
          <w:p>
            <w:r>
              <w:rPr>
                <w:b/>
                <w:bCs/>
                <w:color w:val="FFFFFF"/>
                <w:sz w:val="18"/>
                <w:szCs w:val="18"/>
              </w:rPr>
              <w:t xml:space="preserve">Record Series Name</w:t>
            </w:r>
          </w:p>
        </w:tc>
        <w:tc>
          <w:tcPr>
            <w:tcW w:type="dxa" w:w="900"/>
            <w:tcBorders>
              <w:top w:val="single" w:color="A6A6A6" w:sz="2"/>
              <w:left w:val="single" w:color="A6A6A6" w:sz="2"/>
              <w:bottom w:val="single" w:color="A6A6A6" w:sz="2"/>
              <w:right w:val="single" w:color="A6A6A6" w:sz="2"/>
            </w:tcBorders>
            <w:shd w:fill="1F3864" w:val="clear"/>
            <w:tcMar>
              <w:top w:type="dxa" w:w="60"/>
              <w:left w:type="dxa" w:w="80"/>
              <w:bottom w:type="dxa" w:w="60"/>
              <w:right w:type="dxa" w:w="80"/>
            </w:tcMar>
            <w:vAlign w:val="center"/>
          </w:tcPr>
          <w:p>
            <w:r>
              <w:rPr>
                <w:b/>
                <w:bCs/>
                <w:color w:val="FFFFFF"/>
                <w:sz w:val="18"/>
                <w:szCs w:val="18"/>
              </w:rPr>
              <w:t xml:space="preserve">Series Code</w:t>
            </w:r>
          </w:p>
        </w:tc>
        <w:tc>
          <w:tcPr>
            <w:tcW w:type="dxa" w:w="4450"/>
            <w:tcBorders>
              <w:top w:val="single" w:color="A6A6A6" w:sz="2"/>
              <w:left w:val="single" w:color="A6A6A6" w:sz="2"/>
              <w:bottom w:val="single" w:color="A6A6A6" w:sz="2"/>
              <w:right w:val="single" w:color="A6A6A6" w:sz="2"/>
            </w:tcBorders>
            <w:shd w:fill="1F3864" w:val="clear"/>
            <w:tcMar>
              <w:top w:type="dxa" w:w="60"/>
              <w:left w:type="dxa" w:w="80"/>
              <w:bottom w:type="dxa" w:w="60"/>
              <w:right w:type="dxa" w:w="80"/>
            </w:tcMar>
            <w:vAlign w:val="center"/>
          </w:tcPr>
          <w:p>
            <w:r>
              <w:rPr>
                <w:b/>
                <w:bCs/>
                <w:color w:val="FFFFFF"/>
                <w:sz w:val="18"/>
                <w:szCs w:val="18"/>
              </w:rPr>
              <w:t xml:space="preserve">Series Description</w:t>
            </w:r>
          </w:p>
        </w:tc>
        <w:tc>
          <w:tcPr>
            <w:tcW w:type="dxa" w:w="1850"/>
            <w:tcBorders>
              <w:top w:val="single" w:color="A6A6A6" w:sz="2"/>
              <w:left w:val="single" w:color="A6A6A6" w:sz="2"/>
              <w:bottom w:val="single" w:color="A6A6A6" w:sz="2"/>
              <w:right w:val="single" w:color="A6A6A6" w:sz="2"/>
            </w:tcBorders>
            <w:shd w:fill="1F3864" w:val="clear"/>
            <w:tcMar>
              <w:top w:type="dxa" w:w="60"/>
              <w:left w:type="dxa" w:w="80"/>
              <w:bottom w:type="dxa" w:w="60"/>
              <w:right w:type="dxa" w:w="80"/>
            </w:tcMar>
            <w:vAlign w:val="center"/>
          </w:tcPr>
          <w:p>
            <w:r>
              <w:rPr>
                <w:b/>
                <w:bCs/>
                <w:color w:val="FFFFFF"/>
                <w:sz w:val="18"/>
                <w:szCs w:val="18"/>
              </w:rPr>
              <w:t xml:space="preserve">Trigger Event</w:t>
            </w:r>
          </w:p>
        </w:tc>
        <w:tc>
          <w:tcPr>
            <w:tcW w:type="dxa" w:w="1150"/>
            <w:tcBorders>
              <w:top w:val="single" w:color="A6A6A6" w:sz="2"/>
              <w:left w:val="single" w:color="A6A6A6" w:sz="2"/>
              <w:bottom w:val="single" w:color="A6A6A6" w:sz="2"/>
              <w:right w:val="single" w:color="A6A6A6" w:sz="2"/>
            </w:tcBorders>
            <w:shd w:fill="1F3864" w:val="clear"/>
            <w:tcMar>
              <w:top w:type="dxa" w:w="60"/>
              <w:left w:type="dxa" w:w="80"/>
              <w:bottom w:type="dxa" w:w="60"/>
              <w:right w:type="dxa" w:w="80"/>
            </w:tcMar>
            <w:vAlign w:val="center"/>
          </w:tcPr>
          <w:p>
            <w:r>
              <w:rPr>
                <w:b/>
                <w:bCs/>
                <w:color w:val="FFFFFF"/>
                <w:sz w:val="18"/>
                <w:szCs w:val="18"/>
              </w:rPr>
              <w:t xml:space="preserve">Retention Requirement</w:t>
            </w:r>
          </w:p>
        </w:tc>
        <w:tc>
          <w:tcPr>
            <w:tcW w:type="dxa" w:w="2800"/>
            <w:tcBorders>
              <w:top w:val="single" w:color="A6A6A6" w:sz="2"/>
              <w:left w:val="single" w:color="A6A6A6" w:sz="2"/>
              <w:bottom w:val="single" w:color="A6A6A6" w:sz="2"/>
              <w:right w:val="single" w:color="A6A6A6" w:sz="2"/>
            </w:tcBorders>
            <w:shd w:fill="1F3864" w:val="clear"/>
            <w:tcMar>
              <w:top w:type="dxa" w:w="60"/>
              <w:left w:type="dxa" w:w="80"/>
              <w:bottom w:type="dxa" w:w="60"/>
              <w:right w:type="dxa" w:w="80"/>
            </w:tcMar>
            <w:vAlign w:val="center"/>
          </w:tcPr>
          <w:p>
            <w:r>
              <w:rPr>
                <w:b/>
                <w:bCs/>
                <w:color w:val="FFFFFF"/>
                <w:sz w:val="18"/>
                <w:szCs w:val="18"/>
              </w:rPr>
              <w:t xml:space="preserve">Format Requirement</w:t>
            </w:r>
          </w:p>
        </w:tc>
      </w:tr>
      <w:tr>
        <w:trPr>
          <w:cantSplit/>
        </w:trPr>
        <w:tc>
          <w:tcPr>
            <w:gridSpan w:val="7"/>
            <w:tcBorders>
              <w:top w:val="single" w:color="A6A6A6" w:sz="2"/>
              <w:left w:val="single" w:color="A6A6A6" w:sz="2"/>
              <w:bottom w:val="single" w:color="A6A6A6" w:sz="2"/>
              <w:right w:val="single" w:color="A6A6A6" w:sz="2"/>
            </w:tcBorders>
            <w:shd w:fill="D9E2F3" w:val="clear"/>
            <w:tcMar>
              <w:top w:type="dxa" w:w="50"/>
              <w:left w:type="dxa" w:w="80"/>
              <w:bottom w:type="dxa" w:w="50"/>
              <w:right w:type="dxa" w:w="80"/>
            </w:tcMar>
          </w:tcPr>
          <w:p>
            <w:r>
              <w:rPr>
                <w:b/>
                <w:bCs/>
                <w:sz w:val="19"/>
                <w:szCs w:val="19"/>
              </w:rPr>
              <w:t xml:space="preserve">Administration</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Administration</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Business Development</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ADM-001</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relating to business intelligence and background information used to develop business and strategic plans, including economic evaluations, market analysis, and competitor research.</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Current Year</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5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Administration</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Associations and Memberships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ADM-002</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related to organizational participation in professional associations and business organizations, including membership information and conference records.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Active</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3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Administration</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Policies and Procedures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ADM-003</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Documents providing direction, instruction, training, or policy for operations across the organization.</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Superseded</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Superseded + 6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Administration</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Committees / Meetings Records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ADM-004</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related to committee meetings conducted by various departments, including agendas, reports, and minutes.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Current Year</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7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gridSpan w:val="7"/>
            <w:tcBorders>
              <w:top w:val="single" w:color="A6A6A6" w:sz="2"/>
              <w:left w:val="single" w:color="A6A6A6" w:sz="2"/>
              <w:bottom w:val="single" w:color="A6A6A6" w:sz="2"/>
              <w:right w:val="single" w:color="A6A6A6" w:sz="2"/>
            </w:tcBorders>
            <w:shd w:fill="D9E2F3" w:val="clear"/>
            <w:tcMar>
              <w:top w:type="dxa" w:w="50"/>
              <w:left w:type="dxa" w:w="80"/>
              <w:bottom w:type="dxa" w:w="50"/>
              <w:right w:type="dxa" w:w="80"/>
            </w:tcMar>
          </w:tcPr>
          <w:p>
            <w:r>
              <w:rPr>
                <w:b/>
                <w:bCs/>
                <w:sz w:val="19"/>
                <w:szCs w:val="19"/>
              </w:rPr>
              <w:t xml:space="preserve">Comms &amp; Marketing</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Comms &amp; Marketing</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Advertising and Promotional Materials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COM-001</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Brochures and other marketing collateral describing products and services, including promotional materials and required regulatory advertising content.</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Superseded</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3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Comms &amp; Marketing</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News Releases and Archives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COM-002</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Master set of newsletters, press releases, and other published materials; includes photo and video archives of historical value.</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Current Year</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Permanent</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Comms &amp; Marketing</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Government and Public Relations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COM-003</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relating to government and community relations, donations, sponsorships, events, publications, and general public inquiries.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Current Year</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6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gridSpan w:val="7"/>
            <w:tcBorders>
              <w:top w:val="single" w:color="A6A6A6" w:sz="2"/>
              <w:left w:val="single" w:color="A6A6A6" w:sz="2"/>
              <w:bottom w:val="single" w:color="A6A6A6" w:sz="2"/>
              <w:right w:val="single" w:color="A6A6A6" w:sz="2"/>
            </w:tcBorders>
            <w:shd w:fill="D9E2F3" w:val="clear"/>
            <w:tcMar>
              <w:top w:type="dxa" w:w="50"/>
              <w:left w:type="dxa" w:w="80"/>
              <w:bottom w:type="dxa" w:w="50"/>
              <w:right w:type="dxa" w:w="80"/>
            </w:tcMar>
          </w:tcPr>
          <w:p>
            <w:r>
              <w:rPr>
                <w:b/>
                <w:bCs/>
                <w:sz w:val="19"/>
                <w:szCs w:val="19"/>
              </w:rPr>
              <w:t xml:space="preserve">Corporate Governance</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Corporate Governance</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Incorporation, Board and Shareholder Records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CG-001</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Corporate records establishing legal existence, rights and obligations of the organization, including Board of Directors and shareholder meeting records and annual filings.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N/A</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Permanent</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Corporate Governance</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Audit Records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CG-002</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of internal, external, or inter-company audits conducted for quality or legal compliance purposes, including audit reports and remediation plans.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Current Year</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7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Corporate Governance</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Annual Reports and Shareholder Communications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CG-003</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Master set of annual reports, proxy statements, and formal communications addressed to shareholders.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Current Year</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Permanent</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gridSpan w:val="7"/>
            <w:tcBorders>
              <w:top w:val="single" w:color="A6A6A6" w:sz="2"/>
              <w:left w:val="single" w:color="A6A6A6" w:sz="2"/>
              <w:bottom w:val="single" w:color="A6A6A6" w:sz="2"/>
              <w:right w:val="single" w:color="A6A6A6" w:sz="2"/>
            </w:tcBorders>
            <w:shd w:fill="D9E2F3" w:val="clear"/>
            <w:tcMar>
              <w:top w:type="dxa" w:w="50"/>
              <w:left w:type="dxa" w:w="80"/>
              <w:bottom w:type="dxa" w:w="50"/>
              <w:right w:type="dxa" w:w="80"/>
            </w:tcMar>
          </w:tcPr>
          <w:p>
            <w:r>
              <w:rPr>
                <w:b/>
                <w:bCs/>
                <w:sz w:val="19"/>
                <w:szCs w:val="19"/>
              </w:rPr>
              <w:t xml:space="preserve">Customer Experience</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Customer Experience</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Customer Account Records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CUS-001</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Customer account information including name, address, service details, equipment, and termination records; excludes contracts and accounting data.</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Termination of customer relationship</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6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Customer Experience</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Customer Complaints and Satisfaction Surveys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CUS-002</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of complaints and criticism from customers regarding services, including investigations, resolutions, and satisfaction survey data.</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Current Year</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3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Customer Experience</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Customer Payment Records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CUS-003</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Cash reports, payment images, deposit refunds, and reconciliation records related to customer billing and payment activity.</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Current Year</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5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Customer Experience</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Billing and Collections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CUS-004</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related to past-due accounts, collection letters, arrears reports, and write-off documentation.</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Account resolution</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6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gridSpan w:val="7"/>
            <w:tcBorders>
              <w:top w:val="single" w:color="A6A6A6" w:sz="2"/>
              <w:left w:val="single" w:color="A6A6A6" w:sz="2"/>
              <w:bottom w:val="single" w:color="A6A6A6" w:sz="2"/>
              <w:right w:val="single" w:color="A6A6A6" w:sz="2"/>
            </w:tcBorders>
            <w:shd w:fill="D9E2F3" w:val="clear"/>
            <w:tcMar>
              <w:top w:type="dxa" w:w="50"/>
              <w:left w:type="dxa" w:w="80"/>
              <w:bottom w:type="dxa" w:w="50"/>
              <w:right w:type="dxa" w:w="80"/>
            </w:tcMar>
          </w:tcPr>
          <w:p>
            <w:r>
              <w:rPr>
                <w:b/>
                <w:bCs/>
                <w:sz w:val="19"/>
                <w:szCs w:val="19"/>
              </w:rPr>
              <w:t xml:space="preserve">Environmental, Health &amp; Safety</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Environmental, Health &amp; Safety</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Environmental Incidents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EHS-001</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documenting environmental incidents, spills, releases, remediation, and recovery activities, including compliance reports related to such incidents.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N/A</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Permanent</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Environmental, Health &amp; Safety</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Environmental Monitoring</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EHS-002</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relating to monitoring and analysis of air, water, and soil quality, as well as environmental permit compliance.</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Current Year</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15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Environmental, Health &amp; Safety</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Hazardous Materials Management</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EHS-003</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relating to the handling, inventory, transportation, and disposition of hazardous materials and waste.</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Current Year</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30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Hardcopy required in certain jurisdictions per applicable transportation regulations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Environmental, Health &amp; Safety</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Employee Exposure Records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EHS-004</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of employee medical surveillance related to exposure to hazardous substances, environments, and noise.</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Termination of employment</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Employment + 30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Environmental, Health &amp; Safety</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Safety Training and Equipment Testing</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EHS-005</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Documentation of safety training received by employees, and records of testing, inspection, and maintenance of safety and fire protection equipment.</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Superseded</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5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Environmental, Health &amp; Safety</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Emergency Planning and Response</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EHS-006</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Emergency plans, disaster recovery plans, and alerting systems for responding to fire, spills, natural disasters, and workplace violence.</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Superseded</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10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gridSpan w:val="7"/>
            <w:tcBorders>
              <w:top w:val="single" w:color="A6A6A6" w:sz="2"/>
              <w:left w:val="single" w:color="A6A6A6" w:sz="2"/>
              <w:bottom w:val="single" w:color="A6A6A6" w:sz="2"/>
              <w:right w:val="single" w:color="A6A6A6" w:sz="2"/>
            </w:tcBorders>
            <w:shd w:fill="D9E2F3" w:val="clear"/>
            <w:tcMar>
              <w:top w:type="dxa" w:w="50"/>
              <w:left w:type="dxa" w:w="80"/>
              <w:bottom w:type="dxa" w:w="50"/>
              <w:right w:type="dxa" w:w="80"/>
            </w:tcMar>
          </w:tcPr>
          <w:p>
            <w:r>
              <w:rPr>
                <w:b/>
                <w:bCs/>
                <w:sz w:val="19"/>
                <w:szCs w:val="19"/>
              </w:rPr>
              <w:t xml:space="preserve">Facilities &amp; Real Estate</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Facilities &amp; Real Estate</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Facility Maintenance and Repair</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FAC-001</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related to the repair and general maintenance of equipment, facilities, and infrastructure, including inspection reports.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Life of facility or asset</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Life of Asset</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Facilities &amp; Real Estate</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Land and Easement Records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FAC-002</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Deeds, land lease agreements, right-of-way agreements, easements, and supporting documentation of owned and leased real property.</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Property disposition or termination of right</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Disposition + 6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Facilities &amp; Real Estate</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Real Estate Purchase and Sale Records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FAC-003</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Documentation regarding the purchase and sale of real property, including contracts, surveys, closing documents, and appraisals.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Closing of transaction</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10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Facilities &amp; Real Estate</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Security and Visitor Records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FAC-004</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Facility security assessments, incident reports, and visitor registration logs for company premises.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Current Year</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2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gridSpan w:val="7"/>
            <w:tcBorders>
              <w:top w:val="single" w:color="A6A6A6" w:sz="2"/>
              <w:left w:val="single" w:color="A6A6A6" w:sz="2"/>
              <w:bottom w:val="single" w:color="A6A6A6" w:sz="2"/>
              <w:right w:val="single" w:color="A6A6A6" w:sz="2"/>
            </w:tcBorders>
            <w:shd w:fill="D9E2F3" w:val="clear"/>
            <w:tcMar>
              <w:top w:type="dxa" w:w="50"/>
              <w:left w:type="dxa" w:w="80"/>
              <w:bottom w:type="dxa" w:w="50"/>
              <w:right w:type="dxa" w:w="80"/>
            </w:tcMar>
          </w:tcPr>
          <w:p>
            <w:r>
              <w:rPr>
                <w:b/>
                <w:bCs/>
                <w:sz w:val="19"/>
                <w:szCs w:val="19"/>
              </w:rPr>
              <w:t xml:space="preserve">Finance &amp; Accounting</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Finance &amp; Accounting</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General Accounting</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FIN-001</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related to general accounting functions, original entries, deposits, taxation, and year-end accounting activities.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Closure of relevant tax year</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10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Finance &amp; Accounting</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General Ledger</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FIN-002</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General ledger and sub-ledger records, including all asset, liability, revenue, and expense accounts.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Closure of relevant tax year</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10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Finance &amp; Accounting</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Financial Statements and Reports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FIN-003</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Financial statements, audited annual reports, and internal financial statements, including related tax filings.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Closure of relevant tax year</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10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Finance &amp; Accounting</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Budgeting</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FIN-004</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documenting the budgeting process, including working papers and variance analysis.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Current Year</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6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Finance &amp; Accounting</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Accounts Payable / Receivable</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FIN-005</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relating to payment of invoices for goods and services, and records used to collect monies owed for goods and services rendered.</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Current Year</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7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Finance &amp; Accounting</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Debt and Financing</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FIN-006</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of company debt and financing, including bonds, notes, loans, and lines of credit.</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Expiration or redemption of instrument</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8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Finance &amp; Accounting</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Tax Records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FIN-007</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Tax audit reports and workpapers, exemption certifications, and tax filings for applicable jurisdictions.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Closure of relevant tax year</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7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gridSpan w:val="7"/>
            <w:tcBorders>
              <w:top w:val="single" w:color="A6A6A6" w:sz="2"/>
              <w:left w:val="single" w:color="A6A6A6" w:sz="2"/>
              <w:bottom w:val="single" w:color="A6A6A6" w:sz="2"/>
              <w:right w:val="single" w:color="A6A6A6" w:sz="2"/>
            </w:tcBorders>
            <w:shd w:fill="D9E2F3" w:val="clear"/>
            <w:tcMar>
              <w:top w:type="dxa" w:w="50"/>
              <w:left w:type="dxa" w:w="80"/>
              <w:bottom w:type="dxa" w:w="50"/>
              <w:right w:type="dxa" w:w="80"/>
            </w:tcMar>
          </w:tcPr>
          <w:p>
            <w:r>
              <w:rPr>
                <w:b/>
                <w:bCs/>
                <w:sz w:val="19"/>
                <w:szCs w:val="19"/>
              </w:rPr>
              <w:t xml:space="preserve">Human Resources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Human Resources</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Payroll and Compensation Administration</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HR-001</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relating to hours worked, employee and executive payroll, wage statements, and compensation program administration.</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Closure of relevant tax year</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6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Human Resources</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Pension and Benefits Administration</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HR-002</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related to the management of pension and retirement benefits for permanent, temporary, and co-op employees.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Life of plan</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Life of Plan + 6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Human Resources</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Personnel Records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HR-003</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Individual employee personnel files, including performance reviews, certifications, promotions, and termination records.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Termination of employment</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Termination + 7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Human Resources</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Recruitment</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HR-004</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Applications, resumes, and other documents relating to the selection of job candidates, including background checks.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Current Year</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2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Human Resources</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Training Records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HR-005</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of employee training and development, including operational, professional, and technical training requirements.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Current Year</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6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Human Resources</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Personnel Medical Records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HR-006</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relating to employee medical files maintained during tenure with the organization.</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Termination of employment</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Termination + 30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Human Resources</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Employee Relations / Labor Matters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HR-007</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documenting grievances, arbitration, discrimination complaints, and union contract negotiations.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Matter resolution</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6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gridSpan w:val="7"/>
            <w:tcBorders>
              <w:top w:val="single" w:color="A6A6A6" w:sz="2"/>
              <w:left w:val="single" w:color="A6A6A6" w:sz="2"/>
              <w:bottom w:val="single" w:color="A6A6A6" w:sz="2"/>
              <w:right w:val="single" w:color="A6A6A6" w:sz="2"/>
            </w:tcBorders>
            <w:shd w:fill="D9E2F3" w:val="clear"/>
            <w:tcMar>
              <w:top w:type="dxa" w:w="50"/>
              <w:left w:type="dxa" w:w="80"/>
              <w:bottom w:type="dxa" w:w="50"/>
              <w:right w:type="dxa" w:w="80"/>
            </w:tcMar>
          </w:tcPr>
          <w:p>
            <w:r>
              <w:rPr>
                <w:b/>
                <w:bCs/>
                <w:sz w:val="19"/>
                <w:szCs w:val="19"/>
              </w:rPr>
              <w:t xml:space="preserve">Information Technology</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Information Technology</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IT Systems Management</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IT-001</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documenting the operation of information technology systems and applications, including network, communications, and operational logs.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Current Year</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2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Information Technology</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System Development and Testing</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IT-002</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Technical specifications, status reports, and test records for systems under development, including user documentation for installed applications.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System retirement</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5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Information Technology</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Access Requests and Approvals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IT-003</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used to grant employees and contractors rights of access to computing systems and environments.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Access revoked</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2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Information Technology</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Disaster Recovery Planning</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IT-004</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Emergency contingency plans detailing how IT will respond to a disaster in restoring services throughout the computing infrastructure.</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Superseded</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3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gridSpan w:val="7"/>
            <w:tcBorders>
              <w:top w:val="single" w:color="A6A6A6" w:sz="2"/>
              <w:left w:val="single" w:color="A6A6A6" w:sz="2"/>
              <w:bottom w:val="single" w:color="A6A6A6" w:sz="2"/>
              <w:right w:val="single" w:color="A6A6A6" w:sz="2"/>
            </w:tcBorders>
            <w:shd w:fill="D9E2F3" w:val="clear"/>
            <w:tcMar>
              <w:top w:type="dxa" w:w="50"/>
              <w:left w:type="dxa" w:w="80"/>
              <w:bottom w:type="dxa" w:w="50"/>
              <w:right w:type="dxa" w:w="80"/>
            </w:tcMar>
          </w:tcPr>
          <w:p>
            <w:r>
              <w:rPr>
                <w:b/>
                <w:bCs/>
                <w:sz w:val="19"/>
                <w:szCs w:val="19"/>
              </w:rPr>
              <w:t xml:space="preserve">Legal</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Legal</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Contracts and Agreements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LEG-001</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Executed agreements, contracts, leases, and amendments between the organization and third parties such as customers, suppliers, and contractors.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Termination or expiry of contract</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Expiry + 10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Legal</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Legal Matters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LEG-002</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relating to legal cases, opinions, and claims by or against the organization, including due diligence activities.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Matter resolution</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10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Legal</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Intellectual Property</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LEG-003</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relating to patents, trademarks, copyrights, designs, and models, including applications and registration records.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N/A</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Permanent</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Legal</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Insurance</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LEG-004</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related to insurance for all organizational assets, including insurance claims, losses, and underwriting information.</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N/A</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Permanent</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Legal</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Mergers, Acquisitions and Divestitures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LEG-005</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Transactional records related to the acquisition, merger, sale, or divestiture of businesses, including due diligence documentation.</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N/A</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Permanent</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Legal</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Privacy Breaches and Investigations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LEG-006</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related to internal and external privacy investigations, including breach reports, findings, and remedial activity records.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Conclusion of investigation</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10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Legal</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Claims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LEG-007</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General liability, automobile, workers' compensation, and property damage claim files, including supporting photos, documents, and reports.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Claim closure</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10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gridSpan w:val="7"/>
            <w:tcBorders>
              <w:top w:val="single" w:color="A6A6A6" w:sz="2"/>
              <w:left w:val="single" w:color="A6A6A6" w:sz="2"/>
              <w:bottom w:val="single" w:color="A6A6A6" w:sz="2"/>
              <w:right w:val="single" w:color="A6A6A6" w:sz="2"/>
            </w:tcBorders>
            <w:shd w:fill="D9E2F3" w:val="clear"/>
            <w:tcMar>
              <w:top w:type="dxa" w:w="50"/>
              <w:left w:type="dxa" w:w="80"/>
              <w:bottom w:type="dxa" w:w="50"/>
              <w:right w:type="dxa" w:w="80"/>
            </w:tcMar>
          </w:tcPr>
          <w:p>
            <w:r>
              <w:rPr>
                <w:b/>
                <w:bCs/>
                <w:sz w:val="19"/>
                <w:szCs w:val="19"/>
              </w:rPr>
              <w:t xml:space="preserve">Engineering &amp; Operations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Engineering &amp; Operations</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Engineering, Maintenance and Construction</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ENG-001</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related to engineering, maintenance, and construction activities across civil, mechanical, electrical, and piping systems, including specifications, standards, and as-built drawings.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N/A</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Permanent</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Engineering &amp; Operations</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Operations Data</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ENG-002</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relating to daily operations data, including volume, voltage, load, and pressure reporting for generation, transmission, and distribution systems.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Current Year</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6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Engineering &amp; Operations</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Project Files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ENG-003</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documenting the identification, pursuit, and development of capital projects across infrastructure and systems.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Project conclusion</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10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Engineering &amp; Operations</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Non-Destructive Testing</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ENG-004</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related to weld and material testing for flaws in pipes, components, and structural assets.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Life of asset</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Life of Asset</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Engineering &amp; Operations</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Purchasing and Materials Management</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ENG-005</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related to the procurement and maintenance of equipment, products, materials, and supplies, including RFPs, bids, and purchase orders.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Termination or expiry of associated contract</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Expiry + 10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gridSpan w:val="7"/>
            <w:tcBorders>
              <w:top w:val="single" w:color="A6A6A6" w:sz="2"/>
              <w:left w:val="single" w:color="A6A6A6" w:sz="2"/>
              <w:bottom w:val="single" w:color="A6A6A6" w:sz="2"/>
              <w:right w:val="single" w:color="A6A6A6" w:sz="2"/>
            </w:tcBorders>
            <w:shd w:fill="D9E2F3" w:val="clear"/>
            <w:tcMar>
              <w:top w:type="dxa" w:w="50"/>
              <w:left w:type="dxa" w:w="80"/>
              <w:bottom w:type="dxa" w:w="50"/>
              <w:right w:type="dxa" w:w="80"/>
            </w:tcMar>
          </w:tcPr>
          <w:p>
            <w:r>
              <w:rPr>
                <w:b/>
                <w:bCs/>
                <w:sz w:val="19"/>
                <w:szCs w:val="19"/>
              </w:rPr>
              <w:t xml:space="preserve">Regulatory</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Regulatory</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Regulatory Hearings and Permits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REG-001</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documenting regulatory applications, submissions, decisions, and orders related to facility construction, modification, and licensing.</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N/A</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Permanent</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Regulatory</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Regulatory Reporting</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REG-002</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related to reporting and compliance with regulatory bodies, including periodic filings and surveillance reports.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Current Year</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6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Regulatory</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Asset-Based Regulatory Reporting</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REG-003</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Regulatory reporting and compliance records that are tied to specific assets and retained based on asset life.</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Life of equipment or asset</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Life of Asset</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Regulatory</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Enforcement Actions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REG-004</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Self-reports, mitigation plans, and documentation related to enforcement actions taken by applicable regulatory authorities.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Matter resolution</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7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gridSpan w:val="7"/>
            <w:tcBorders>
              <w:top w:val="single" w:color="A6A6A6" w:sz="2"/>
              <w:left w:val="single" w:color="A6A6A6" w:sz="2"/>
              <w:bottom w:val="single" w:color="A6A6A6" w:sz="2"/>
              <w:right w:val="single" w:color="A6A6A6" w:sz="2"/>
            </w:tcBorders>
            <w:shd w:fill="D9E2F3" w:val="clear"/>
            <w:tcMar>
              <w:top w:type="dxa" w:w="50"/>
              <w:left w:type="dxa" w:w="80"/>
              <w:bottom w:type="dxa" w:w="50"/>
              <w:right w:type="dxa" w:w="80"/>
            </w:tcMar>
          </w:tcPr>
          <w:p>
            <w:r>
              <w:rPr>
                <w:b/>
                <w:bCs/>
                <w:sz w:val="19"/>
                <w:szCs w:val="19"/>
              </w:rPr>
              <w:t xml:space="preserve">Risk Management</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Risk Management</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Insurance Certificates and Inspections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RSK-001</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Certificates of insurance from vendors and contractors, and records related to inspections conducted to determine compliance with risk management policies.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Current Year</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5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Risk Management</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Counterparty and Credit Risk</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RSK-002</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relating to risk management, internal risk analysis, and counterparty risk assessments for the organization and its assets.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Superseded</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10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gridSpan w:val="7"/>
            <w:tcBorders>
              <w:top w:val="single" w:color="A6A6A6" w:sz="2"/>
              <w:left w:val="single" w:color="A6A6A6" w:sz="2"/>
              <w:bottom w:val="single" w:color="A6A6A6" w:sz="2"/>
              <w:right w:val="single" w:color="A6A6A6" w:sz="2"/>
            </w:tcBorders>
            <w:shd w:fill="D9E2F3" w:val="clear"/>
            <w:tcMar>
              <w:top w:type="dxa" w:w="50"/>
              <w:left w:type="dxa" w:w="80"/>
              <w:bottom w:type="dxa" w:w="50"/>
              <w:right w:type="dxa" w:w="80"/>
            </w:tcMar>
          </w:tcPr>
          <w:p>
            <w:r>
              <w:rPr>
                <w:b/>
                <w:bCs/>
                <w:sz w:val="19"/>
                <w:szCs w:val="19"/>
              </w:rPr>
              <w:t xml:space="preserve">Sales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Sales</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Pricing</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SAL-001</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documenting the development and dissemination of pricing for products and services, including commodity pricing and tariff rates.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Current Year</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6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r>
        <w:trPr>
          <w:cantSplit/>
        </w:trPr>
        <w:tc>
          <w:tcPr>
            <w:tcW w:type="dxa" w:w="15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Sales</w:t>
            </w:r>
          </w:p>
        </w:tc>
        <w:tc>
          <w:tcPr>
            <w:tcW w:type="dxa" w:w="17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Commodities Transactions</w:t>
            </w:r>
          </w:p>
        </w:tc>
        <w:tc>
          <w:tcPr>
            <w:tcW w:type="dxa" w:w="9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SAL-002</w:t>
            </w:r>
          </w:p>
        </w:tc>
        <w:tc>
          <w:tcPr>
            <w:tcW w:type="dxa" w:w="44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Records documenting commodities transactions, including hedging, swaps, futures, and other risk management transactions.</w:t>
            </w:r>
          </w:p>
        </w:tc>
        <w:tc>
          <w:tcPr>
            <w:tcW w:type="dxa" w:w="18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Current Year</w:t>
            </w:r>
          </w:p>
        </w:tc>
        <w:tc>
          <w:tcPr>
            <w:tcW w:type="dxa" w:w="115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6 Years</w:t>
            </w:r>
          </w:p>
        </w:tc>
        <w:tc>
          <w:tcPr>
            <w:tcW w:type="dxa" w:w="2800"/>
            <w:tcBorders>
              <w:top w:val="single" w:color="A6A6A6" w:sz="2"/>
              <w:left w:val="single" w:color="A6A6A6" w:sz="2"/>
              <w:bottom w:val="single" w:color="A6A6A6" w:sz="2"/>
              <w:right w:val="single" w:color="A6A6A6" w:sz="2"/>
            </w:tcBorders>
            <w:tcMar>
              <w:top w:type="dxa" w:w="60"/>
              <w:left w:type="dxa" w:w="80"/>
              <w:bottom w:type="dxa" w:w="60"/>
              <w:right w:type="dxa" w:w="80"/>
            </w:tcMar>
            <w:vAlign w:val="center"/>
          </w:tcPr>
          <w:p>
            <w:r>
              <w:rPr>
                <w:b w:val="false"/>
                <w:bCs w:val="false"/>
                <w:sz w:val="17"/>
                <w:szCs w:val="17"/>
              </w:rPr>
              <w:t xml:space="preserve">No hardcopy requirements</w:t>
            </w:r>
          </w:p>
        </w:tc>
      </w:tr>
    </w:tbl>
    <w:p>
      <w:pPr>
        <w:spacing w:before="300"/>
      </w:pPr>
    </w:p>
    <w:p>
      <w:pPr>
        <w:spacing w:after="120"/>
      </w:pPr>
      <w:r>
        <w:rPr>
          <w:i/>
          <w:iCs/>
          <w:color w:val="808080"/>
          <w:sz w:val="18"/>
          <w:szCs w:val="18"/>
        </w:rPr>
        <w:t xml:space="preserve">End of sample schedule. Replace all bracketed placeholders and sample entries above with information specific to your archiving project before use.</w:t>
      </w:r>
    </w:p>
    <w:sectPr>
      <w:headerReference w:type="default" r:id="rId7"/>
      <w:footerReference w:type="default" r:id="rId8"/>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Records Retention Schedule — Sample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2026-10-01T07:40:40.901Z</dcterms:created>
  <dcterms:modified xsi:type="dcterms:W3CDTF">2026-10-01T07:40:40.901Z</dcterms:modified>
</cp:coreProperties>
</file>

<file path=docProps/custom.xml><?xml version="1.0" encoding="utf-8"?>
<Properties xmlns="http://schemas.openxmlformats.org/officeDocument/2006/custom-properties" xmlns:vt="http://schemas.openxmlformats.org/officeDocument/2006/docPropsVTypes"/>
</file>