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240" w:rsidRPr="00706240" w:rsidRDefault="00706240">
      <w:pPr>
        <w:rPr>
          <w:b/>
          <w:sz w:val="20"/>
          <w:szCs w:val="20"/>
        </w:rPr>
      </w:pPr>
    </w:p>
    <w:p w:rsidR="00706240" w:rsidRPr="00706240" w:rsidRDefault="00706240">
      <w:pPr>
        <w:rPr>
          <w:b/>
          <w:sz w:val="20"/>
          <w:szCs w:val="20"/>
        </w:rPr>
      </w:pPr>
    </w:p>
    <w:p w:rsidR="00706240" w:rsidRPr="00706240" w:rsidRDefault="00706240" w:rsidP="00706240">
      <w:pPr>
        <w:pStyle w:val="Heading1"/>
        <w:shd w:val="clear" w:color="auto" w:fill="FFFFFF"/>
        <w:spacing w:before="0" w:line="0" w:lineRule="auto"/>
        <w:jc w:val="center"/>
        <w:rPr>
          <w:rFonts w:ascii="Segoe UI" w:hAnsi="Segoe UI" w:cs="Segoe UI"/>
          <w:color w:val="4C4C5E"/>
          <w:sz w:val="20"/>
          <w:szCs w:val="20"/>
        </w:rPr>
      </w:pPr>
      <w:r w:rsidRPr="00706240">
        <w:rPr>
          <w:rFonts w:ascii="Segoe UI" w:hAnsi="Segoe UI" w:cs="Segoe UI"/>
          <w:color w:val="4C4C5E"/>
          <w:sz w:val="20"/>
          <w:szCs w:val="20"/>
        </w:rPr>
        <w:t>Visualizing Microservice Architecture</w:t>
      </w:r>
    </w:p>
    <w:p w:rsidR="00706240" w:rsidRPr="00706240" w:rsidRDefault="00706240" w:rsidP="00706240">
      <w:pPr>
        <w:pStyle w:val="Heading1"/>
        <w:rPr>
          <w:b/>
        </w:rPr>
      </w:pPr>
      <w:r w:rsidRPr="00706240">
        <w:rPr>
          <w:b/>
        </w:rPr>
        <w:t>Use a visual model to express the complexity of a microservice architecture</w:t>
      </w:r>
    </w:p>
    <w:p w:rsidR="00706240" w:rsidRDefault="00706240">
      <w:pPr>
        <w:rPr>
          <w:b/>
          <w:sz w:val="20"/>
          <w:szCs w:val="20"/>
        </w:rPr>
      </w:pPr>
    </w:p>
    <w:p w:rsidR="00706240" w:rsidRPr="00706240" w:rsidRDefault="00706240">
      <w:pPr>
        <w:rPr>
          <w:b/>
          <w:sz w:val="20"/>
          <w:szCs w:val="20"/>
        </w:rPr>
      </w:pPr>
      <w:hyperlink r:id="rId7" w:history="1">
        <w:r w:rsidRPr="00706240">
          <w:rPr>
            <w:rStyle w:val="Hyperlink"/>
            <w:sz w:val="20"/>
            <w:szCs w:val="20"/>
          </w:rPr>
          <w:t>https://www.apiacademy.co/articles/2017/03/visualizing-microservice-architecture</w:t>
        </w:r>
      </w:hyperlink>
      <w:r w:rsidRPr="00706240">
        <w:rPr>
          <w:b/>
          <w:sz w:val="20"/>
          <w:szCs w:val="20"/>
        </w:rPr>
        <w:t xml:space="preserve"> </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Complexity in software systems is an unavoidable pain. In </w:t>
      </w:r>
      <w:hyperlink r:id="rId8" w:history="1">
        <w:r w:rsidRPr="00706240">
          <w:rPr>
            <w:rStyle w:val="Hyperlink"/>
            <w:rFonts w:ascii="Open Sans" w:hAnsi="Open Sans" w:cs="Open Sans"/>
            <w:color w:val="9C66F2"/>
            <w:sz w:val="20"/>
            <w:szCs w:val="20"/>
          </w:rPr>
          <w:t>conference presentations</w:t>
        </w:r>
      </w:hyperlink>
      <w:r w:rsidRPr="00706240">
        <w:rPr>
          <w:rFonts w:ascii="Open Sans" w:hAnsi="Open Sans" w:cs="Open Sans"/>
          <w:color w:val="4C4C5E"/>
          <w:sz w:val="20"/>
          <w:szCs w:val="20"/>
        </w:rPr>
        <w:t>, </w:t>
      </w:r>
      <w:hyperlink r:id="rId9" w:history="1">
        <w:r w:rsidRPr="00706240">
          <w:rPr>
            <w:rStyle w:val="Hyperlink"/>
            <w:rFonts w:ascii="Open Sans" w:hAnsi="Open Sans" w:cs="Open Sans"/>
            <w:color w:val="9C66F2"/>
            <w:sz w:val="20"/>
            <w:szCs w:val="20"/>
          </w:rPr>
          <w:t>blog posts</w:t>
        </w:r>
      </w:hyperlink>
      <w:r w:rsidR="00BB645B">
        <w:rPr>
          <w:rFonts w:ascii="Open Sans" w:hAnsi="Open Sans" w:cs="Open Sans"/>
          <w:color w:val="4C4C5E"/>
          <w:sz w:val="20"/>
          <w:szCs w:val="20"/>
        </w:rPr>
        <w:t xml:space="preserve"> </w:t>
      </w:r>
      <w:r w:rsidRPr="00706240">
        <w:rPr>
          <w:rFonts w:ascii="Open Sans" w:hAnsi="Open Sans" w:cs="Open Sans"/>
          <w:color w:val="4C4C5E"/>
          <w:sz w:val="20"/>
          <w:szCs w:val="20"/>
        </w:rPr>
        <w:t>and especially in our </w:t>
      </w:r>
      <w:hyperlink r:id="rId10" w:tgtFrame="_blank" w:history="1">
        <w:r w:rsidRPr="00706240">
          <w:rPr>
            <w:rStyle w:val="Hyperlink"/>
            <w:rFonts w:ascii="Open Sans" w:hAnsi="Open Sans" w:cs="Open Sans"/>
            <w:i/>
            <w:iCs/>
            <w:color w:val="9C66F2"/>
            <w:sz w:val="20"/>
            <w:szCs w:val="20"/>
          </w:rPr>
          <w:t>Microservice Architecture book</w:t>
        </w:r>
      </w:hyperlink>
      <w:r w:rsidRPr="00706240">
        <w:rPr>
          <w:rFonts w:ascii="Open Sans" w:hAnsi="Open Sans" w:cs="Open Sans"/>
          <w:color w:val="4C4C5E"/>
          <w:sz w:val="20"/>
          <w:szCs w:val="20"/>
        </w:rPr>
        <w:t xml:space="preserve">, we in the API Academy have discussed techniques for dealing with complexity in the context of microservices. In particular, we've cited Fred Brooks’ delineation of complexity into the </w:t>
      </w:r>
      <w:r w:rsidRPr="00BB645B">
        <w:rPr>
          <w:rFonts w:ascii="Open Sans" w:hAnsi="Open Sans" w:cs="Open Sans"/>
          <w:color w:val="4C4C5E"/>
          <w:sz w:val="20"/>
          <w:szCs w:val="20"/>
          <w:highlight w:val="yellow"/>
        </w:rPr>
        <w:t>essential complexity</w:t>
      </w:r>
      <w:r w:rsidRPr="00706240">
        <w:rPr>
          <w:rFonts w:ascii="Open Sans" w:hAnsi="Open Sans" w:cs="Open Sans"/>
          <w:color w:val="4C4C5E"/>
          <w:sz w:val="20"/>
          <w:szCs w:val="20"/>
        </w:rPr>
        <w:t xml:space="preserve"> that </w:t>
      </w:r>
      <w:r w:rsidRPr="00BB645B">
        <w:rPr>
          <w:rFonts w:ascii="Open Sans" w:hAnsi="Open Sans" w:cs="Open Sans"/>
          <w:color w:val="4C4C5E"/>
          <w:sz w:val="20"/>
          <w:szCs w:val="20"/>
          <w:highlight w:val="yellow"/>
        </w:rPr>
        <w:t>is inherent in the business problems a software system solves</w:t>
      </w:r>
      <w:r w:rsidRPr="00706240">
        <w:rPr>
          <w:rFonts w:ascii="Open Sans" w:hAnsi="Open Sans" w:cs="Open Sans"/>
          <w:color w:val="4C4C5E"/>
          <w:sz w:val="20"/>
          <w:szCs w:val="20"/>
        </w:rPr>
        <w:t xml:space="preserve"> and the </w:t>
      </w:r>
      <w:r w:rsidRPr="00BB645B">
        <w:rPr>
          <w:rFonts w:ascii="Open Sans" w:hAnsi="Open Sans" w:cs="Open Sans"/>
          <w:color w:val="4C4C5E"/>
          <w:sz w:val="20"/>
          <w:szCs w:val="20"/>
          <w:highlight w:val="yellow"/>
        </w:rPr>
        <w:t>accidental complexity</w:t>
      </w:r>
      <w:r w:rsidRPr="00706240">
        <w:rPr>
          <w:rFonts w:ascii="Open Sans" w:hAnsi="Open Sans" w:cs="Open Sans"/>
          <w:color w:val="4C4C5E"/>
          <w:sz w:val="20"/>
          <w:szCs w:val="20"/>
        </w:rPr>
        <w:t xml:space="preserve"> </w:t>
      </w:r>
      <w:r w:rsidRPr="00BB645B">
        <w:rPr>
          <w:rFonts w:ascii="Open Sans" w:hAnsi="Open Sans" w:cs="Open Sans"/>
          <w:color w:val="4C4C5E"/>
          <w:sz w:val="20"/>
          <w:szCs w:val="20"/>
          <w:highlight w:val="yellow"/>
        </w:rPr>
        <w:t>resulting from implementing that solution</w:t>
      </w:r>
      <w:r w:rsidRPr="00706240">
        <w:rPr>
          <w:rFonts w:ascii="Open Sans" w:hAnsi="Open Sans" w:cs="Open Sans"/>
          <w:color w:val="4C4C5E"/>
          <w:sz w:val="20"/>
          <w:szCs w:val="20"/>
        </w:rPr>
        <w:t>.</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As I work more closely with organizations who are adopting “API-first” engineering practices and microservice architectures, I find this delineation increasingly useful. Firstly, by separating the complexity in this way, it allows architects and engineers to focus on minimizing the system’s accidental complexity.</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The technological innovations associated with microservices help tremendously here: containers, automation tools, API management platforms. But what I really like about this complexity demarcation is that it helps us face an inconvenient truth: no technology—no elusive silver bullet that Brooks refers to in the title of his paper—is going to reduce a system’s essential complexity.</w:t>
      </w:r>
    </w:p>
    <w:p w:rsidR="00706240" w:rsidRPr="00706240" w:rsidRDefault="00706240" w:rsidP="00706240">
      <w:pPr>
        <w:pStyle w:val="NormalWeb"/>
        <w:shd w:val="clear" w:color="auto" w:fill="FFFFFF"/>
        <w:spacing w:before="0" w:beforeAutospacing="0"/>
        <w:jc w:val="center"/>
        <w:rPr>
          <w:rFonts w:ascii="Open Sans" w:hAnsi="Open Sans" w:cs="Open Sans"/>
          <w:color w:val="4C4C5E"/>
          <w:sz w:val="20"/>
          <w:szCs w:val="20"/>
        </w:rPr>
      </w:pPr>
      <w:r w:rsidRPr="00706240">
        <w:rPr>
          <w:rStyle w:val="Strong"/>
          <w:rFonts w:ascii="Open Sans" w:hAnsi="Open Sans" w:cs="Open Sans"/>
          <w:color w:val="4C4C5E"/>
          <w:sz w:val="20"/>
          <w:szCs w:val="20"/>
        </w:rPr>
        <w:t>“Many of the classical problems of developing software products derived from this essential complexity and its nonlinear increase with size.”</w:t>
      </w:r>
      <w:r w:rsidRPr="00706240">
        <w:rPr>
          <w:rFonts w:ascii="Open Sans" w:hAnsi="Open Sans" w:cs="Open Sans"/>
          <w:color w:val="4C4C5E"/>
          <w:sz w:val="20"/>
          <w:szCs w:val="20"/>
        </w:rPr>
        <w:t> — Fred Brooks,</w:t>
      </w:r>
      <w:r w:rsidRPr="00706240">
        <w:rPr>
          <w:rStyle w:val="Emphasis"/>
          <w:rFonts w:ascii="Open Sans" w:hAnsi="Open Sans" w:cs="Open Sans"/>
          <w:color w:val="4C4C5E"/>
          <w:sz w:val="20"/>
          <w:szCs w:val="20"/>
        </w:rPr>
        <w:t> </w:t>
      </w:r>
      <w:hyperlink r:id="rId11" w:tgtFrame="_blank" w:history="1">
        <w:r w:rsidRPr="00706240">
          <w:rPr>
            <w:rStyle w:val="Hyperlink"/>
            <w:rFonts w:ascii="Open Sans" w:hAnsi="Open Sans" w:cs="Open Sans"/>
            <w:i/>
            <w:iCs/>
            <w:color w:val="9C66F2"/>
            <w:sz w:val="20"/>
            <w:szCs w:val="20"/>
          </w:rPr>
          <w:t>No Silver Bullet—Essence &amp; Accident in Software Engineering</w:t>
        </w:r>
      </w:hyperlink>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However, what we can do is at least understand and document a system’s essential complexity. To do so effectively is a tall order for most technologists, since the expression of a system’s essential complexity should include no mention of the underlying technology used in the solution.</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The essential elements of a system’s essential complexity definition are the tasks and functions that the system performs, as well as the objects and interactions necessary to perform them. To optimize the cognitive load of such a definition, it is also natural to express this definition as a visual model. Even with visualization, software architects still struggle to keep the elements in their models technology-agnostic and at a consistent level.*</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I believe the reason </w:t>
      </w:r>
      <w:hyperlink r:id="rId12" w:tgtFrame="_blank" w:history="1">
        <w:r w:rsidRPr="00706240">
          <w:rPr>
            <w:rStyle w:val="Hyperlink"/>
            <w:rFonts w:ascii="Open Sans" w:hAnsi="Open Sans" w:cs="Open Sans"/>
            <w:color w:val="9C66F2"/>
            <w:sz w:val="20"/>
            <w:szCs w:val="20"/>
          </w:rPr>
          <w:t>Eric Evans</w:t>
        </w:r>
      </w:hyperlink>
      <w:r w:rsidRPr="00706240">
        <w:rPr>
          <w:rFonts w:ascii="Open Sans" w:hAnsi="Open Sans" w:cs="Open Sans"/>
          <w:color w:val="4C4C5E"/>
          <w:sz w:val="20"/>
          <w:szCs w:val="20"/>
        </w:rPr>
        <w:t>’ </w:t>
      </w:r>
      <w:hyperlink r:id="rId13" w:tgtFrame="_blank" w:history="1">
        <w:r w:rsidRPr="00706240">
          <w:rPr>
            <w:rStyle w:val="Hyperlink"/>
            <w:rFonts w:ascii="Open Sans" w:hAnsi="Open Sans" w:cs="Open Sans"/>
            <w:color w:val="9C66F2"/>
            <w:sz w:val="20"/>
            <w:szCs w:val="20"/>
          </w:rPr>
          <w:t>Domain-Driven Design</w:t>
        </w:r>
      </w:hyperlink>
      <w:r w:rsidRPr="00706240">
        <w:rPr>
          <w:rFonts w:ascii="Open Sans" w:hAnsi="Open Sans" w:cs="Open Sans"/>
          <w:color w:val="4C4C5E"/>
          <w:sz w:val="20"/>
          <w:szCs w:val="20"/>
        </w:rPr>
        <w:t> (DDD) methodology has risen to prominence is that it offers a means of visually defining the essential complexity of a software system. In particular, context maps showing domains, subdomains, bounded contexts and their interrelationships come as close as any method I’ve seen to illustrating essential complexity in a useful way. </w:t>
      </w:r>
      <w:hyperlink r:id="rId14" w:tgtFrame="_blank" w:history="1">
        <w:r w:rsidRPr="00706240">
          <w:rPr>
            <w:rStyle w:val="Hyperlink"/>
            <w:rFonts w:ascii="Open Sans" w:hAnsi="Open Sans" w:cs="Open Sans"/>
            <w:color w:val="9C66F2"/>
            <w:sz w:val="20"/>
            <w:szCs w:val="20"/>
          </w:rPr>
          <w:t>UML</w:t>
        </w:r>
      </w:hyperlink>
      <w:r w:rsidRPr="00706240">
        <w:rPr>
          <w:rFonts w:ascii="Open Sans" w:hAnsi="Open Sans" w:cs="Open Sans"/>
          <w:color w:val="4C4C5E"/>
          <w:sz w:val="20"/>
          <w:szCs w:val="20"/>
        </w:rPr>
        <w:t> certainly intended to provide a means for defining technology-agnostic application descriptions but I believe many of its models naturally bias toward its object-oriented roots. In fact, if you go too deep into the DDD toolbox I think you run into the same bias.**</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lastRenderedPageBreak/>
        <w:t>At this point, I use a derivative of DDD context maps when defining a system of interconnected microservices. I will go into detail on this approach in a future blog post.</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noProof/>
          <w:color w:val="4C4C5E"/>
          <w:sz w:val="20"/>
          <w:szCs w:val="20"/>
        </w:rPr>
        <w:drawing>
          <wp:inline distT="0" distB="0" distL="0" distR="0">
            <wp:extent cx="5722453" cy="2301044"/>
            <wp:effectExtent l="0" t="0" r="0" b="4445"/>
            <wp:docPr id="5" name="Picture 5" descr="A sample contex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ample context ma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664" cy="2318017"/>
                    </a:xfrm>
                    <a:prstGeom prst="rect">
                      <a:avLst/>
                    </a:prstGeom>
                    <a:noFill/>
                    <a:ln>
                      <a:noFill/>
                    </a:ln>
                  </pic:spPr>
                </pic:pic>
              </a:graphicData>
            </a:graphic>
          </wp:inline>
        </w:drawing>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 xml:space="preserve">Why is it important to understand and document the essential complexity of a software system and what does this have to do with microservices? </w:t>
      </w:r>
      <w:r w:rsidRPr="002641CA">
        <w:rPr>
          <w:rFonts w:ascii="Open Sans" w:hAnsi="Open Sans" w:cs="Open Sans"/>
          <w:color w:val="4C4C5E"/>
          <w:sz w:val="20"/>
          <w:szCs w:val="20"/>
          <w:highlight w:val="yellow"/>
        </w:rPr>
        <w:t>As microservice systems grow and evolve, much of their benefit comes from the cohesion of the services themselves</w:t>
      </w:r>
      <w:r w:rsidRPr="00706240">
        <w:rPr>
          <w:rFonts w:ascii="Open Sans" w:hAnsi="Open Sans" w:cs="Open Sans"/>
          <w:color w:val="4C4C5E"/>
          <w:sz w:val="20"/>
          <w:szCs w:val="20"/>
        </w:rPr>
        <w:t>. </w:t>
      </w:r>
      <w:hyperlink r:id="rId16" w:tgtFrame="_blank" w:history="1">
        <w:r w:rsidRPr="00706240">
          <w:rPr>
            <w:rStyle w:val="Hyperlink"/>
            <w:rFonts w:ascii="Open Sans" w:hAnsi="Open Sans" w:cs="Open Sans"/>
            <w:color w:val="9C66F2"/>
            <w:sz w:val="20"/>
            <w:szCs w:val="20"/>
          </w:rPr>
          <w:t>Phil Calçado</w:t>
        </w:r>
      </w:hyperlink>
      <w:r w:rsidRPr="00706240">
        <w:rPr>
          <w:rFonts w:ascii="Open Sans" w:hAnsi="Open Sans" w:cs="Open Sans"/>
          <w:color w:val="4C4C5E"/>
          <w:sz w:val="20"/>
          <w:szCs w:val="20"/>
        </w:rPr>
        <w:t> highlights this need in his blog post, “</w:t>
      </w:r>
      <w:hyperlink r:id="rId17" w:tgtFrame="_blank" w:history="1">
        <w:r w:rsidRPr="00706240">
          <w:rPr>
            <w:rStyle w:val="Hyperlink"/>
            <w:rFonts w:ascii="Open Sans" w:hAnsi="Open Sans" w:cs="Open Sans"/>
            <w:color w:val="9C66F2"/>
            <w:sz w:val="20"/>
            <w:szCs w:val="20"/>
          </w:rPr>
          <w:t>Microservices &amp; the First Law of Distributed Objects</w:t>
        </w:r>
      </w:hyperlink>
      <w:r w:rsidRPr="00706240">
        <w:rPr>
          <w:rFonts w:ascii="Open Sans" w:hAnsi="Open Sans" w:cs="Open Sans"/>
          <w:color w:val="4C4C5E"/>
          <w:sz w:val="20"/>
          <w:szCs w:val="20"/>
        </w:rPr>
        <w:t xml:space="preserve">”. </w:t>
      </w:r>
      <w:r w:rsidRPr="002641CA">
        <w:rPr>
          <w:rFonts w:ascii="Open Sans" w:hAnsi="Open Sans" w:cs="Open Sans"/>
          <w:color w:val="4C4C5E"/>
          <w:sz w:val="20"/>
          <w:szCs w:val="20"/>
          <w:highlight w:val="yellow"/>
        </w:rPr>
        <w:t>Cohesion is the product of determining service boundaries, a necessary step in modeling the essential complexity of the system</w:t>
      </w:r>
      <w:r w:rsidRPr="00706240">
        <w:rPr>
          <w:rFonts w:ascii="Open Sans" w:hAnsi="Open Sans" w:cs="Open Sans"/>
          <w:color w:val="4C4C5E"/>
          <w:sz w:val="20"/>
          <w:szCs w:val="20"/>
        </w:rPr>
        <w:t>.</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Fonts w:ascii="Open Sans" w:hAnsi="Open Sans" w:cs="Open Sans"/>
          <w:color w:val="4C4C5E"/>
          <w:sz w:val="20"/>
          <w:szCs w:val="20"/>
        </w:rPr>
        <w:t>Interestingly, harmoniously and seemingly in contradiction to the delineation of complexity described by Brooks, the technology agnostic context map of a microservice system is somewhat isomorphic to the topology of its implementation, much more so than that of an integrated set of monolithic applications. This could be a coincidence or it could be an indication that we’re on to something with this microservice architecture approach.</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Style w:val="Emphasis"/>
          <w:rFonts w:ascii="Open Sans" w:hAnsi="Open Sans" w:cs="Open Sans"/>
          <w:color w:val="4C4C5E"/>
          <w:sz w:val="20"/>
          <w:szCs w:val="20"/>
        </w:rPr>
        <w:t>* For a deep dive on the importance of visualization in software architecture, please review the work of </w:t>
      </w:r>
      <w:hyperlink r:id="rId18" w:anchor="Introduction" w:tgtFrame="_blank" w:history="1">
        <w:r w:rsidRPr="00706240">
          <w:rPr>
            <w:rStyle w:val="Hyperlink"/>
            <w:rFonts w:ascii="Open Sans" w:hAnsi="Open Sans" w:cs="Open Sans"/>
            <w:i/>
            <w:iCs/>
            <w:color w:val="9C66F2"/>
            <w:sz w:val="20"/>
            <w:szCs w:val="20"/>
          </w:rPr>
          <w:t>Ruth Malan</w:t>
        </w:r>
      </w:hyperlink>
      <w:r w:rsidRPr="00706240">
        <w:rPr>
          <w:rStyle w:val="Emphasis"/>
          <w:rFonts w:ascii="Open Sans" w:hAnsi="Open Sans" w:cs="Open Sans"/>
          <w:color w:val="4C4C5E"/>
          <w:sz w:val="20"/>
          <w:szCs w:val="20"/>
        </w:rPr>
        <w:t> and </w:t>
      </w:r>
      <w:hyperlink r:id="rId19" w:tgtFrame="_blank" w:history="1">
        <w:r w:rsidRPr="00706240">
          <w:rPr>
            <w:rStyle w:val="Hyperlink"/>
            <w:rFonts w:ascii="Open Sans" w:hAnsi="Open Sans" w:cs="Open Sans"/>
            <w:i/>
            <w:iCs/>
            <w:color w:val="9C66F2"/>
            <w:sz w:val="20"/>
            <w:szCs w:val="20"/>
          </w:rPr>
          <w:t>Simon Brown</w:t>
        </w:r>
      </w:hyperlink>
      <w:r w:rsidRPr="00706240">
        <w:rPr>
          <w:rStyle w:val="Emphasis"/>
          <w:rFonts w:ascii="Open Sans" w:hAnsi="Open Sans" w:cs="Open Sans"/>
          <w:color w:val="4C4C5E"/>
          <w:sz w:val="20"/>
          <w:szCs w:val="20"/>
        </w:rPr>
        <w:t>.</w:t>
      </w:r>
    </w:p>
    <w:p w:rsidR="00706240" w:rsidRPr="00706240" w:rsidRDefault="00706240" w:rsidP="00706240">
      <w:pPr>
        <w:pStyle w:val="NormalWeb"/>
        <w:shd w:val="clear" w:color="auto" w:fill="FFFFFF"/>
        <w:spacing w:before="0" w:beforeAutospacing="0"/>
        <w:rPr>
          <w:rFonts w:ascii="Open Sans" w:hAnsi="Open Sans" w:cs="Open Sans"/>
          <w:color w:val="4C4C5E"/>
          <w:sz w:val="20"/>
          <w:szCs w:val="20"/>
        </w:rPr>
      </w:pPr>
      <w:r w:rsidRPr="00706240">
        <w:rPr>
          <w:rStyle w:val="Emphasis"/>
          <w:rFonts w:ascii="Open Sans" w:hAnsi="Open Sans" w:cs="Open Sans"/>
          <w:color w:val="4C4C5E"/>
          <w:sz w:val="20"/>
          <w:szCs w:val="20"/>
        </w:rPr>
        <w:t>** Simon Brown’s </w:t>
      </w:r>
      <w:hyperlink r:id="rId20" w:tgtFrame="_blank" w:history="1">
        <w:r w:rsidRPr="00706240">
          <w:rPr>
            <w:rStyle w:val="Hyperlink"/>
            <w:rFonts w:ascii="Open Sans" w:hAnsi="Open Sans" w:cs="Open Sans"/>
            <w:i/>
            <w:iCs/>
            <w:color w:val="9C66F2"/>
            <w:sz w:val="20"/>
            <w:szCs w:val="20"/>
          </w:rPr>
          <w:t>C4 model</w:t>
        </w:r>
      </w:hyperlink>
      <w:r w:rsidRPr="00706240">
        <w:rPr>
          <w:rStyle w:val="Emphasis"/>
          <w:rFonts w:ascii="Open Sans" w:hAnsi="Open Sans" w:cs="Open Sans"/>
          <w:color w:val="4C4C5E"/>
          <w:sz w:val="20"/>
          <w:szCs w:val="20"/>
        </w:rPr>
        <w:t> and Alistair Cockburn’s </w:t>
      </w:r>
      <w:hyperlink r:id="rId21" w:tgtFrame="_blank" w:history="1">
        <w:r w:rsidRPr="00706240">
          <w:rPr>
            <w:rStyle w:val="Hyperlink"/>
            <w:rFonts w:ascii="Open Sans" w:hAnsi="Open Sans" w:cs="Open Sans"/>
            <w:i/>
            <w:iCs/>
            <w:color w:val="9C66F2"/>
            <w:sz w:val="20"/>
            <w:szCs w:val="20"/>
          </w:rPr>
          <w:t>Hexagonal Architecture</w:t>
        </w:r>
      </w:hyperlink>
      <w:r w:rsidRPr="00706240">
        <w:rPr>
          <w:rStyle w:val="Emphasis"/>
          <w:rFonts w:ascii="Open Sans" w:hAnsi="Open Sans" w:cs="Open Sans"/>
          <w:color w:val="4C4C5E"/>
          <w:sz w:val="20"/>
          <w:szCs w:val="20"/>
        </w:rPr>
        <w:t> offer interesting system visualizations worth investigating, albeit with a different scope than what I am describing.</w:t>
      </w:r>
    </w:p>
    <w:p w:rsidR="00706240" w:rsidRPr="00706240" w:rsidRDefault="00706240">
      <w:pPr>
        <w:rPr>
          <w:b/>
          <w:sz w:val="20"/>
          <w:szCs w:val="20"/>
        </w:rPr>
      </w:pPr>
    </w:p>
    <w:p w:rsidR="00AB745F" w:rsidRPr="00706240" w:rsidRDefault="00065464" w:rsidP="00706240">
      <w:pPr>
        <w:pStyle w:val="Heading1"/>
        <w:rPr>
          <w:b/>
        </w:rPr>
      </w:pPr>
      <w:r w:rsidRPr="00706240">
        <w:rPr>
          <w:b/>
        </w:rPr>
        <w:t>Designing a system of microservices</w:t>
      </w:r>
    </w:p>
    <w:p w:rsidR="00706240" w:rsidRDefault="00706240">
      <w:pPr>
        <w:rPr>
          <w:sz w:val="20"/>
          <w:szCs w:val="20"/>
        </w:rPr>
      </w:pPr>
    </w:p>
    <w:p w:rsidR="00065464" w:rsidRPr="00706240" w:rsidRDefault="008E7E2C">
      <w:pPr>
        <w:rPr>
          <w:sz w:val="20"/>
          <w:szCs w:val="20"/>
        </w:rPr>
      </w:pPr>
      <w:hyperlink r:id="rId22" w:history="1">
        <w:r w:rsidR="00065464" w:rsidRPr="00706240">
          <w:rPr>
            <w:rStyle w:val="Hyperlink"/>
            <w:sz w:val="20"/>
            <w:szCs w:val="20"/>
          </w:rPr>
          <w:t>http://www.apiacademy.co/designing-a-system-of-microservices/</w:t>
        </w:r>
      </w:hyperlink>
      <w:r w:rsidR="00065464" w:rsidRPr="00706240">
        <w:rPr>
          <w:sz w:val="20"/>
          <w:szCs w:val="20"/>
        </w:rPr>
        <w:t xml:space="preserve"> </w:t>
      </w:r>
    </w:p>
    <w:p w:rsidR="00065464" w:rsidRPr="00706240" w:rsidRDefault="00065464" w:rsidP="00065464">
      <w:pPr>
        <w:shd w:val="clear" w:color="auto" w:fill="F2F2F2"/>
        <w:rPr>
          <w:rFonts w:ascii="Helvetica" w:hAnsi="Helvetica"/>
          <w:b/>
          <w:bCs/>
          <w:color w:val="4A4848"/>
          <w:sz w:val="20"/>
          <w:szCs w:val="20"/>
        </w:rPr>
      </w:pPr>
      <w:r w:rsidRPr="00706240">
        <w:rPr>
          <w:rFonts w:ascii="Helvetica" w:hAnsi="Helvetica"/>
          <w:b/>
          <w:bCs/>
          <w:color w:val="4A4848"/>
          <w:sz w:val="20"/>
          <w:szCs w:val="20"/>
        </w:rPr>
        <w:t>Written by: Matt McLarty | May 1, 2017 - 1:58 PM</w:t>
      </w:r>
    </w:p>
    <w:p w:rsidR="00065464" w:rsidRPr="00706240" w:rsidRDefault="00065464" w:rsidP="00065464">
      <w:pPr>
        <w:pStyle w:val="NormalWeb"/>
        <w:shd w:val="clear" w:color="auto" w:fill="F2F2F2"/>
        <w:rPr>
          <w:rFonts w:ascii="Helvetica" w:hAnsi="Helvetica"/>
          <w:color w:val="4A4848"/>
          <w:sz w:val="20"/>
          <w:szCs w:val="20"/>
        </w:rPr>
      </w:pPr>
      <w:r w:rsidRPr="00706240">
        <w:rPr>
          <w:rStyle w:val="Emphasis"/>
          <w:rFonts w:ascii="Helvetica" w:hAnsi="Helvetica"/>
          <w:color w:val="4A4848"/>
          <w:sz w:val="20"/>
          <w:szCs w:val="20"/>
        </w:rPr>
        <w:t>This is part two of a three-part blog series on visualizing microservices. See</w:t>
      </w:r>
      <w:r w:rsidRPr="00706240">
        <w:rPr>
          <w:rStyle w:val="apple-converted-space"/>
          <w:rFonts w:ascii="Helvetica" w:hAnsi="Helvetica"/>
          <w:i/>
          <w:iCs/>
          <w:color w:val="4A4848"/>
          <w:sz w:val="20"/>
          <w:szCs w:val="20"/>
        </w:rPr>
        <w:t> </w:t>
      </w:r>
      <w:hyperlink r:id="rId23" w:history="1">
        <w:r w:rsidRPr="00706240">
          <w:rPr>
            <w:rStyle w:val="Hyperlink"/>
            <w:rFonts w:ascii="Helvetica" w:hAnsi="Helvetica"/>
            <w:i/>
            <w:iCs/>
            <w:color w:val="BC360A"/>
            <w:sz w:val="20"/>
            <w:szCs w:val="20"/>
          </w:rPr>
          <w:t>part one here</w:t>
        </w:r>
      </w:hyperlink>
      <w:r w:rsidRPr="00706240">
        <w:rPr>
          <w:rStyle w:val="Emphasis"/>
          <w:rFonts w:ascii="Helvetica" w:hAnsi="Helvetica"/>
          <w:color w:val="4A4848"/>
          <w:sz w:val="20"/>
          <w:szCs w:val="20"/>
        </w:rPr>
        <w: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lastRenderedPageBreak/>
        <w:t>I’ve been working with a number of large organizations recently, helping them understand and realize the value of Web APIs and microservice architecture. In this work, I have seen these organizations struggle consistently with determining how to define optimal boundaries between their microservices. In the industry, this is a known problem but not a solved one. Although much has been written about the value of cohesive services and the power of bounded contexts, there appears to be a void in guidance on how to practically identify these.</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One reason for this issue is that the people trying to determine service boundaries are technologists who are inherently looking for a technological solution but defining cohesive, capability-aligned service boundaries instead requires domain expertise. Fundamentally, this should be a modelling exercise that is independent of whatever technology is implemented under the covers. However, even those organizations that have consciously taken a technology-agnostic modelling approach have struggled with the process of defining service boundaries.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This has happened, in part, because the most popular software modelling methodologies often have implementation bias. For example,</w:t>
      </w:r>
      <w:r w:rsidRPr="00706240">
        <w:rPr>
          <w:rStyle w:val="apple-converted-space"/>
          <w:rFonts w:ascii="Helvetica" w:hAnsi="Helvetica"/>
          <w:color w:val="4A4848"/>
          <w:sz w:val="20"/>
          <w:szCs w:val="20"/>
        </w:rPr>
        <w:t> </w:t>
      </w:r>
      <w:hyperlink r:id="rId24" w:tgtFrame="_blank" w:history="1">
        <w:r w:rsidRPr="00706240">
          <w:rPr>
            <w:rStyle w:val="Hyperlink"/>
            <w:rFonts w:ascii="Helvetica" w:hAnsi="Helvetica"/>
            <w:color w:val="BC360A"/>
            <w:sz w:val="20"/>
            <w:szCs w:val="20"/>
          </w:rPr>
          <w:t>domain-driven design</w:t>
        </w:r>
      </w:hyperlink>
      <w:r w:rsidRPr="00706240">
        <w:rPr>
          <w:rFonts w:ascii="Helvetica" w:hAnsi="Helvetica"/>
          <w:color w:val="4A4848"/>
          <w:sz w:val="20"/>
          <w:szCs w:val="20"/>
        </w:rPr>
        <w:t> (DDD) has a bent toward object-oriented programming and UML has a data modelling perspective. On top of all this, there is no industry consensus on how a microservice system model should be depicted visually—what components should be depicted, how relationships should be represented, what terminology should be used—let alone any tooling in the space.</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Still, all hope is not lost. Some DDD concepts—most notably the idea of “bounded contexts”—have gained popularity and started the industry conversation on service boundary definition. Importantly, the higher-level abstractions in the DDD methodology—domains, subdomains, bounded contexts, aggregates, context maps—are technology-agnostic and model-centric.</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Since the accepted approach to understanding a system is to focus on the</w:t>
      </w:r>
      <w:r w:rsidRPr="00706240">
        <w:rPr>
          <w:rStyle w:val="apple-converted-space"/>
          <w:rFonts w:ascii="Helvetica" w:hAnsi="Helvetica"/>
          <w:color w:val="4A4848"/>
          <w:sz w:val="20"/>
          <w:szCs w:val="20"/>
        </w:rPr>
        <w:t> </w:t>
      </w:r>
      <w:hyperlink r:id="rId25" w:tgtFrame="_blank" w:history="1">
        <w:r w:rsidRPr="00706240">
          <w:rPr>
            <w:rStyle w:val="Hyperlink"/>
            <w:rFonts w:ascii="Helvetica" w:hAnsi="Helvetica"/>
            <w:color w:val="BC360A"/>
            <w:sz w:val="20"/>
            <w:szCs w:val="20"/>
          </w:rPr>
          <w:t>relationship between its components</w:t>
        </w:r>
      </w:hyperlink>
      <w:r w:rsidRPr="00706240">
        <w:rPr>
          <w:rFonts w:ascii="Helvetica" w:hAnsi="Helvetica"/>
          <w:color w:val="4A4848"/>
          <w:sz w:val="20"/>
          <w:szCs w:val="20"/>
        </w:rPr>
        <w:t>, we need not go deeper than the context map if we want a basic representation of a microservice system. So, perhaps we can use the DDD context map as a starting point for visually representing a system of microservices.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Even at the context-mapping level, a large organization’s complete system of services would be incomprehensible. So, in order to make the context map useful, it is important to have a context for the context map itself. This context could be the decomposition of a particular monolithic application or the service interactions of a particular initiative. The only way to coherently build a large organization’s system of microservices is to do so piece by piece, context by context. Along the way, these contexts can be combined to project the complete picture, if such a picture is even needed.</w:t>
      </w:r>
    </w:p>
    <w:p w:rsidR="00065464" w:rsidRPr="00706240" w:rsidRDefault="00065464" w:rsidP="00065464">
      <w:pPr>
        <w:pStyle w:val="NormalWeb"/>
        <w:shd w:val="clear" w:color="auto" w:fill="F2F2F2"/>
        <w:rPr>
          <w:rFonts w:ascii="Helvetica" w:hAnsi="Helvetica"/>
          <w:color w:val="4A4848"/>
          <w:sz w:val="20"/>
          <w:szCs w:val="20"/>
        </w:rPr>
      </w:pPr>
      <w:r w:rsidRPr="00706240">
        <w:rPr>
          <w:rStyle w:val="Strong"/>
          <w:rFonts w:ascii="Helvetica" w:hAnsi="Helvetica"/>
          <w:color w:val="4A4848"/>
          <w:sz w:val="20"/>
          <w:szCs w:val="20"/>
        </w:rPr>
        <w:t>Microservice Context Mapping: An Example</w:t>
      </w:r>
      <w:r w:rsidRPr="00706240">
        <w:rPr>
          <w:rFonts w:ascii="Helvetica" w:hAnsi="Helvetica"/>
          <w:b/>
          <w:bCs/>
          <w:color w:val="4A4848"/>
          <w:sz w:val="20"/>
          <w:szCs w:val="20"/>
        </w:rPr>
        <w:br/>
      </w:r>
      <w:r w:rsidRPr="00706240">
        <w:rPr>
          <w:rFonts w:ascii="Helvetica" w:hAnsi="Helvetica"/>
          <w:color w:val="4A4848"/>
          <w:sz w:val="20"/>
          <w:szCs w:val="20"/>
        </w:rPr>
        <w:t>Let’s look at an example of this approach in action. Consider a large retail bank that is looking to introduce customer-centric services in order to meet its strategic goals for customer retention. It would like to offer a new customer-centric payment solution that will allow its customers to make purchases based on their total relationship with the bank—their accounts, investments, assets, interaction patterns—rather than basing the authorization decision on the balance of one specific account.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Retail banking is an inherently complex business domain. There are interrelationships between entities like customers, products and servicing channels (branches, online banking, point of sale), as well as mandatory regulations related to financial transparency and data privacy. Therefore, although the idea behind this new payments service is intuitive, it presents a complex problem space. Where do you start?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 xml:space="preserve">Following the DDD approach loosely, </w:t>
      </w:r>
      <w:r w:rsidRPr="00706240">
        <w:rPr>
          <w:rFonts w:ascii="Helvetica" w:hAnsi="Helvetica"/>
          <w:color w:val="4A4848"/>
          <w:sz w:val="20"/>
          <w:szCs w:val="20"/>
          <w:highlight w:val="yellow"/>
        </w:rPr>
        <w:t>we can first start by breaking the retail banking domain down into subdomains</w:t>
      </w:r>
      <w:r w:rsidRPr="00706240">
        <w:rPr>
          <w:rFonts w:ascii="Helvetica" w:hAnsi="Helvetica"/>
          <w:color w:val="4A4848"/>
          <w:sz w:val="20"/>
          <w:szCs w:val="20"/>
        </w:rPr>
        <w:t xml:space="preserve">. As a starting point—and </w:t>
      </w:r>
      <w:r w:rsidRPr="00706240">
        <w:rPr>
          <w:rFonts w:ascii="Helvetica" w:hAnsi="Helvetica"/>
          <w:color w:val="4A4848"/>
          <w:sz w:val="20"/>
          <w:szCs w:val="20"/>
          <w:highlight w:val="yellow"/>
        </w:rPr>
        <w:t>following</w:t>
      </w:r>
      <w:r w:rsidRPr="00706240">
        <w:rPr>
          <w:rFonts w:ascii="Helvetica" w:hAnsi="Helvetica"/>
          <w:color w:val="4A4848"/>
          <w:sz w:val="20"/>
          <w:szCs w:val="20"/>
        </w:rPr>
        <w:t xml:space="preserve"> the inevitability of </w:t>
      </w:r>
      <w:r w:rsidRPr="00706240">
        <w:rPr>
          <w:rFonts w:ascii="Helvetica" w:hAnsi="Helvetica"/>
          <w:color w:val="4A4848"/>
          <w:sz w:val="20"/>
          <w:szCs w:val="20"/>
          <w:highlight w:val="yellow"/>
        </w:rPr>
        <w:t>Conway’s Law</w:t>
      </w:r>
      <w:r w:rsidRPr="00706240">
        <w:rPr>
          <w:rFonts w:ascii="Helvetica" w:hAnsi="Helvetica"/>
          <w:color w:val="4A4848"/>
          <w:sz w:val="20"/>
          <w:szCs w:val="20"/>
        </w:rPr>
        <w:t xml:space="preserve">—we can </w:t>
      </w:r>
      <w:r w:rsidRPr="00706240">
        <w:rPr>
          <w:rFonts w:ascii="Helvetica" w:hAnsi="Helvetica"/>
          <w:color w:val="4A4848"/>
          <w:sz w:val="20"/>
          <w:szCs w:val="20"/>
          <w:highlight w:val="yellow"/>
        </w:rPr>
        <w:t>start with the organizational units that make up retail banking and are relevant to the customer-centric payments solution</w:t>
      </w:r>
      <w:r w:rsidRPr="00706240">
        <w:rPr>
          <w:rFonts w:ascii="Helvetica" w:hAnsi="Helvetica"/>
          <w:color w:val="4A4848"/>
          <w:sz w:val="20"/>
          <w:szCs w:val="20"/>
        </w:rPr>
        <w:t>. These are:</w:t>
      </w:r>
    </w:p>
    <w:tbl>
      <w:tblPr>
        <w:tblW w:w="9720" w:type="dxa"/>
        <w:tblBorders>
          <w:bottom w:val="single" w:sz="6" w:space="0" w:color="EDEDED"/>
        </w:tblBorders>
        <w:shd w:val="clear" w:color="auto" w:fill="F2F2F2"/>
        <w:tblCellMar>
          <w:top w:w="15" w:type="dxa"/>
          <w:left w:w="15" w:type="dxa"/>
          <w:bottom w:w="15" w:type="dxa"/>
          <w:right w:w="15" w:type="dxa"/>
        </w:tblCellMar>
        <w:tblLook w:val="04A0" w:firstRow="1" w:lastRow="0" w:firstColumn="1" w:lastColumn="0" w:noHBand="0" w:noVBand="1"/>
      </w:tblPr>
      <w:tblGrid>
        <w:gridCol w:w="1620"/>
        <w:gridCol w:w="8100"/>
      </w:tblGrid>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Style w:val="Strong"/>
                <w:rFonts w:ascii="Helvetica" w:hAnsi="Helvetica"/>
                <w:color w:val="4A4848"/>
                <w:sz w:val="20"/>
                <w:szCs w:val="20"/>
              </w:rPr>
              <w:lastRenderedPageBreak/>
              <w:t>Organizational Unit</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Style w:val="Strong"/>
                <w:rFonts w:ascii="Helvetica" w:hAnsi="Helvetica"/>
                <w:color w:val="4A4848"/>
                <w:sz w:val="20"/>
                <w:szCs w:val="20"/>
              </w:rPr>
              <w:t>Description</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Self-Service Banking</w:t>
            </w:r>
            <w:bookmarkStart w:id="0" w:name="_GoBack"/>
            <w:bookmarkEnd w:id="0"/>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Applications that support self-service banking channels (such as mobile, Web, ATM and point of sale) will be needed to both set up and execute customer-centric payments</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Customer &amp; Card Management</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Applications for customer information, customer authentication, and card-based authorizations are most closely aligned with the new payments service</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Deposit Accounts</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Systems of record and origination for deposit accounts (checking, savings) house information needed to authorize and fulfill customer-centric payments</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Retail Lending and Credit</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Systems of record and origination for lending products (e.g. personal line of credit) and credit cards also house information needed to authorize and fulfill customer-centric payments</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Mortgages</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Systems of record and origination for mortgages include information that can help the customer-centric payments solution make authorization decisions</w:t>
            </w:r>
          </w:p>
        </w:tc>
      </w:tr>
      <w:tr w:rsidR="00065464" w:rsidRPr="00706240" w:rsidTr="00706240">
        <w:tc>
          <w:tcPr>
            <w:tcW w:w="162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Investment Banking</w:t>
            </w:r>
          </w:p>
        </w:tc>
        <w:tc>
          <w:tcPr>
            <w:tcW w:w="8100" w:type="dxa"/>
            <w:tcBorders>
              <w:top w:val="single" w:sz="6" w:space="0" w:color="EDEDED"/>
            </w:tcBorders>
            <w:shd w:val="clear" w:color="auto" w:fill="F2F2F2"/>
            <w:tcMar>
              <w:top w:w="90" w:type="dxa"/>
              <w:left w:w="0" w:type="dxa"/>
              <w:bottom w:w="90" w:type="dxa"/>
              <w:right w:w="150" w:type="dxa"/>
            </w:tcMar>
            <w:vAlign w:val="center"/>
            <w:hideMark/>
          </w:tcPr>
          <w:p w:rsidR="00065464" w:rsidRPr="00706240" w:rsidRDefault="00065464" w:rsidP="00706240">
            <w:pPr>
              <w:spacing w:after="300" w:line="240" w:lineRule="auto"/>
              <w:rPr>
                <w:rFonts w:ascii="Helvetica" w:hAnsi="Helvetica"/>
                <w:color w:val="4A4848"/>
                <w:sz w:val="20"/>
                <w:szCs w:val="20"/>
              </w:rPr>
            </w:pPr>
            <w:r w:rsidRPr="00706240">
              <w:rPr>
                <w:rFonts w:ascii="Helvetica" w:hAnsi="Helvetica"/>
                <w:color w:val="4A4848"/>
                <w:sz w:val="20"/>
                <w:szCs w:val="20"/>
              </w:rPr>
              <w:t>Although not part of retail banking, customers’ investments with the bank will be considered in the future for the customer-centric payments solution</w:t>
            </w:r>
          </w:p>
        </w:tc>
      </w:tr>
    </w:tbl>
    <w:p w:rsidR="00065464" w:rsidRPr="00706240" w:rsidRDefault="00065464" w:rsidP="00065464">
      <w:pPr>
        <w:pStyle w:val="NormalWeb"/>
        <w:shd w:val="clear" w:color="auto" w:fill="F2F2F2"/>
        <w:spacing w:before="0" w:beforeAutospacing="0" w:after="360" w:afterAutospacing="0"/>
        <w:rPr>
          <w:rFonts w:ascii="Helvetica" w:hAnsi="Helvetica"/>
          <w:color w:val="4A4848"/>
          <w:sz w:val="20"/>
          <w:szCs w:val="20"/>
        </w:rPr>
      </w:pPr>
      <w:r w:rsidRPr="00706240">
        <w:rPr>
          <w:rFonts w:ascii="Helvetica" w:hAnsi="Helvetica"/>
          <w:color w:val="4A4848"/>
          <w:sz w:val="20"/>
          <w:szCs w:val="20"/>
        </w:rPr>
        <w:t>These subdomains can be depicted visually as follows: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noProof/>
          <w:color w:val="BC360A"/>
          <w:sz w:val="20"/>
          <w:szCs w:val="20"/>
        </w:rPr>
        <w:drawing>
          <wp:inline distT="0" distB="0" distL="0" distR="0">
            <wp:extent cx="5900696" cy="2372080"/>
            <wp:effectExtent l="0" t="0" r="5080" b="9525"/>
            <wp:docPr id="4" name="Picture 4" descr="designing-a-system-of-microservices-1-750-v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a-system-of-microservices-1-750-v3">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57690" cy="2394991"/>
                    </a:xfrm>
                    <a:prstGeom prst="rect">
                      <a:avLst/>
                    </a:prstGeom>
                    <a:noFill/>
                    <a:ln>
                      <a:noFill/>
                    </a:ln>
                  </pic:spPr>
                </pic:pic>
              </a:graphicData>
            </a:graphic>
          </wp:inline>
        </w:drawing>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 xml:space="preserve">This gives us a starting point to think about how to classify the services needed to create the customer-centric payments solution. The Self-Service Banking and Customer &amp; Card Management subdomains are highlighted, since they have already been identified as the key subdomains for the solution. </w:t>
      </w:r>
      <w:r w:rsidRPr="00706240">
        <w:rPr>
          <w:rFonts w:ascii="Helvetica" w:hAnsi="Helvetica"/>
          <w:color w:val="4A4848"/>
          <w:sz w:val="20"/>
          <w:szCs w:val="20"/>
          <w:highlight w:val="yellow"/>
        </w:rPr>
        <w:t xml:space="preserve">Using the </w:t>
      </w:r>
      <w:r w:rsidRPr="00706240">
        <w:rPr>
          <w:rFonts w:ascii="Helvetica" w:hAnsi="Helvetica"/>
          <w:color w:val="4A4848"/>
          <w:sz w:val="20"/>
          <w:szCs w:val="20"/>
          <w:highlight w:val="yellow"/>
        </w:rPr>
        <w:lastRenderedPageBreak/>
        <w:t>DDD notion of “linguistic boundaries”, there are clearly some bounded contexts that emerge from the subdomains</w:t>
      </w:r>
      <w:r w:rsidRPr="00706240">
        <w:rPr>
          <w:rFonts w:ascii="Helvetica" w:hAnsi="Helvetica"/>
          <w:color w:val="4A4848"/>
          <w:sz w:val="20"/>
          <w:szCs w:val="20"/>
        </w:rPr>
        <w: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 xml:space="preserve">Within Self-Service Banking there are two distinct bounded contexts that come into play. The Web banking channel shares a common language with the mobile banking channel, since they both offer a high-touch customer experience and the applications supporting the mobile channel were built by and share components with the Web channel. We will call this context Online Banking. Point of sale, on the other hand, has a distinct language which is </w:t>
      </w:r>
      <w:r w:rsidR="00422B8A" w:rsidRPr="00706240">
        <w:rPr>
          <w:rFonts w:ascii="Helvetica" w:hAnsi="Helvetica"/>
          <w:color w:val="4A4848"/>
          <w:sz w:val="20"/>
          <w:szCs w:val="20"/>
        </w:rPr>
        <w:t>centered</w:t>
      </w:r>
      <w:r w:rsidRPr="00706240">
        <w:rPr>
          <w:rFonts w:ascii="Helvetica" w:hAnsi="Helvetica"/>
          <w:color w:val="4A4848"/>
          <w:sz w:val="20"/>
          <w:szCs w:val="20"/>
        </w:rPr>
        <w:t xml:space="preserve"> more around device management and merchant relationships. We will call this context Point of Sale.</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Customer &amp; Card Management is even more divided. Core customer information—including the authoritative list of the bank’s customers, their contact information and their product holdings—forms one distinct vocabulary, which we will call the Customer Information bounded context. Another distinct language is used to describe card functions, which are primarily tied to payments activity. This is the Consumer Payments &amp; Transactions context. Lastly, there is a Customer Identity context focused exclusively on customer security and access control.</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The product subdomains are not as critical to this payments solution but it is notable that the Retail Lending and Credit subdomain breaks down into separate PLC Accounts and Credit Card contexts. The complete set of relevant bounded contexts looks like this: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noProof/>
          <w:color w:val="BC360A"/>
          <w:sz w:val="20"/>
          <w:szCs w:val="20"/>
        </w:rPr>
        <w:drawing>
          <wp:inline distT="0" distB="0" distL="0" distR="0">
            <wp:extent cx="5878167" cy="2366942"/>
            <wp:effectExtent l="0" t="0" r="8890" b="0"/>
            <wp:docPr id="3" name="Picture 3" descr="designing-a-system-of-microservices-2-750-v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ing-a-system-of-microservices-2-750-v3">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62495" cy="2400898"/>
                    </a:xfrm>
                    <a:prstGeom prst="rect">
                      <a:avLst/>
                    </a:prstGeom>
                    <a:noFill/>
                    <a:ln>
                      <a:noFill/>
                    </a:ln>
                  </pic:spPr>
                </pic:pic>
              </a:graphicData>
            </a:graphic>
          </wp:inline>
        </w:drawing>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highlight w:val="yellow"/>
        </w:rPr>
        <w:t>Having established the bounded contexts, we can now think about what services and service consumers will make sense within them</w:t>
      </w:r>
      <w:r w:rsidRPr="00706240">
        <w:rPr>
          <w:rFonts w:ascii="Helvetica" w:hAnsi="Helvetica"/>
          <w:color w:val="4A4848"/>
          <w:sz w:val="20"/>
          <w:szCs w:val="20"/>
        </w:rPr>
        <w:t>. As mentioned earlier, Online Banking has two service consumers: the Online Banking Web App and the Mobile Banking App. The new payment solution will also be consumed by message requests received through POS networks from the Point of Sale context.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The Customer Identity context must provide a Customer Authentication service in order to ensure only appropriate requesters are able to access the new payments service. The Customer Information context contains the cross reference between customer and product holdings, so it follows that a core Customer Information Service is needed to supply this data for the new payments solution.</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In addition to this, tracking customer fiscal activity—the financial events related to their product holdings—will be useful in making authorization decisions. Therefore, a Customer Activity Analysis service can be created within the Customer Information context.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 xml:space="preserve">The Consumer Payments &amp; Transactions context is where the core services will be built for the new customer-centric payments solution. To start, customers need a way of signing up for the new offering </w:t>
      </w:r>
      <w:r w:rsidRPr="00706240">
        <w:rPr>
          <w:rFonts w:ascii="Helvetica" w:hAnsi="Helvetica"/>
          <w:color w:val="4A4848"/>
          <w:sz w:val="20"/>
          <w:szCs w:val="20"/>
        </w:rPr>
        <w:lastRenderedPageBreak/>
        <w:t>and setting their account and product preferences. For this purpose, a Customer-Centric Payments Management Service is introduced.</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For non-functional reasons—such as performance, security and availability—we will create a separate service for authorizing payments, called the Customer-Centric Payments Authorization Service. Lastly, since the posting of transactions to customer accounts can be posted later than the authorization decision, we will create a Transaction Posting Service that is decoupled from the authorization service.</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For the product subdomains, we will only refer to a single eponymous service per bounded context. For example, the Deposit Accounts context simply contains a single Deposit Account Service. The overall system of services now looks like this: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noProof/>
          <w:color w:val="BC360A"/>
          <w:sz w:val="20"/>
          <w:szCs w:val="20"/>
        </w:rPr>
        <w:drawing>
          <wp:inline distT="0" distB="0" distL="0" distR="0">
            <wp:extent cx="5939567" cy="2391666"/>
            <wp:effectExtent l="0" t="0" r="4445" b="8890"/>
            <wp:docPr id="2" name="Picture 2" descr="designing-a-system-of-microservices-3-750-v3">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ing-a-system-of-microservices-3-750-v3">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20208" cy="2424137"/>
                    </a:xfrm>
                    <a:prstGeom prst="rect">
                      <a:avLst/>
                    </a:prstGeom>
                    <a:noFill/>
                    <a:ln>
                      <a:noFill/>
                    </a:ln>
                  </pic:spPr>
                </pic:pic>
              </a:graphicData>
            </a:graphic>
          </wp:inline>
        </w:drawing>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The last step in this design process is to annotate the interactions that will take place between services. In fact, one might want to model the interactions between bounded contexts in order to tease out the individual services but—for the sake of overlaying the visuals—we will depict this step last. Illustrating all possible interactions at this stage would be visually confusing, so we will only focus on some key ones that help us understand how the system will function. Here are some examples:</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A customer uses the Online Banking Web App to sign up and set their preferences for the new payments solution through the Customer-Centric Payments Management Service</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The Customer-Centric Payments Management Service retrieves the customer’s product portfolio from the Customer Information Service</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The Customer Activity Analysis Service builds a customer financial profile using information from the product systems</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The customer executes a customer-centric payment through the Mobile Banking App, which calls the Customer-Centric Payments Authorization Service</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The Customer-Centric Payments Authorization Service in turn builds an authorization profile using information from the Customer-Centric Payments Management Service and the Customer Activity Analysis Service</w:t>
      </w:r>
    </w:p>
    <w:p w:rsidR="00065464" w:rsidRPr="00706240" w:rsidRDefault="00065464" w:rsidP="00065464">
      <w:pPr>
        <w:numPr>
          <w:ilvl w:val="0"/>
          <w:numId w:val="1"/>
        </w:numPr>
        <w:shd w:val="clear" w:color="auto" w:fill="F2F2F2"/>
        <w:spacing w:before="100" w:beforeAutospacing="1" w:after="100" w:afterAutospacing="1" w:line="240" w:lineRule="auto"/>
        <w:rPr>
          <w:rFonts w:ascii="Helvetica" w:hAnsi="Helvetica"/>
          <w:color w:val="4A4848"/>
          <w:sz w:val="20"/>
          <w:szCs w:val="20"/>
        </w:rPr>
      </w:pPr>
      <w:r w:rsidRPr="00706240">
        <w:rPr>
          <w:rFonts w:ascii="Helvetica" w:hAnsi="Helvetica"/>
          <w:color w:val="4A4848"/>
          <w:sz w:val="20"/>
          <w:szCs w:val="20"/>
        </w:rPr>
        <w:t>Once authorized, the payment is forwarded to the Transaction Posting Service for completion, which then calls the appropriate product service</w:t>
      </w:r>
    </w:p>
    <w:p w:rsidR="00065464" w:rsidRPr="00706240" w:rsidRDefault="00065464" w:rsidP="00065464">
      <w:pPr>
        <w:pStyle w:val="NormalWeb"/>
        <w:shd w:val="clear" w:color="auto" w:fill="F2F2F2"/>
        <w:spacing w:before="0" w:beforeAutospacing="0" w:after="360" w:afterAutospacing="0"/>
        <w:rPr>
          <w:rFonts w:ascii="Helvetica" w:hAnsi="Helvetica"/>
          <w:color w:val="4A4848"/>
          <w:sz w:val="20"/>
          <w:szCs w:val="20"/>
        </w:rPr>
      </w:pPr>
      <w:r w:rsidRPr="00706240">
        <w:rPr>
          <w:rFonts w:ascii="Helvetica" w:hAnsi="Helvetica"/>
          <w:color w:val="4A4848"/>
          <w:sz w:val="20"/>
          <w:szCs w:val="20"/>
        </w:rPr>
        <w:t xml:space="preserve">There are a few important points to note about this system of microservices. First of all, </w:t>
      </w:r>
      <w:r w:rsidRPr="00706240">
        <w:rPr>
          <w:rFonts w:ascii="Helvetica" w:hAnsi="Helvetica"/>
          <w:color w:val="4A4848"/>
          <w:sz w:val="20"/>
          <w:szCs w:val="20"/>
          <w:highlight w:val="yellow"/>
        </w:rPr>
        <w:t>do not assume that each of these interactions will take place in real time when servicing the end user activity</w:t>
      </w:r>
      <w:r w:rsidRPr="00706240">
        <w:rPr>
          <w:rFonts w:ascii="Helvetica" w:hAnsi="Helvetica"/>
          <w:color w:val="4A4848"/>
          <w:sz w:val="20"/>
          <w:szCs w:val="20"/>
        </w:rPr>
        <w:t>. For example, although the Customer-Centric</w:t>
      </w:r>
      <w:r w:rsidR="00832CF9" w:rsidRPr="00706240">
        <w:rPr>
          <w:rFonts w:ascii="Helvetica" w:hAnsi="Helvetica"/>
          <w:color w:val="4A4848"/>
          <w:sz w:val="20"/>
          <w:szCs w:val="20"/>
        </w:rPr>
        <w:t xml:space="preserve"> Payments</w:t>
      </w:r>
      <w:r w:rsidRPr="00706240">
        <w:rPr>
          <w:rFonts w:ascii="Helvetica" w:hAnsi="Helvetica"/>
          <w:color w:val="4A4848"/>
          <w:sz w:val="20"/>
          <w:szCs w:val="20"/>
        </w:rPr>
        <w:t xml:space="preserve"> Authorization Service needs information from a few </w:t>
      </w:r>
      <w:r w:rsidRPr="00706240">
        <w:rPr>
          <w:rFonts w:ascii="Helvetica" w:hAnsi="Helvetica"/>
          <w:color w:val="4A4848"/>
          <w:sz w:val="20"/>
          <w:szCs w:val="20"/>
        </w:rPr>
        <w:lastRenderedPageBreak/>
        <w:t xml:space="preserve">other services, </w:t>
      </w:r>
      <w:r w:rsidRPr="00706240">
        <w:rPr>
          <w:rFonts w:ascii="Helvetica" w:hAnsi="Helvetica"/>
          <w:color w:val="4A4848"/>
          <w:sz w:val="20"/>
          <w:szCs w:val="20"/>
          <w:highlight w:val="yellow"/>
        </w:rPr>
        <w:t>an event-based approach combined with caching could be used to ensure its processing is self-contained in order to service the customer’s authorization request in real time</w:t>
      </w:r>
      <w:r w:rsidRPr="00706240">
        <w:rPr>
          <w:rFonts w:ascii="Helvetica" w:hAnsi="Helvetica"/>
          <w:color w:val="4A4848"/>
          <w:sz w:val="20"/>
          <w:szCs w:val="20"/>
        </w:rPr>
        <w:t>.</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 xml:space="preserve">Secondly, </w:t>
      </w:r>
      <w:r w:rsidRPr="00706240">
        <w:rPr>
          <w:rFonts w:ascii="Helvetica" w:hAnsi="Helvetica"/>
          <w:color w:val="4A4848"/>
          <w:sz w:val="20"/>
          <w:szCs w:val="20"/>
          <w:highlight w:val="yellow"/>
        </w:rPr>
        <w:t>an anti-corruption layer (ACL) can be established between bounded contexts in order to provide loose semantic coupling.</w:t>
      </w:r>
      <w:r w:rsidRPr="00706240">
        <w:rPr>
          <w:rFonts w:ascii="Helvetica" w:hAnsi="Helvetica"/>
          <w:color w:val="4A4848"/>
          <w:sz w:val="20"/>
          <w:szCs w:val="20"/>
        </w:rPr>
        <w:t xml:space="preserve"> Finally, you’ll note that—although this is a fairly complex picture—there are no implementation details. In other words, this model could be implemented using many different technologies including languages, hosting environments and network protocols.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The final context map—including the interactions—is as follows:</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noProof/>
          <w:color w:val="BC360A"/>
          <w:sz w:val="20"/>
          <w:szCs w:val="20"/>
        </w:rPr>
        <w:drawing>
          <wp:inline distT="0" distB="0" distL="0" distR="0">
            <wp:extent cx="5915561" cy="2381998"/>
            <wp:effectExtent l="0" t="0" r="9525" b="0"/>
            <wp:docPr id="1" name="Picture 1" descr="designing-a-system-of-microservices-4-750-v3">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ing-a-system-of-microservices-4-750-v3">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87874" cy="2411116"/>
                    </a:xfrm>
                    <a:prstGeom prst="rect">
                      <a:avLst/>
                    </a:prstGeom>
                    <a:noFill/>
                    <a:ln>
                      <a:noFill/>
                    </a:ln>
                  </pic:spPr>
                </pic:pic>
              </a:graphicData>
            </a:graphic>
          </wp:inline>
        </w:drawing>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Ultimately, the intent of this system design process is to help take a best guess on how to define service boundaries for microservices within a complex solution. Hopefully, the approach described here will both establish a good initial model for the services as well as making it easier to redraw the service boundaries down the road.</w:t>
      </w:r>
    </w:p>
    <w:p w:rsidR="00065464" w:rsidRPr="00706240" w:rsidRDefault="00065464" w:rsidP="00065464">
      <w:pPr>
        <w:pStyle w:val="NormalWeb"/>
        <w:shd w:val="clear" w:color="auto" w:fill="F2F2F2"/>
        <w:rPr>
          <w:rFonts w:ascii="Helvetica" w:hAnsi="Helvetica"/>
          <w:color w:val="4A4848"/>
          <w:sz w:val="20"/>
          <w:szCs w:val="20"/>
        </w:rPr>
      </w:pPr>
      <w:r w:rsidRPr="00706240">
        <w:rPr>
          <w:rFonts w:ascii="Helvetica" w:hAnsi="Helvetica"/>
          <w:color w:val="4A4848"/>
          <w:sz w:val="20"/>
          <w:szCs w:val="20"/>
        </w:rPr>
        <w:t>The next step in the overall microservice design process will be to dive deeper on the individual services. And that will be explored in part three of this series. Stay tuned!</w:t>
      </w:r>
    </w:p>
    <w:p w:rsidR="00065464" w:rsidRDefault="00065464">
      <w:pPr>
        <w:rPr>
          <w:sz w:val="20"/>
          <w:szCs w:val="20"/>
        </w:rPr>
      </w:pPr>
    </w:p>
    <w:p w:rsidR="00706240" w:rsidRDefault="00706240" w:rsidP="00706240">
      <w:pPr>
        <w:pStyle w:val="Heading1"/>
        <w:shd w:val="clear" w:color="auto" w:fill="FFFFFF"/>
        <w:spacing w:before="0" w:line="0" w:lineRule="auto"/>
        <w:jc w:val="center"/>
        <w:rPr>
          <w:rFonts w:ascii="Segoe UI" w:hAnsi="Segoe UI" w:cs="Segoe UI"/>
          <w:color w:val="4C4C5E"/>
        </w:rPr>
      </w:pPr>
      <w:r>
        <w:rPr>
          <w:rFonts w:ascii="Segoe UI" w:hAnsi="Segoe UI" w:cs="Segoe UI"/>
          <w:color w:val="4C4C5E"/>
        </w:rPr>
        <w:t>The Microservice Design Canvas</w:t>
      </w:r>
    </w:p>
    <w:p w:rsidR="00706240" w:rsidRDefault="00706240" w:rsidP="00706240">
      <w:pPr>
        <w:pStyle w:val="Heading1"/>
        <w:shd w:val="clear" w:color="auto" w:fill="FFFFFF"/>
        <w:spacing w:before="0" w:line="0" w:lineRule="auto"/>
        <w:jc w:val="center"/>
        <w:rPr>
          <w:rFonts w:ascii="Segoe UI" w:hAnsi="Segoe UI" w:cs="Segoe UI"/>
          <w:color w:val="4C4C5E"/>
        </w:rPr>
      </w:pPr>
      <w:r>
        <w:rPr>
          <w:rFonts w:ascii="Segoe UI" w:hAnsi="Segoe UI" w:cs="Segoe UI"/>
          <w:color w:val="4C4C5E"/>
        </w:rPr>
        <w:t>The Microservice Design Canvas</w:t>
      </w:r>
    </w:p>
    <w:p w:rsidR="00706240" w:rsidRDefault="00706240" w:rsidP="00706240">
      <w:pPr>
        <w:pStyle w:val="Heading1"/>
        <w:shd w:val="clear" w:color="auto" w:fill="FFFFFF"/>
        <w:spacing w:before="0" w:line="0" w:lineRule="auto"/>
        <w:jc w:val="center"/>
        <w:rPr>
          <w:rFonts w:ascii="Segoe UI" w:hAnsi="Segoe UI" w:cs="Segoe UI"/>
          <w:color w:val="4C4C5E"/>
        </w:rPr>
      </w:pPr>
      <w:r>
        <w:rPr>
          <w:rFonts w:ascii="Segoe UI" w:hAnsi="Segoe UI" w:cs="Segoe UI"/>
          <w:color w:val="4C4C5E"/>
        </w:rPr>
        <w:t>The Microservice Design Canvas</w:t>
      </w:r>
    </w:p>
    <w:p w:rsidR="00706240" w:rsidRPr="00706240" w:rsidRDefault="00706240" w:rsidP="00706240">
      <w:pPr>
        <w:pStyle w:val="Heading1"/>
        <w:rPr>
          <w:b/>
        </w:rPr>
      </w:pPr>
      <w:r w:rsidRPr="00706240">
        <w:rPr>
          <w:b/>
        </w:rPr>
        <w:t>The Microservice Design Canvas</w:t>
      </w:r>
    </w:p>
    <w:sectPr w:rsidR="00706240" w:rsidRPr="00706240" w:rsidSect="00706240">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E2C" w:rsidRDefault="008E7E2C" w:rsidP="00065464">
      <w:pPr>
        <w:spacing w:after="0" w:line="240" w:lineRule="auto"/>
      </w:pPr>
      <w:r>
        <w:separator/>
      </w:r>
    </w:p>
  </w:endnote>
  <w:endnote w:type="continuationSeparator" w:id="0">
    <w:p w:rsidR="008E7E2C" w:rsidRDefault="008E7E2C" w:rsidP="00065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CF9" w:rsidRDefault="00832CF9" w:rsidP="00832CF9">
    <w:pPr>
      <w:pStyle w:val="Footer"/>
    </w:pPr>
    <w:bookmarkStart w:id="1" w:name="DocumentMarkings1FooterEvenPages"/>
  </w:p>
  <w:bookmarkEnd w:id="1"/>
  <w:p w:rsidR="00832CF9" w:rsidRDefault="00832CF9" w:rsidP="00832CF9">
    <w:pPr>
      <w:pStyle w:val="Footer"/>
    </w:pPr>
  </w:p>
  <w:p w:rsidR="00065464" w:rsidRDefault="00065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464" w:rsidRDefault="00065464" w:rsidP="00832CF9">
    <w:pPr>
      <w:pStyle w:val="Footer"/>
    </w:pPr>
    <w:bookmarkStart w:id="2" w:name="DocumentMarkings1FooterPrimary"/>
  </w:p>
  <w:bookmarkEnd w:id="2"/>
  <w:p w:rsidR="00065464" w:rsidRDefault="00065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464" w:rsidRDefault="00065464" w:rsidP="00832CF9">
    <w:pPr>
      <w:pStyle w:val="Footer"/>
    </w:pPr>
    <w:bookmarkStart w:id="3" w:name="DocumentMarkings1FooterFirstPage"/>
  </w:p>
  <w:bookmarkEnd w:id="3"/>
  <w:p w:rsidR="00065464" w:rsidRDefault="00065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E2C" w:rsidRDefault="008E7E2C" w:rsidP="00065464">
      <w:pPr>
        <w:spacing w:after="0" w:line="240" w:lineRule="auto"/>
      </w:pPr>
      <w:r>
        <w:separator/>
      </w:r>
    </w:p>
  </w:footnote>
  <w:footnote w:type="continuationSeparator" w:id="0">
    <w:p w:rsidR="008E7E2C" w:rsidRDefault="008E7E2C" w:rsidP="00065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464" w:rsidRDefault="000654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464" w:rsidRDefault="000654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464" w:rsidRDefault="00065464" w:rsidP="00065464">
    <w:pPr>
      <w:pStyle w:val="Header"/>
    </w:pPr>
  </w:p>
  <w:p w:rsidR="00065464" w:rsidRDefault="0006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13B2F"/>
    <w:multiLevelType w:val="multilevel"/>
    <w:tmpl w:val="740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4"/>
    <w:rsid w:val="00065464"/>
    <w:rsid w:val="000C04CC"/>
    <w:rsid w:val="002641CA"/>
    <w:rsid w:val="0029095A"/>
    <w:rsid w:val="002E0615"/>
    <w:rsid w:val="00422B8A"/>
    <w:rsid w:val="00706240"/>
    <w:rsid w:val="00832CF9"/>
    <w:rsid w:val="008E7E2C"/>
    <w:rsid w:val="0095270B"/>
    <w:rsid w:val="00AB745F"/>
    <w:rsid w:val="00BB645B"/>
    <w:rsid w:val="00E45663"/>
    <w:rsid w:val="00E6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23E28"/>
  <w15:chartTrackingRefBased/>
  <w15:docId w15:val="{578B8117-9CC2-447B-A7BE-3D84AAF9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464"/>
  </w:style>
  <w:style w:type="paragraph" w:styleId="Footer">
    <w:name w:val="footer"/>
    <w:basedOn w:val="Normal"/>
    <w:link w:val="FooterChar"/>
    <w:uiPriority w:val="99"/>
    <w:unhideWhenUsed/>
    <w:rsid w:val="00065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464"/>
  </w:style>
  <w:style w:type="character" w:styleId="Hyperlink">
    <w:name w:val="Hyperlink"/>
    <w:basedOn w:val="DefaultParagraphFont"/>
    <w:uiPriority w:val="99"/>
    <w:unhideWhenUsed/>
    <w:rsid w:val="00065464"/>
    <w:rPr>
      <w:color w:val="0563C1" w:themeColor="hyperlink"/>
      <w:u w:val="single"/>
    </w:rPr>
  </w:style>
  <w:style w:type="paragraph" w:styleId="NormalWeb">
    <w:name w:val="Normal (Web)"/>
    <w:basedOn w:val="Normal"/>
    <w:uiPriority w:val="99"/>
    <w:semiHidden/>
    <w:unhideWhenUsed/>
    <w:rsid w:val="000654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5464"/>
    <w:rPr>
      <w:i/>
      <w:iCs/>
    </w:rPr>
  </w:style>
  <w:style w:type="character" w:customStyle="1" w:styleId="apple-converted-space">
    <w:name w:val="apple-converted-space"/>
    <w:basedOn w:val="DefaultParagraphFont"/>
    <w:rsid w:val="00065464"/>
  </w:style>
  <w:style w:type="character" w:styleId="Strong">
    <w:name w:val="Strong"/>
    <w:basedOn w:val="DefaultParagraphFont"/>
    <w:uiPriority w:val="22"/>
    <w:qFormat/>
    <w:rsid w:val="00065464"/>
    <w:rPr>
      <w:b/>
      <w:bCs/>
    </w:rPr>
  </w:style>
  <w:style w:type="character" w:customStyle="1" w:styleId="Heading1Char">
    <w:name w:val="Heading 1 Char"/>
    <w:basedOn w:val="DefaultParagraphFont"/>
    <w:link w:val="Heading1"/>
    <w:uiPriority w:val="9"/>
    <w:rsid w:val="00706240"/>
    <w:rPr>
      <w:rFonts w:asciiTheme="majorHAnsi" w:eastAsiaTheme="majorEastAsia" w:hAnsiTheme="majorHAnsi" w:cstheme="majorBidi"/>
      <w:color w:val="2E74B5" w:themeColor="accent1" w:themeShade="BF"/>
      <w:sz w:val="32"/>
      <w:szCs w:val="32"/>
    </w:rPr>
  </w:style>
  <w:style w:type="paragraph" w:customStyle="1" w:styleId="lead">
    <w:name w:val="lead"/>
    <w:basedOn w:val="Normal"/>
    <w:rsid w:val="0070624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06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192551">
      <w:bodyDiv w:val="1"/>
      <w:marLeft w:val="0"/>
      <w:marRight w:val="0"/>
      <w:marTop w:val="0"/>
      <w:marBottom w:val="0"/>
      <w:divBdr>
        <w:top w:val="none" w:sz="0" w:space="0" w:color="auto"/>
        <w:left w:val="none" w:sz="0" w:space="0" w:color="auto"/>
        <w:bottom w:val="none" w:sz="0" w:space="0" w:color="auto"/>
        <w:right w:val="none" w:sz="0" w:space="0" w:color="auto"/>
      </w:divBdr>
      <w:divsChild>
        <w:div w:id="1490320502">
          <w:marLeft w:val="0"/>
          <w:marRight w:val="0"/>
          <w:marTop w:val="225"/>
          <w:marBottom w:val="150"/>
          <w:divBdr>
            <w:top w:val="none" w:sz="0" w:space="0" w:color="auto"/>
            <w:left w:val="none" w:sz="0" w:space="0" w:color="auto"/>
            <w:bottom w:val="none" w:sz="0" w:space="0" w:color="auto"/>
            <w:right w:val="none" w:sz="0" w:space="0" w:color="auto"/>
          </w:divBdr>
        </w:div>
      </w:divsChild>
    </w:div>
    <w:div w:id="563758937">
      <w:bodyDiv w:val="1"/>
      <w:marLeft w:val="0"/>
      <w:marRight w:val="0"/>
      <w:marTop w:val="0"/>
      <w:marBottom w:val="0"/>
      <w:divBdr>
        <w:top w:val="none" w:sz="0" w:space="0" w:color="auto"/>
        <w:left w:val="none" w:sz="0" w:space="0" w:color="auto"/>
        <w:bottom w:val="none" w:sz="0" w:space="0" w:color="auto"/>
        <w:right w:val="none" w:sz="0" w:space="0" w:color="auto"/>
      </w:divBdr>
    </w:div>
    <w:div w:id="882522525">
      <w:bodyDiv w:val="1"/>
      <w:marLeft w:val="0"/>
      <w:marRight w:val="0"/>
      <w:marTop w:val="0"/>
      <w:marBottom w:val="0"/>
      <w:divBdr>
        <w:top w:val="none" w:sz="0" w:space="0" w:color="auto"/>
        <w:left w:val="none" w:sz="0" w:space="0" w:color="auto"/>
        <w:bottom w:val="none" w:sz="0" w:space="0" w:color="auto"/>
        <w:right w:val="none" w:sz="0" w:space="0" w:color="auto"/>
      </w:divBdr>
    </w:div>
    <w:div w:id="1095443999">
      <w:bodyDiv w:val="1"/>
      <w:marLeft w:val="0"/>
      <w:marRight w:val="0"/>
      <w:marTop w:val="0"/>
      <w:marBottom w:val="0"/>
      <w:divBdr>
        <w:top w:val="none" w:sz="0" w:space="0" w:color="auto"/>
        <w:left w:val="none" w:sz="0" w:space="0" w:color="auto"/>
        <w:bottom w:val="none" w:sz="0" w:space="0" w:color="auto"/>
        <w:right w:val="none" w:sz="0" w:space="0" w:color="auto"/>
      </w:divBdr>
    </w:div>
    <w:div w:id="1524517641">
      <w:bodyDiv w:val="1"/>
      <w:marLeft w:val="0"/>
      <w:marRight w:val="0"/>
      <w:marTop w:val="0"/>
      <w:marBottom w:val="0"/>
      <w:divBdr>
        <w:top w:val="none" w:sz="0" w:space="0" w:color="auto"/>
        <w:left w:val="none" w:sz="0" w:space="0" w:color="auto"/>
        <w:bottom w:val="none" w:sz="0" w:space="0" w:color="auto"/>
        <w:right w:val="none" w:sz="0" w:space="0" w:color="auto"/>
      </w:divBdr>
    </w:div>
    <w:div w:id="1622107892">
      <w:bodyDiv w:val="1"/>
      <w:marLeft w:val="0"/>
      <w:marRight w:val="0"/>
      <w:marTop w:val="0"/>
      <w:marBottom w:val="0"/>
      <w:divBdr>
        <w:top w:val="none" w:sz="0" w:space="0" w:color="auto"/>
        <w:left w:val="none" w:sz="0" w:space="0" w:color="auto"/>
        <w:bottom w:val="none" w:sz="0" w:space="0" w:color="auto"/>
        <w:right w:val="none" w:sz="0" w:space="0" w:color="auto"/>
      </w:divBdr>
    </w:div>
    <w:div w:id="19894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iacademy.co/resources/videos/designing-a-microservices-architecture" TargetMode="External"/><Relationship Id="rId13" Type="http://schemas.openxmlformats.org/officeDocument/2006/relationships/hyperlink" Target="https://domainlanguage.com/" TargetMode="External"/><Relationship Id="rId18" Type="http://schemas.openxmlformats.org/officeDocument/2006/relationships/hyperlink" Target="http://www.ruthmalan.com/Journal/2015/2015JournalNovember.htm" TargetMode="External"/><Relationship Id="rId26" Type="http://schemas.openxmlformats.org/officeDocument/2006/relationships/hyperlink" Target="http://www.apiacademy.co/wp-content/uploads/2017/05/designing-a-system-of-microservices-1-750-v3.png"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alistair.cockburn.us/Hexagonal+architecture" TargetMode="External"/><Relationship Id="rId34" Type="http://schemas.openxmlformats.org/officeDocument/2006/relationships/header" Target="header1.xml"/><Relationship Id="rId7" Type="http://schemas.openxmlformats.org/officeDocument/2006/relationships/hyperlink" Target="https://www.apiacademy.co/articles/2017/03/visualizing-microservice-architecture" TargetMode="External"/><Relationship Id="rId12" Type="http://schemas.openxmlformats.org/officeDocument/2006/relationships/hyperlink" Target="https://twitter.com/ericevans0" TargetMode="External"/><Relationship Id="rId17" Type="http://schemas.openxmlformats.org/officeDocument/2006/relationships/hyperlink" Target="http://philcalcado.com/2017/03/02/microservices_vs_1st_law_distributed_objects.html" TargetMode="External"/><Relationship Id="rId25" Type="http://schemas.openxmlformats.org/officeDocument/2006/relationships/hyperlink" Target="http://watersfoundation.org/systems-thinking/definitions/" TargetMode="External"/><Relationship Id="rId33" Type="http://schemas.openxmlformats.org/officeDocument/2006/relationships/image" Target="media/image5.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twitter.com/pcalcado" TargetMode="External"/><Relationship Id="rId20" Type="http://schemas.openxmlformats.org/officeDocument/2006/relationships/hyperlink" Target="https://www.structurizr.com/help/c4"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nott.ac.uk/~pszcah/G51ISS/Documents/NoSilverBullet.html" TargetMode="External"/><Relationship Id="rId24" Type="http://schemas.openxmlformats.org/officeDocument/2006/relationships/hyperlink" Target="https://techbeacon.com/get-your-feet-wet-domain-driven-design-3-guiding-principles" TargetMode="External"/><Relationship Id="rId32" Type="http://schemas.openxmlformats.org/officeDocument/2006/relationships/hyperlink" Target="http://www.apiacademy.co/wp-content/uploads/2017/05/designing-a-system-of-microservices-4-750-v3.pn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apiacademy.co/visualizing-microservice-architecture/" TargetMode="External"/><Relationship Id="rId28" Type="http://schemas.openxmlformats.org/officeDocument/2006/relationships/hyperlink" Target="http://www.apiacademy.co/wp-content/uploads/2017/05/designing-a-system-of-microservices-2-750-v3.png" TargetMode="External"/><Relationship Id="rId36" Type="http://schemas.openxmlformats.org/officeDocument/2006/relationships/footer" Target="footer1.xml"/><Relationship Id="rId10" Type="http://schemas.openxmlformats.org/officeDocument/2006/relationships/hyperlink" Target="http://transform.ca.com/API-microservice-architecture-oreilly-book.html?utm_source=api-academy&amp;utm_medium=website" TargetMode="External"/><Relationship Id="rId19" Type="http://schemas.openxmlformats.org/officeDocument/2006/relationships/hyperlink" Target="http://www.codingthearchitecture.com/2015/08/31/the_art_of_visualising_software_architecture.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apiacademy.co/articles/2015/12/calling-all-architects-its-time-to-develop-a-complex" TargetMode="External"/><Relationship Id="rId14" Type="http://schemas.openxmlformats.org/officeDocument/2006/relationships/hyperlink" Target="http://www.uml.org/" TargetMode="External"/><Relationship Id="rId22" Type="http://schemas.openxmlformats.org/officeDocument/2006/relationships/hyperlink" Target="http://www.apiacademy.co/designing-a-system-of-microservices/" TargetMode="External"/><Relationship Id="rId27" Type="http://schemas.openxmlformats.org/officeDocument/2006/relationships/image" Target="media/image2.png"/><Relationship Id="rId30" Type="http://schemas.openxmlformats.org/officeDocument/2006/relationships/hyperlink" Target="http://www.apiacademy.co/wp-content/uploads/2017/05/designing-a-system-of-microservices-3-750-v3.png"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Administrator</cp:lastModifiedBy>
  <cp:revision>5</cp:revision>
  <dcterms:created xsi:type="dcterms:W3CDTF">2017-05-17T00:38:00Z</dcterms:created>
  <dcterms:modified xsi:type="dcterms:W3CDTF">2018-07-26T22:43:00Z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3f3cfc26-bd0f-4fbe-a317-bc838425fab7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