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10" w:line="254" w:lineRule="auto"/>
        <w:jc w:val="left"/>
      </w:pPr>
      <w:r>
        <w:rPr>
          <w:rFonts w:ascii="Times New Roman" w:hAnsi="Times New Roman"/>
          <w:b/>
          <w:i w:val="0"/>
          <w:color w:val="000000"/>
          <w:sz w:val="32"/>
        </w:rPr>
        <w:t>CXMT IPO and Semiconductor Ecosystem Response:</w:t>
      </w:r>
    </w:p>
    <w:p>
      <w:pPr>
        <w:keepNext/>
        <w:keepLines w:val="0"/>
        <w:spacing w:before="0" w:after="40" w:line="254" w:lineRule="auto"/>
        <w:jc w:val="left"/>
      </w:pPr>
      <w:r>
        <w:rPr>
          <w:rFonts w:ascii="Times New Roman" w:hAnsi="Times New Roman"/>
          <w:b/>
          <w:i w:val="0"/>
          <w:color w:val="000000"/>
          <w:sz w:val="30"/>
        </w:rPr>
        <w:t>An Event-Aligned Normalized Return Analysis</w:t>
      </w:r>
    </w:p>
    <w:p>
      <w:pPr>
        <w:keepNext/>
        <w:keepLines w:val="0"/>
        <w:spacing w:before="0" w:after="30" w:line="254" w:lineRule="auto"/>
        <w:jc w:val="left"/>
        <w:pBdr>
          <w:bottom w:val="single" w:sz="10" w:space="2" w:color="1F4E79"/>
        </w:pBdr>
      </w:pPr>
      <w:r>
        <w:rPr>
          <w:rFonts w:ascii="Times New Roman" w:hAnsi="Times New Roman"/>
          <w:b w:val="0"/>
          <w:i w:val="0"/>
          <w:color w:val="000000"/>
          <w:sz w:val="20"/>
        </w:rPr>
        <w:t>Cross-Market Event-Aligned Comparative Analysis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83"/>
        <w:gridCol w:w="5083"/>
      </w:tblGrid>
      <w:tr>
        <w:trPr>
          <w:tblHeader w:val="true"/>
        </w:trPr>
        <w:tc>
          <w:tcPr>
            <w:tcW w:type="dxa" w:w="5150"/>
            <w:tcMar>
              <w:top w:w="18" w:type="dxa"/>
              <w:start w:w="0" w:type="dxa"/>
              <w:bottom w:w="20" w:type="dxa"/>
              <w:end w:w="80" w:type="dxa"/>
            </w:tcMar>
            <w:vAlign w:val="center"/>
          </w:tcPr>
          <w:p>
            <w:pPr>
              <w:keepNext w:val="0"/>
              <w:keepLines w:val="0"/>
              <w:spacing w:before="0" w:after="0" w:line="240" w:lineRule="auto"/>
            </w:pPr>
            <w:r>
              <w:rPr>
                <w:rFonts w:ascii="Times New Roman" w:hAnsi="Times New Roman"/>
                <w:b w:val="0"/>
                <w:i w:val="0"/>
                <w:color w:val="666666"/>
                <w:sz w:val="14"/>
              </w:rPr>
              <w:t>Date: August 8, 2026</w:t>
            </w:r>
          </w:p>
        </w:tc>
        <w:tc>
          <w:tcPr>
            <w:tcW w:type="dxa" w:w="5150"/>
            <w:tcMar>
              <w:top w:w="18" w:type="dxa"/>
              <w:start w:w="0" w:type="dxa"/>
              <w:bottom w:w="20" w:type="dxa"/>
              <w:end w:w="0" w:type="dxa"/>
            </w:tcMar>
            <w:vAlign w:val="center"/>
          </w:tcPr>
          <w:p>
            <w:pPr>
              <w:keepNext w:val="0"/>
              <w:keepLines w:val="0"/>
              <w:spacing w:before="0" w:after="0" w:line="240" w:lineRule="auto"/>
            </w:pPr>
            <w:r>
              <w:rPr>
                <w:rFonts w:ascii="Times New Roman" w:hAnsi="Times New Roman"/>
                <w:b w:val="0"/>
                <w:i w:val="0"/>
                <w:color w:val="666666"/>
                <w:sz w:val="14"/>
              </w:rPr>
              <w:t>Report Type: Independent Quantitative Research Note</w:t>
            </w:r>
          </w:p>
        </w:tc>
      </w:tr>
      <w:tr>
        <w:tc>
          <w:tcPr>
            <w:tcW w:type="dxa" w:w="5150"/>
            <w:tcMar>
              <w:top w:w="18" w:type="dxa"/>
              <w:start w:w="0" w:type="dxa"/>
              <w:bottom w:w="20" w:type="dxa"/>
              <w:end w:w="80" w:type="dxa"/>
            </w:tcMar>
            <w:vAlign w:val="center"/>
          </w:tcPr>
          <w:p>
            <w:pPr>
              <w:keepNext w:val="0"/>
              <w:keepLines w:val="0"/>
              <w:spacing w:before="0" w:after="0" w:line="240" w:lineRule="auto"/>
            </w:pPr>
            <w:r>
              <w:rPr>
                <w:rFonts w:ascii="Times New Roman" w:hAnsi="Times New Roman"/>
                <w:b w:val="0"/>
                <w:i w:val="0"/>
                <w:color w:val="666666"/>
                <w:sz w:val="14"/>
              </w:rPr>
              <w:t>Analyst: Liu Ruize (Utah State University)</w:t>
            </w:r>
          </w:p>
        </w:tc>
        <w:tc>
          <w:tcPr>
            <w:tcW w:type="dxa" w:w="5150"/>
            <w:tcMar>
              <w:top w:w="18" w:type="dxa"/>
              <w:start w:w="0" w:type="dxa"/>
              <w:bottom w:w="20" w:type="dxa"/>
              <w:end w:w="0" w:type="dxa"/>
            </w:tcMar>
            <w:vAlign w:val="center"/>
          </w:tcPr>
          <w:p>
            <w:pPr>
              <w:keepNext w:val="0"/>
              <w:keepLines w:val="0"/>
              <w:spacing w:before="0" w:after="0" w:line="240" w:lineRule="auto"/>
            </w:pPr>
            <w:r>
              <w:rPr>
                <w:rFonts w:ascii="Times New Roman" w:hAnsi="Times New Roman"/>
                <w:b w:val="0"/>
                <w:i w:val="0"/>
                <w:color w:val="666666"/>
                <w:sz w:val="14"/>
              </w:rPr>
              <w:t>Status: Final Research Version 4 - Data through Aug. 7</w:t>
            </w:r>
          </w:p>
        </w:tc>
      </w:tr>
      <w:tr>
        <w:tc>
          <w:tcPr>
            <w:tcW w:type="dxa" w:w="5150"/>
            <w:tcMar>
              <w:top w:w="18" w:type="dxa"/>
              <w:start w:w="0" w:type="dxa"/>
              <w:bottom w:w="20" w:type="dxa"/>
              <w:end w:w="80" w:type="dxa"/>
            </w:tcMar>
            <w:vAlign w:val="center"/>
          </w:tcPr>
          <w:p>
            <w:pPr>
              <w:keepNext w:val="0"/>
              <w:keepLines w:val="0"/>
              <w:spacing w:before="0" w:after="0" w:line="240" w:lineRule="auto"/>
            </w:pPr>
            <w:r>
              <w:rPr>
                <w:rFonts w:ascii="Times New Roman" w:hAnsi="Times New Roman"/>
                <w:b w:val="0"/>
                <w:i w:val="0"/>
                <w:color w:val="666666"/>
                <w:sz w:val="14"/>
              </w:rPr>
              <w:t>Repository: github.com/Ritz-Liu/CXMT-Semiconductor-Analysis</w:t>
            </w:r>
          </w:p>
        </w:tc>
        <w:tc>
          <w:tcPr>
            <w:tcW w:type="dxa" w:w="5150"/>
            <w:tcMar>
              <w:top w:w="18" w:type="dxa"/>
              <w:start w:w="0" w:type="dxa"/>
              <w:bottom w:w="20" w:type="dxa"/>
              <w:end w:w="0" w:type="dxa"/>
            </w:tcMar>
            <w:vAlign w:val="center"/>
          </w:tcPr>
          <w:p>
            <w:pPr>
              <w:keepNext w:val="0"/>
              <w:keepLines w:val="0"/>
              <w:spacing w:before="0" w:after="0" w:line="240" w:lineRule="auto"/>
            </w:pPr>
            <w:r>
              <w:rPr>
                <w:rFonts w:ascii="Times New Roman" w:hAnsi="Times New Roman"/>
                <w:b w:val="0"/>
                <w:i w:val="0"/>
                <w:color w:val="666666"/>
                <w:sz w:val="14"/>
              </w:rPr>
              <w:t>Reproducibility: Python Workflow &amp; Documented Data Pipeline</w:t>
            </w:r>
          </w:p>
        </w:tc>
      </w:tr>
    </w:tbl>
    <w:p>
      <w:pPr>
        <w:keepNext w:val="0"/>
        <w:keepLines w:val="0"/>
        <w:spacing w:before="20" w:after="60" w:line="254" w:lineRule="auto"/>
        <w:jc w:val="left"/>
      </w:pPr>
      <w:r>
        <w:rPr>
          <w:rFonts w:ascii="Times New Roman" w:hAnsi="Times New Roman"/>
          <w:b w:val="0"/>
          <w:i/>
          <w:color w:val="666666"/>
          <w:sz w:val="15"/>
        </w:rPr>
        <w:t>Keywords: CXMT; IPO; semiconductor ecosystem; normalized return; cross-market comparison; reproducibility | JEL: G14, G15, L63</w:t>
      </w:r>
    </w:p>
    <w:tbl>
      <w:tblPr>
        <w:tblW w:type="auto" w:w="0"/>
        <w:jc w:val="center"/>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2541"/>
        <w:gridCol w:w="2541"/>
        <w:gridCol w:w="2541"/>
        <w:gridCol w:w="2541"/>
      </w:tblGrid>
      <w:tr>
        <w:trPr>
          <w:tblHeader w:val="true"/>
        </w:trPr>
        <w:tc>
          <w:tcPr>
            <w:tcW w:type="dxa" w:w="2400"/>
            <w:tcMar>
              <w:top w:w="52" w:type="dxa"/>
              <w:start w:w="55" w:type="dxa"/>
              <w:bottom w:w="52" w:type="dxa"/>
              <w:end w:w="55" w:type="dxa"/>
            </w:tcMar>
            <w:vAlign w:val="center"/>
            <w:shd w:fill="D9E7F5"/>
          </w:tcPr>
          <w:p>
            <w:pPr>
              <w:keepNext w:val="0"/>
              <w:keepLines w:val="0"/>
              <w:spacing w:before="0" w:after="0" w:line="240" w:lineRule="auto"/>
              <w:jc w:val="center"/>
            </w:pPr>
            <w:r>
              <w:rPr>
                <w:rFonts w:ascii="Times New Roman" w:hAnsi="Times New Roman"/>
                <w:b w:val="0"/>
                <w:i w:val="0"/>
                <w:color w:val="000000"/>
                <w:sz w:val="14"/>
              </w:rPr>
              <w:t>Event Date</w:t>
            </w:r>
          </w:p>
        </w:tc>
        <w:tc>
          <w:tcPr>
            <w:tcW w:type="dxa" w:w="2400"/>
            <w:tcMar>
              <w:top w:w="52" w:type="dxa"/>
              <w:start w:w="55" w:type="dxa"/>
              <w:bottom w:w="52" w:type="dxa"/>
              <w:end w:w="55" w:type="dxa"/>
            </w:tcMar>
            <w:vAlign w:val="center"/>
            <w:shd w:fill="D9E7F5"/>
          </w:tcPr>
          <w:p>
            <w:pPr>
              <w:keepNext w:val="0"/>
              <w:keepLines w:val="0"/>
              <w:spacing w:before="0" w:after="0" w:line="240" w:lineRule="auto"/>
              <w:jc w:val="center"/>
            </w:pPr>
            <w:r>
              <w:rPr>
                <w:rFonts w:ascii="Times New Roman" w:hAnsi="Times New Roman"/>
                <w:b w:val="0"/>
                <w:i w:val="0"/>
                <w:color w:val="000000"/>
                <w:sz w:val="14"/>
              </w:rPr>
              <w:t>Research Window</w:t>
            </w:r>
          </w:p>
        </w:tc>
        <w:tc>
          <w:tcPr>
            <w:tcW w:type="dxa" w:w="2400"/>
            <w:tcMar>
              <w:top w:w="52" w:type="dxa"/>
              <w:start w:w="55" w:type="dxa"/>
              <w:bottom w:w="52" w:type="dxa"/>
              <w:end w:w="55" w:type="dxa"/>
            </w:tcMar>
            <w:vAlign w:val="center"/>
            <w:shd w:fill="D9E7F5"/>
          </w:tcPr>
          <w:p>
            <w:pPr>
              <w:keepNext w:val="0"/>
              <w:keepLines w:val="0"/>
              <w:spacing w:before="0" w:after="0" w:line="240" w:lineRule="auto"/>
              <w:jc w:val="center"/>
            </w:pPr>
            <w:r>
              <w:rPr>
                <w:rFonts w:ascii="Times New Roman" w:hAnsi="Times New Roman"/>
                <w:b w:val="0"/>
                <w:i w:val="0"/>
                <w:color w:val="000000"/>
                <w:sz w:val="14"/>
              </w:rPr>
              <w:t>Covered Securities</w:t>
            </w:r>
          </w:p>
        </w:tc>
        <w:tc>
          <w:tcPr>
            <w:tcW w:type="dxa" w:w="2400"/>
            <w:tcMar>
              <w:top w:w="52" w:type="dxa"/>
              <w:start w:w="55" w:type="dxa"/>
              <w:bottom w:w="52" w:type="dxa"/>
              <w:end w:w="55" w:type="dxa"/>
            </w:tcMar>
            <w:vAlign w:val="center"/>
            <w:shd w:fill="D9E7F5"/>
          </w:tcPr>
          <w:p>
            <w:pPr>
              <w:keepNext w:val="0"/>
              <w:keepLines w:val="0"/>
              <w:spacing w:before="0" w:after="0" w:line="240" w:lineRule="auto"/>
              <w:jc w:val="center"/>
            </w:pPr>
            <w:r>
              <w:rPr>
                <w:rFonts w:ascii="Times New Roman" w:hAnsi="Times New Roman"/>
                <w:b w:val="0"/>
                <w:i w:val="0"/>
                <w:color w:val="000000"/>
                <w:sz w:val="14"/>
              </w:rPr>
              <w:t>Core Measures</w:t>
            </w:r>
          </w:p>
        </w:tc>
      </w:tr>
      <w:tr>
        <w:tc>
          <w:tcPr>
            <w:tcW w:type="dxa" w:w="2400"/>
            <w:tcMar>
              <w:top w:w="52" w:type="dxa"/>
              <w:start w:w="55" w:type="dxa"/>
              <w:bottom w:w="52" w:type="dxa"/>
              <w:end w:w="55" w:type="dxa"/>
            </w:tcMar>
            <w:vAlign w:val="center"/>
          </w:tcPr>
          <w:p>
            <w:pPr>
              <w:keepNext w:val="0"/>
              <w:keepLines w:val="0"/>
              <w:spacing w:before="0" w:after="0" w:line="240" w:lineRule="auto"/>
              <w:jc w:val="center"/>
            </w:pPr>
            <w:r>
              <w:rPr>
                <w:rFonts w:ascii="Times New Roman" w:hAnsi="Times New Roman"/>
                <w:b/>
                <w:i w:val="0"/>
                <w:color w:val="1F4E79"/>
                <w:sz w:val="16"/>
              </w:rPr>
              <w:t>July 27, 2026</w:t>
            </w:r>
          </w:p>
        </w:tc>
        <w:tc>
          <w:tcPr>
            <w:tcW w:type="dxa" w:w="2400"/>
            <w:tcMar>
              <w:top w:w="52" w:type="dxa"/>
              <w:start w:w="55" w:type="dxa"/>
              <w:bottom w:w="52" w:type="dxa"/>
              <w:end w:w="55" w:type="dxa"/>
            </w:tcMar>
            <w:vAlign w:val="center"/>
          </w:tcPr>
          <w:p>
            <w:pPr>
              <w:keepNext w:val="0"/>
              <w:keepLines w:val="0"/>
              <w:spacing w:before="0" w:after="0" w:line="240" w:lineRule="auto"/>
              <w:jc w:val="center"/>
            </w:pPr>
            <w:r>
              <w:rPr>
                <w:rFonts w:ascii="Times New Roman" w:hAnsi="Times New Roman"/>
                <w:b/>
                <w:i w:val="0"/>
                <w:color w:val="1F4E79"/>
                <w:sz w:val="16"/>
              </w:rPr>
              <w:t>June 8-August 7, 2026</w:t>
            </w:r>
          </w:p>
        </w:tc>
        <w:tc>
          <w:tcPr>
            <w:tcW w:type="dxa" w:w="2400"/>
            <w:tcMar>
              <w:top w:w="52" w:type="dxa"/>
              <w:start w:w="55" w:type="dxa"/>
              <w:bottom w:w="52" w:type="dxa"/>
              <w:end w:w="55" w:type="dxa"/>
            </w:tcMar>
            <w:vAlign w:val="center"/>
          </w:tcPr>
          <w:p>
            <w:pPr>
              <w:keepNext w:val="0"/>
              <w:keepLines w:val="0"/>
              <w:spacing w:before="0" w:after="0" w:line="240" w:lineRule="auto"/>
              <w:jc w:val="center"/>
            </w:pPr>
            <w:r>
              <w:rPr>
                <w:rFonts w:ascii="Times New Roman" w:hAnsi="Times New Roman"/>
                <w:b/>
                <w:i w:val="0"/>
                <w:color w:val="1F4E79"/>
                <w:sz w:val="16"/>
              </w:rPr>
              <w:t>7 companies / 3 markets</w:t>
            </w:r>
          </w:p>
        </w:tc>
        <w:tc>
          <w:tcPr>
            <w:tcW w:type="dxa" w:w="2400"/>
            <w:tcMar>
              <w:top w:w="52" w:type="dxa"/>
              <w:start w:w="55" w:type="dxa"/>
              <w:bottom w:w="52" w:type="dxa"/>
              <w:end w:w="55" w:type="dxa"/>
            </w:tcMar>
            <w:vAlign w:val="center"/>
          </w:tcPr>
          <w:p>
            <w:pPr>
              <w:keepNext w:val="0"/>
              <w:keepLines w:val="0"/>
              <w:spacing w:before="0" w:after="0" w:line="240" w:lineRule="auto"/>
              <w:jc w:val="center"/>
            </w:pPr>
            <w:r>
              <w:rPr>
                <w:rFonts w:ascii="Times New Roman" w:hAnsi="Times New Roman"/>
                <w:b/>
                <w:i w:val="0"/>
                <w:color w:val="1F4E79"/>
                <w:sz w:val="16"/>
              </w:rPr>
              <w:t>NCR and MA7</w:t>
            </w:r>
          </w:p>
        </w:tc>
      </w:tr>
    </w:tbl>
    <w:p>
      <w:pPr>
        <w:keepNext w:val="0"/>
        <w:keepLines w:val="0"/>
        <w:spacing w:before="0" w:after="70" w:line="240" w:lineRule="auto"/>
      </w:pPr>
    </w:p>
    <w:p>
      <w:pPr>
        <w:pStyle w:val="Heading1"/>
        <w:keepNext/>
        <w:keepLines w:val="0"/>
        <w:spacing w:before="100" w:after="50" w:line="240" w:lineRule="auto"/>
        <w:pBdr>
          <w:bottom w:val="single" w:sz="4" w:space="2" w:color="9CC2E5"/>
        </w:pBdr>
      </w:pPr>
      <w:r>
        <w:rPr>
          <w:rFonts w:ascii="Times New Roman" w:hAnsi="Times New Roman"/>
          <w:b/>
          <w:i w:val="0"/>
          <w:color w:val="1F4E79"/>
          <w:sz w:val="24"/>
        </w:rPr>
        <w:t>EXECUTIVE SUMMARY</w:t>
      </w:r>
    </w:p>
    <w:p>
      <w:pPr>
        <w:keepNext w:val="0"/>
        <w:keepLines/>
        <w:spacing w:before="0" w:after="90" w:line="259" w:lineRule="auto"/>
      </w:pPr>
      <w:r>
        <w:rPr>
          <w:rFonts w:ascii="Times New Roman" w:hAnsi="Times New Roman"/>
          <w:b/>
          <w:i w:val="0"/>
          <w:color w:val="000000"/>
          <w:sz w:val="19"/>
        </w:rPr>
        <w:t xml:space="preserve">Research objective. </w:t>
      </w:r>
      <w:r>
        <w:rPr>
          <w:rFonts w:ascii="Times New Roman" w:hAnsi="Times New Roman"/>
          <w:b w:val="0"/>
          <w:i w:val="0"/>
          <w:color w:val="000000"/>
          <w:sz w:val="19"/>
        </w:rPr>
        <w:t>This final research version examines market responses surrounding the CXMT IPO and compares selected semiconductor-ecosystem participants using an event-aligned normalized return framework. The report uses daily closing prices and figure-specific baselines rather than estimating abnormal returns or conventional cumulative abnormal returns (CAR).</w:t>
      </w:r>
    </w:p>
    <w:p>
      <w:pPr>
        <w:keepNext w:val="0"/>
        <w:keepLines/>
        <w:spacing w:before="0" w:after="90" w:line="259" w:lineRule="auto"/>
      </w:pPr>
      <w:r>
        <w:rPr>
          <w:rFonts w:ascii="Times New Roman" w:hAnsi="Times New Roman"/>
          <w:b/>
          <w:i w:val="0"/>
          <w:color w:val="000000"/>
          <w:sz w:val="19"/>
        </w:rPr>
        <w:t xml:space="preserve">Final findings. </w:t>
      </w:r>
      <w:r>
        <w:rPr>
          <w:rFonts w:ascii="Times New Roman" w:hAnsi="Times New Roman"/>
          <w:b w:val="0"/>
          <w:i w:val="0"/>
          <w:color w:val="000000"/>
          <w:sz w:val="19"/>
        </w:rPr>
        <w:t>With the research window frozen through August 7, 2026, the three figures show clear short-term differentiation. In Figure 1, AMEC ended 38.49% above its June-window baseline, compared with gains of 7.34% for NVIDIA and 3.91% for Apple. In Figure 2, CXMT was the only covered memory-sector name above the July 27 common baseline at the endpoint: CXMT gained 7.10%, while Micron, Samsung Electronics, and SK hynix ended 2.51%, 9.06%, and 21.70% below their respective event-date closes. CXMT closed at RMB 52.48 on August 7, with a complete MA7 of RMB 53.65.</w:t>
      </w:r>
    </w:p>
    <w:p>
      <w:pPr>
        <w:keepNext w:val="0"/>
        <w:keepLines/>
        <w:spacing w:before="0" w:after="90" w:line="259" w:lineRule="auto"/>
      </w:pPr>
      <w:r>
        <w:rPr>
          <w:rFonts w:ascii="Times New Roman" w:hAnsi="Times New Roman"/>
          <w:b/>
          <w:i w:val="0"/>
          <w:color w:val="000000"/>
          <w:sz w:val="19"/>
        </w:rPr>
        <w:t xml:space="preserve">Interpretation boundary. </w:t>
      </w:r>
      <w:r>
        <w:rPr>
          <w:rFonts w:ascii="Times New Roman" w:hAnsi="Times New Roman"/>
          <w:b w:val="0"/>
          <w:i w:val="0"/>
          <w:color w:val="000000"/>
          <w:sz w:val="19"/>
        </w:rPr>
        <w:t>These patterns describe short-term price behavior during a limited observation period. They do not establish that the CXMT IPO caused peer movements, do not infer institutional trading behavior from prices alone, and do not constitute an investment recommendation.</w:t>
      </w:r>
    </w:p>
    <w:p>
      <w:pPr>
        <w:pStyle w:val="Heading1"/>
        <w:keepNext/>
        <w:keepLines w:val="0"/>
        <w:spacing w:before="80" w:after="44" w:line="240" w:lineRule="auto"/>
        <w:pBdr>
          <w:bottom w:val="single" w:sz="4" w:space="2" w:color="9CC2E5"/>
        </w:pBdr>
      </w:pPr>
      <w:r>
        <w:rPr>
          <w:rFonts w:ascii="Times New Roman" w:hAnsi="Times New Roman"/>
          <w:b/>
          <w:i w:val="0"/>
          <w:color w:val="1F4E79"/>
          <w:sz w:val="24"/>
        </w:rPr>
        <w:t>1. Research Objective and Market Context</w:t>
      </w:r>
    </w:p>
    <w:p>
      <w:pPr>
        <w:keepNext w:val="0"/>
        <w:keepLines w:val="0"/>
        <w:spacing w:before="0" w:after="90" w:line="254" w:lineRule="auto"/>
        <w:jc w:val="left"/>
      </w:pPr>
      <w:r>
        <w:rPr>
          <w:rFonts w:ascii="Times New Roman" w:hAnsi="Times New Roman"/>
          <w:b w:val="0"/>
          <w:i w:val="0"/>
          <w:color w:val="000000"/>
          <w:sz w:val="19"/>
        </w:rPr>
        <w:t>CXMT is treated as the focal listing event within a broader semiconductor ecosystem that includes upstream equipment, global memory peers, semiconductor-design/AI exposure, and downstream electronics demand. The analytical question is whether these different roles display visibly different short-term price responses around the same period, not whether every observed move can be attributed to the IPO itself.</w:t>
      </w:r>
    </w:p>
    <w:p>
      <w:pPr>
        <w:pStyle w:val="Heading2"/>
        <w:keepNext/>
        <w:keepLines w:val="0"/>
        <w:spacing w:before="20" w:after="30" w:line="240" w:lineRule="auto"/>
      </w:pPr>
      <w:r>
        <w:rPr>
          <w:rFonts w:ascii="Times New Roman" w:hAnsi="Times New Roman"/>
          <w:b/>
          <w:i w:val="0"/>
          <w:color w:val="1F4E79"/>
          <w:sz w:val="20"/>
        </w:rPr>
        <w:t>1.1 Research Questions</w:t>
      </w:r>
    </w:p>
    <w:p>
      <w:pPr>
        <w:pStyle w:val="ListBullet"/>
        <w:keepNext w:val="0"/>
        <w:keepLines/>
        <w:spacing w:before="0" w:after="44" w:line="259" w:lineRule="auto"/>
        <w:ind w:left="317" w:hanging="230"/>
      </w:pPr>
      <w:r>
        <w:rPr>
          <w:rFonts w:ascii="Times New Roman" w:hAnsi="Times New Roman"/>
          <w:b/>
          <w:i w:val="0"/>
          <w:color w:val="000000"/>
          <w:sz w:val="18"/>
        </w:rPr>
        <w:t xml:space="preserve">RQ1. </w:t>
      </w:r>
      <w:r>
        <w:rPr>
          <w:rFonts w:ascii="Times New Roman" w:hAnsi="Times New Roman"/>
          <w:b w:val="0"/>
          <w:i w:val="0"/>
          <w:color w:val="000000"/>
          <w:sz w:val="18"/>
        </w:rPr>
        <w:t>How did selected semiconductor-ecosystem companies perform during the observation window surrounding the CXMT IPO?</w:t>
      </w:r>
    </w:p>
    <w:p>
      <w:pPr>
        <w:pStyle w:val="ListBullet"/>
        <w:keepNext w:val="0"/>
        <w:keepLines/>
        <w:spacing w:before="0" w:after="44" w:line="259" w:lineRule="auto"/>
        <w:ind w:left="317" w:hanging="230"/>
      </w:pPr>
      <w:r>
        <w:rPr>
          <w:rFonts w:ascii="Times New Roman" w:hAnsi="Times New Roman"/>
          <w:b/>
          <w:i w:val="0"/>
          <w:color w:val="000000"/>
          <w:sz w:val="18"/>
        </w:rPr>
        <w:t xml:space="preserve">RQ2. </w:t>
      </w:r>
      <w:r>
        <w:rPr>
          <w:rFonts w:ascii="Times New Roman" w:hAnsi="Times New Roman"/>
          <w:b w:val="0"/>
          <w:i w:val="0"/>
          <w:color w:val="000000"/>
          <w:sz w:val="18"/>
        </w:rPr>
        <w:t>How did CXMT and selected global memory peers differ after all four firms were aligned to the same July 27 event-date baseline?</w:t>
      </w:r>
    </w:p>
    <w:p>
      <w:pPr>
        <w:pStyle w:val="ListBullet"/>
        <w:keepNext w:val="0"/>
        <w:keepLines/>
        <w:spacing w:before="0" w:after="56" w:line="259" w:lineRule="auto"/>
        <w:ind w:left="317" w:hanging="230"/>
      </w:pPr>
      <w:r>
        <w:rPr>
          <w:rFonts w:ascii="Times New Roman" w:hAnsi="Times New Roman"/>
          <w:b/>
          <w:i w:val="0"/>
          <w:color w:val="000000"/>
          <w:sz w:val="18"/>
        </w:rPr>
        <w:t xml:space="preserve">RQ3. </w:t>
      </w:r>
      <w:r>
        <w:rPr>
          <w:rFonts w:ascii="Times New Roman" w:hAnsi="Times New Roman"/>
          <w:b w:val="0"/>
          <w:i w:val="0"/>
          <w:color w:val="000000"/>
          <w:sz w:val="18"/>
        </w:rPr>
        <w:t>How did CXMT's own closing price develop after listing, and what limited descriptive information is provided by a complete seven-trading-day moving average?</w:t>
      </w:r>
    </w:p>
    <w:p>
      <w:pPr>
        <w:pStyle w:val="Heading2"/>
        <w:keepNext/>
        <w:keepLines w:val="0"/>
        <w:spacing w:before="20" w:after="30" w:line="240" w:lineRule="auto"/>
      </w:pPr>
      <w:r>
        <w:rPr>
          <w:rFonts w:ascii="Times New Roman" w:hAnsi="Times New Roman"/>
          <w:b/>
          <w:i w:val="0"/>
          <w:color w:val="1F4E79"/>
          <w:sz w:val="20"/>
        </w:rPr>
        <w:t>1.2 Research Contribution</w:t>
      </w:r>
    </w:p>
    <w:p>
      <w:pPr>
        <w:keepNext w:val="0"/>
        <w:keepLines w:val="0"/>
        <w:spacing w:before="0" w:after="68" w:line="254" w:lineRule="auto"/>
        <w:jc w:val="left"/>
      </w:pPr>
      <w:r>
        <w:rPr>
          <w:rFonts w:ascii="Times New Roman" w:hAnsi="Times New Roman"/>
          <w:b w:val="0"/>
          <w:i w:val="0"/>
          <w:color w:val="000000"/>
          <w:sz w:val="18"/>
        </w:rPr>
        <w:t>The contribution is a transparent, reproducible record of an early listing window rather than a causal event study. The workflow links documented public market-data interfaces, frozen real-data CSV files, explicit figure-specific baselines, exchange-specific trading-date preservation, and reproducible Python calculations while keeping the distinction between NCR and conventional abnormal-return measures explicit.</w:t>
      </w:r>
    </w:p>
    <w:p>
      <w:pPr>
        <w:pStyle w:val="Heading2"/>
        <w:keepNext/>
        <w:keepLines w:val="0"/>
        <w:spacing w:before="20" w:after="30" w:line="240" w:lineRule="auto"/>
      </w:pPr>
      <w:r>
        <w:rPr>
          <w:rFonts w:ascii="Times New Roman" w:hAnsi="Times New Roman"/>
          <w:b/>
          <w:i w:val="0"/>
          <w:color w:val="1F4E79"/>
          <w:sz w:val="20"/>
        </w:rPr>
        <w:t>1.3 Coverage Matrix</w:t>
      </w:r>
    </w:p>
    <w:tbl>
      <w:tblPr>
        <w:tblW w:type="auto" w:w="0"/>
        <w:jc w:val="center"/>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2541"/>
        <w:gridCol w:w="2541"/>
        <w:gridCol w:w="2541"/>
        <w:gridCol w:w="2541"/>
      </w:tblGrid>
      <w:tr>
        <w:trPr>
          <w:tblHeader w:val="true"/>
        </w:trPr>
        <w:tc>
          <w:tcPr>
            <w:tcW w:type="dxa" w:w="2300"/>
            <w:shd w:fill="D9E7F5"/>
            <w:tcMar>
              <w:top w:w="40" w:type="dxa"/>
              <w:start w:w="55" w:type="dxa"/>
              <w:bottom w:w="40" w:type="dxa"/>
              <w:end w:w="55" w:type="dxa"/>
            </w:tcMar>
          </w:tcPr>
          <w:p>
            <w:pPr>
              <w:keepNext w:val="0"/>
              <w:keepLines w:val="0"/>
              <w:spacing w:before="0" w:after="0" w:line="240" w:lineRule="auto"/>
              <w:jc w:val="center"/>
            </w:pPr>
            <w:r>
              <w:rPr>
                <w:rFonts w:ascii="Times New Roman" w:hAnsi="Times New Roman"/>
                <w:b/>
                <w:i w:val="0"/>
                <w:color w:val="000000"/>
                <w:sz w:val="14"/>
              </w:rPr>
              <w:t>Company / Ticker</w:t>
            </w:r>
          </w:p>
        </w:tc>
        <w:tc>
          <w:tcPr>
            <w:tcW w:type="dxa" w:w="2850"/>
            <w:shd w:fill="D9E7F5"/>
            <w:tcMar>
              <w:top w:w="40" w:type="dxa"/>
              <w:start w:w="55" w:type="dxa"/>
              <w:bottom w:w="40" w:type="dxa"/>
              <w:end w:w="55" w:type="dxa"/>
            </w:tcMar>
          </w:tcPr>
          <w:p>
            <w:pPr>
              <w:keepNext w:val="0"/>
              <w:keepLines w:val="0"/>
              <w:spacing w:before="0" w:after="0" w:line="240" w:lineRule="auto"/>
              <w:jc w:val="center"/>
            </w:pPr>
            <w:r>
              <w:rPr>
                <w:rFonts w:ascii="Times New Roman" w:hAnsi="Times New Roman"/>
                <w:b/>
                <w:i w:val="0"/>
                <w:color w:val="000000"/>
                <w:sz w:val="14"/>
              </w:rPr>
              <w:t>Ecosystem Role</w:t>
            </w:r>
          </w:p>
        </w:tc>
        <w:tc>
          <w:tcPr>
            <w:tcW w:type="dxa" w:w="3650"/>
            <w:shd w:fill="D9E7F5"/>
            <w:tcMar>
              <w:top w:w="40" w:type="dxa"/>
              <w:start w:w="55" w:type="dxa"/>
              <w:bottom w:w="40" w:type="dxa"/>
              <w:end w:w="55" w:type="dxa"/>
            </w:tcMar>
          </w:tcPr>
          <w:p>
            <w:pPr>
              <w:keepNext w:val="0"/>
              <w:keepLines w:val="0"/>
              <w:spacing w:before="0" w:after="0" w:line="240" w:lineRule="auto"/>
              <w:jc w:val="center"/>
            </w:pPr>
            <w:r>
              <w:rPr>
                <w:rFonts w:ascii="Times New Roman" w:hAnsi="Times New Roman"/>
                <w:b/>
                <w:i w:val="0"/>
                <w:color w:val="000000"/>
                <w:sz w:val="14"/>
              </w:rPr>
              <w:t>Analytical Role</w:t>
            </w:r>
          </w:p>
        </w:tc>
        <w:tc>
          <w:tcPr>
            <w:tcW w:type="dxa" w:w="650"/>
            <w:shd w:fill="D9E7F5"/>
            <w:tcMar>
              <w:top w:w="40" w:type="dxa"/>
              <w:start w:w="55" w:type="dxa"/>
              <w:bottom w:w="40" w:type="dxa"/>
              <w:end w:w="55" w:type="dxa"/>
            </w:tcMar>
          </w:tcPr>
          <w:p>
            <w:pPr>
              <w:keepNext w:val="0"/>
              <w:keepLines w:val="0"/>
              <w:spacing w:before="0" w:after="0" w:line="240" w:lineRule="auto"/>
              <w:jc w:val="center"/>
            </w:pPr>
            <w:r>
              <w:rPr>
                <w:rFonts w:ascii="Times New Roman" w:hAnsi="Times New Roman"/>
                <w:b/>
                <w:i w:val="0"/>
                <w:color w:val="000000"/>
                <w:sz w:val="14"/>
              </w:rPr>
              <w:t>Figure</w:t>
            </w:r>
          </w:p>
        </w:tc>
      </w:tr>
      <w:tr>
        <w:tc>
          <w:tcPr>
            <w:tcW w:type="dxa" w:w="230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CXMT (688825.SH)</w:t>
            </w:r>
          </w:p>
        </w:tc>
        <w:tc>
          <w:tcPr>
            <w:tcW w:type="dxa" w:w="285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Memory semiconductor</w:t>
            </w:r>
          </w:p>
        </w:tc>
        <w:tc>
          <w:tcPr>
            <w:tcW w:type="dxa" w:w="365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Focal IPO company; memory-peer comparison and post-listing price development</w:t>
            </w:r>
          </w:p>
        </w:tc>
        <w:tc>
          <w:tcPr>
            <w:tcW w:type="dxa" w:w="650"/>
            <w:tcMar>
              <w:top w:w="46" w:type="dxa"/>
              <w:start w:w="55" w:type="dxa"/>
              <w:bottom w:w="46"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2 / 3</w:t>
            </w:r>
          </w:p>
        </w:tc>
      </w:tr>
      <w:tr>
        <w:tc>
          <w:tcPr>
            <w:tcW w:type="dxa" w:w="230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AMEC (688012.SH)</w:t>
            </w:r>
          </w:p>
        </w:tc>
        <w:tc>
          <w:tcPr>
            <w:tcW w:type="dxa" w:w="285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Upstream semiconductor equipment</w:t>
            </w:r>
          </w:p>
        </w:tc>
        <w:tc>
          <w:tcPr>
            <w:tcW w:type="dxa" w:w="365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Broader ecosystem comparison; equipment-side exposure</w:t>
            </w:r>
          </w:p>
        </w:tc>
        <w:tc>
          <w:tcPr>
            <w:tcW w:type="dxa" w:w="650"/>
            <w:tcMar>
              <w:top w:w="46" w:type="dxa"/>
              <w:start w:w="55" w:type="dxa"/>
              <w:bottom w:w="46"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1</w:t>
            </w:r>
          </w:p>
        </w:tc>
      </w:tr>
      <w:tr>
        <w:tc>
          <w:tcPr>
            <w:tcW w:type="dxa" w:w="230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SK hynix (000660.KS)</w:t>
            </w:r>
          </w:p>
        </w:tc>
        <w:tc>
          <w:tcPr>
            <w:tcW w:type="dxa" w:w="285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Memory semiconductor</w:t>
            </w:r>
          </w:p>
        </w:tc>
        <w:tc>
          <w:tcPr>
            <w:tcW w:type="dxa" w:w="365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Global memory peer</w:t>
            </w:r>
          </w:p>
        </w:tc>
        <w:tc>
          <w:tcPr>
            <w:tcW w:type="dxa" w:w="650"/>
            <w:tcMar>
              <w:top w:w="46" w:type="dxa"/>
              <w:start w:w="55" w:type="dxa"/>
              <w:bottom w:w="46"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2</w:t>
            </w:r>
          </w:p>
        </w:tc>
      </w:tr>
      <w:tr>
        <w:tc>
          <w:tcPr>
            <w:tcW w:type="dxa" w:w="230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Samsung Electronics (005930.KS)</w:t>
            </w:r>
          </w:p>
        </w:tc>
        <w:tc>
          <w:tcPr>
            <w:tcW w:type="dxa" w:w="285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Memory semiconductor</w:t>
            </w:r>
          </w:p>
        </w:tc>
        <w:tc>
          <w:tcPr>
            <w:tcW w:type="dxa" w:w="365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Global memory peer</w:t>
            </w:r>
          </w:p>
        </w:tc>
        <w:tc>
          <w:tcPr>
            <w:tcW w:type="dxa" w:w="650"/>
            <w:tcMar>
              <w:top w:w="46" w:type="dxa"/>
              <w:start w:w="55" w:type="dxa"/>
              <w:bottom w:w="46"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2</w:t>
            </w:r>
          </w:p>
        </w:tc>
      </w:tr>
      <w:tr>
        <w:tc>
          <w:tcPr>
            <w:tcW w:type="dxa" w:w="230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Micron Technology (MU)</w:t>
            </w:r>
          </w:p>
        </w:tc>
        <w:tc>
          <w:tcPr>
            <w:tcW w:type="dxa" w:w="285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Memory semiconductor</w:t>
            </w:r>
          </w:p>
        </w:tc>
        <w:tc>
          <w:tcPr>
            <w:tcW w:type="dxa" w:w="365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Global memory peer</w:t>
            </w:r>
          </w:p>
        </w:tc>
        <w:tc>
          <w:tcPr>
            <w:tcW w:type="dxa" w:w="650"/>
            <w:tcMar>
              <w:top w:w="46" w:type="dxa"/>
              <w:start w:w="55" w:type="dxa"/>
              <w:bottom w:w="46"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2</w:t>
            </w:r>
          </w:p>
        </w:tc>
      </w:tr>
      <w:tr>
        <w:tc>
          <w:tcPr>
            <w:tcW w:type="dxa" w:w="230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NVIDIA (NVDA)</w:t>
            </w:r>
          </w:p>
        </w:tc>
        <w:tc>
          <w:tcPr>
            <w:tcW w:type="dxa" w:w="285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Semiconductor design / AI ecosystem</w:t>
            </w:r>
          </w:p>
        </w:tc>
        <w:tc>
          <w:tcPr>
            <w:tcW w:type="dxa" w:w="365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AI-ecosystem comparison</w:t>
            </w:r>
          </w:p>
        </w:tc>
        <w:tc>
          <w:tcPr>
            <w:tcW w:type="dxa" w:w="650"/>
            <w:tcMar>
              <w:top w:w="46" w:type="dxa"/>
              <w:start w:w="55" w:type="dxa"/>
              <w:bottom w:w="46"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1</w:t>
            </w:r>
          </w:p>
        </w:tc>
      </w:tr>
      <w:tr>
        <w:tc>
          <w:tcPr>
            <w:tcW w:type="dxa" w:w="230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Apple (AAPL)</w:t>
            </w:r>
          </w:p>
        </w:tc>
        <w:tc>
          <w:tcPr>
            <w:tcW w:type="dxa" w:w="285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Downstream electronics demand</w:t>
            </w:r>
          </w:p>
        </w:tc>
        <w:tc>
          <w:tcPr>
            <w:tcW w:type="dxa" w:w="3650"/>
            <w:tcMar>
              <w:top w:w="46" w:type="dxa"/>
              <w:start w:w="55" w:type="dxa"/>
              <w:bottom w:w="46"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Demand-side electronics comparison</w:t>
            </w:r>
          </w:p>
        </w:tc>
        <w:tc>
          <w:tcPr>
            <w:tcW w:type="dxa" w:w="650"/>
            <w:tcMar>
              <w:top w:w="46" w:type="dxa"/>
              <w:start w:w="55" w:type="dxa"/>
              <w:bottom w:w="46"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1</w:t>
            </w:r>
          </w:p>
        </w:tc>
      </w:tr>
    </w:tbl>
    <w:p>
      <w:pPr>
        <w:keepNext w:val="0"/>
        <w:keepLines/>
        <w:spacing w:before="40" w:after="30" w:line="259" w:lineRule="auto"/>
      </w:pPr>
      <w:r>
        <w:rPr>
          <w:rFonts w:ascii="Times New Roman" w:hAnsi="Times New Roman"/>
          <w:b/>
          <w:i w:val="0"/>
          <w:color w:val="000000"/>
          <w:sz w:val="16"/>
        </w:rPr>
        <w:t xml:space="preserve">Scope note. </w:t>
      </w:r>
      <w:r>
        <w:rPr>
          <w:rFonts w:ascii="Times New Roman" w:hAnsi="Times New Roman"/>
          <w:b w:val="0"/>
          <w:i w:val="0"/>
          <w:color w:val="000000"/>
          <w:sz w:val="16"/>
        </w:rPr>
        <w:t>The sample is intentionally small and role-based rather than statistically exhaustive. The unit of analysis is a security-date daily closing-price observation; volume, intraday prices, firm fundamentals, and investor-level transactions are outside the dataset.</w:t>
      </w:r>
    </w:p>
    <w:p>
      <w:r>
        <w:br w:type="page"/>
      </w:r>
    </w:p>
    <w:p>
      <w:pPr>
        <w:pStyle w:val="Heading1"/>
        <w:keepNext/>
        <w:keepLines w:val="0"/>
        <w:spacing w:before="0" w:after="48" w:line="240" w:lineRule="auto"/>
        <w:pBdr>
          <w:bottom w:val="single" w:sz="4" w:space="2" w:color="9CC2E5"/>
        </w:pBdr>
      </w:pPr>
      <w:r>
        <w:rPr>
          <w:rFonts w:ascii="Times New Roman" w:hAnsi="Times New Roman"/>
          <w:b/>
          <w:i w:val="0"/>
          <w:color w:val="1F4E79"/>
          <w:sz w:val="24"/>
        </w:rPr>
        <w:t>2. Semiconductor Ecosystem Framework</w:t>
      </w:r>
    </w:p>
    <w:p>
      <w:pPr>
        <w:keepNext w:val="0"/>
        <w:keepLines w:val="0"/>
        <w:spacing w:before="0" w:after="100" w:line="254" w:lineRule="auto"/>
        <w:jc w:val="left"/>
      </w:pPr>
      <w:r>
        <w:rPr>
          <w:rFonts w:ascii="Times New Roman" w:hAnsi="Times New Roman"/>
          <w:b w:val="0"/>
          <w:i w:val="0"/>
          <w:color w:val="000000"/>
          <w:sz w:val="19"/>
        </w:rPr>
        <w:t>Figure 1 compares AMEC, Apple, and NVIDIA using Normalized Cumulative Return (NCR). Each series is normalized to its first valid closing price on or after June 8, 2026 within the predefined observation window. The vertical event marker identifies the CXMT IPO date but does not change the Figure 1 baseline rule.</w:t>
      </w:r>
    </w:p>
    <w:p>
      <w:pPr>
        <w:keepNext/>
        <w:keepLines w:val="0"/>
        <w:spacing w:before="0" w:after="60" w:line="240" w:lineRule="auto"/>
        <w:jc w:val="center"/>
      </w:pPr>
      <w:r>
        <w:drawing>
          <wp:inline xmlns:a="http://schemas.openxmlformats.org/drawingml/2006/main" xmlns:pic="http://schemas.openxmlformats.org/drawingml/2006/picture">
            <wp:extent cx="6400800" cy="2432304"/>
            <wp:docPr id="1" name="Picture 1" descr="Figure 1. Semiconductor Ecosystem Normalized Return Comparison" title="Figure 1. Semiconductor Ecosystem Normalized Return Comparison"/>
            <wp:cNvGraphicFramePr>
              <a:graphicFrameLocks noChangeAspect="1"/>
            </wp:cNvGraphicFramePr>
            <a:graphic>
              <a:graphicData uri="http://schemas.openxmlformats.org/drawingml/2006/picture">
                <pic:pic>
                  <pic:nvPicPr>
                    <pic:cNvPr id="0" name="upstream_downstream_chain.png"/>
                    <pic:cNvPicPr/>
                  </pic:nvPicPr>
                  <pic:blipFill>
                    <a:blip r:embed="rId11"/>
                    <a:stretch>
                      <a:fillRect/>
                    </a:stretch>
                  </pic:blipFill>
                  <pic:spPr>
                    <a:xfrm>
                      <a:off x="0" y="0"/>
                      <a:ext cx="6400800" cy="2432304"/>
                    </a:xfrm>
                    <a:prstGeom prst="rect"/>
                  </pic:spPr>
                </pic:pic>
              </a:graphicData>
            </a:graphic>
          </wp:inline>
        </w:drawing>
      </w:r>
    </w:p>
    <w:p>
      <w:pPr>
        <w:keepNext/>
        <w:keepLines w:val="0"/>
        <w:spacing w:before="0" w:after="40" w:line="240" w:lineRule="auto"/>
      </w:pPr>
      <w:r>
        <w:rPr>
          <w:rFonts w:ascii="Times New Roman" w:hAnsi="Times New Roman"/>
          <w:b/>
          <w:i w:val="0"/>
          <w:color w:val="000000"/>
          <w:sz w:val="17"/>
        </w:rPr>
        <w:t>Figure 1. Semiconductor Ecosystem Normalized Return Comparison</w:t>
      </w:r>
    </w:p>
    <w:p>
      <w:pPr>
        <w:keepNext w:val="0"/>
        <w:keepLines/>
        <w:spacing w:before="0" w:after="100" w:line="240" w:lineRule="auto"/>
      </w:pPr>
      <w:r>
        <w:rPr>
          <w:rFonts w:ascii="Times New Roman" w:hAnsi="Times New Roman"/>
          <w:b w:val="0"/>
          <w:i/>
          <w:color w:val="666666"/>
          <w:sz w:val="14"/>
        </w:rPr>
        <w:t>Source: Tencent Finance interface (AMEC); Sina Finance with Yahoo Finance fallback (Apple and NVIDIA); author calculations in Python. Final data through August 7, 2026.</w:t>
      </w:r>
    </w:p>
    <w:tbl>
      <w:tblPr>
        <w:tblW w:type="auto" w:w="0"/>
        <w:jc w:val="center"/>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3389"/>
        <w:gridCol w:w="3389"/>
        <w:gridCol w:w="3389"/>
      </w:tblGrid>
      <w:tr>
        <w:trPr>
          <w:tblHeader w:val="true"/>
        </w:trPr>
        <w:tc>
          <w:tcPr>
            <w:tcW w:type="dxa" w:w="3200"/>
            <w:tcMar>
              <w:top w:w="52" w:type="dxa"/>
              <w:start w:w="55" w:type="dxa"/>
              <w:bottom w:w="52" w:type="dxa"/>
              <w:end w:w="55" w:type="dxa"/>
            </w:tcMar>
            <w:vAlign w:val="center"/>
            <w:shd w:fill="D9E7F5"/>
          </w:tcPr>
          <w:p>
            <w:pPr>
              <w:keepNext w:val="0"/>
              <w:keepLines w:val="0"/>
              <w:spacing w:before="0" w:after="0" w:line="240" w:lineRule="auto"/>
              <w:jc w:val="center"/>
            </w:pPr>
            <w:r>
              <w:rPr>
                <w:rFonts w:ascii="Times New Roman" w:hAnsi="Times New Roman"/>
                <w:b w:val="0"/>
                <w:i w:val="0"/>
                <w:color w:val="000000"/>
                <w:sz w:val="14"/>
              </w:rPr>
              <w:t>AMEC Endpoint NCR</w:t>
            </w:r>
          </w:p>
        </w:tc>
        <w:tc>
          <w:tcPr>
            <w:tcW w:type="dxa" w:w="3200"/>
            <w:tcMar>
              <w:top w:w="52" w:type="dxa"/>
              <w:start w:w="55" w:type="dxa"/>
              <w:bottom w:w="52" w:type="dxa"/>
              <w:end w:w="55" w:type="dxa"/>
            </w:tcMar>
            <w:vAlign w:val="center"/>
            <w:shd w:fill="D9E7F5"/>
          </w:tcPr>
          <w:p>
            <w:pPr>
              <w:keepNext w:val="0"/>
              <w:keepLines w:val="0"/>
              <w:spacing w:before="0" w:after="0" w:line="240" w:lineRule="auto"/>
              <w:jc w:val="center"/>
            </w:pPr>
            <w:r>
              <w:rPr>
                <w:rFonts w:ascii="Times New Roman" w:hAnsi="Times New Roman"/>
                <w:b w:val="0"/>
                <w:i w:val="0"/>
                <w:color w:val="000000"/>
                <w:sz w:val="14"/>
              </w:rPr>
              <w:t>NVIDIA Endpoint NCR</w:t>
            </w:r>
          </w:p>
        </w:tc>
        <w:tc>
          <w:tcPr>
            <w:tcW w:type="dxa" w:w="3200"/>
            <w:tcMar>
              <w:top w:w="52" w:type="dxa"/>
              <w:start w:w="55" w:type="dxa"/>
              <w:bottom w:w="52" w:type="dxa"/>
              <w:end w:w="55" w:type="dxa"/>
            </w:tcMar>
            <w:vAlign w:val="center"/>
            <w:shd w:fill="D9E7F5"/>
          </w:tcPr>
          <w:p>
            <w:pPr>
              <w:keepNext w:val="0"/>
              <w:keepLines w:val="0"/>
              <w:spacing w:before="0" w:after="0" w:line="240" w:lineRule="auto"/>
              <w:jc w:val="center"/>
            </w:pPr>
            <w:r>
              <w:rPr>
                <w:rFonts w:ascii="Times New Roman" w:hAnsi="Times New Roman"/>
                <w:b w:val="0"/>
                <w:i w:val="0"/>
                <w:color w:val="000000"/>
                <w:sz w:val="14"/>
              </w:rPr>
              <w:t>Apple Endpoint NCR</w:t>
            </w:r>
          </w:p>
        </w:tc>
      </w:tr>
      <w:tr>
        <w:tc>
          <w:tcPr>
            <w:tcW w:type="dxa" w:w="3200"/>
            <w:tcMar>
              <w:top w:w="52" w:type="dxa"/>
              <w:start w:w="55" w:type="dxa"/>
              <w:bottom w:w="52" w:type="dxa"/>
              <w:end w:w="55" w:type="dxa"/>
            </w:tcMar>
            <w:vAlign w:val="center"/>
          </w:tcPr>
          <w:p>
            <w:pPr>
              <w:keepNext w:val="0"/>
              <w:keepLines w:val="0"/>
              <w:spacing w:before="0" w:after="0" w:line="240" w:lineRule="auto"/>
              <w:jc w:val="center"/>
            </w:pPr>
            <w:r>
              <w:rPr>
                <w:rFonts w:ascii="Times New Roman" w:hAnsi="Times New Roman"/>
                <w:b/>
                <w:i w:val="0"/>
                <w:color w:val="1F4E79"/>
                <w:sz w:val="16"/>
              </w:rPr>
              <w:t>+38.49%</w:t>
            </w:r>
          </w:p>
        </w:tc>
        <w:tc>
          <w:tcPr>
            <w:tcW w:type="dxa" w:w="3200"/>
            <w:tcMar>
              <w:top w:w="52" w:type="dxa"/>
              <w:start w:w="55" w:type="dxa"/>
              <w:bottom w:w="52" w:type="dxa"/>
              <w:end w:w="55" w:type="dxa"/>
            </w:tcMar>
            <w:vAlign w:val="center"/>
          </w:tcPr>
          <w:p>
            <w:pPr>
              <w:keepNext w:val="0"/>
              <w:keepLines w:val="0"/>
              <w:spacing w:before="0" w:after="0" w:line="240" w:lineRule="auto"/>
              <w:jc w:val="center"/>
            </w:pPr>
            <w:r>
              <w:rPr>
                <w:rFonts w:ascii="Times New Roman" w:hAnsi="Times New Roman"/>
                <w:b/>
                <w:i w:val="0"/>
                <w:color w:val="1F4E79"/>
                <w:sz w:val="16"/>
              </w:rPr>
              <w:t>+7.34%</w:t>
            </w:r>
          </w:p>
        </w:tc>
        <w:tc>
          <w:tcPr>
            <w:tcW w:type="dxa" w:w="3200"/>
            <w:tcMar>
              <w:top w:w="52" w:type="dxa"/>
              <w:start w:w="55" w:type="dxa"/>
              <w:bottom w:w="52" w:type="dxa"/>
              <w:end w:w="55" w:type="dxa"/>
            </w:tcMar>
            <w:vAlign w:val="center"/>
          </w:tcPr>
          <w:p>
            <w:pPr>
              <w:keepNext w:val="0"/>
              <w:keepLines w:val="0"/>
              <w:spacing w:before="0" w:after="0" w:line="240" w:lineRule="auto"/>
              <w:jc w:val="center"/>
            </w:pPr>
            <w:r>
              <w:rPr>
                <w:rFonts w:ascii="Times New Roman" w:hAnsi="Times New Roman"/>
                <w:b/>
                <w:i w:val="0"/>
                <w:color w:val="1F4E79"/>
                <w:sz w:val="16"/>
              </w:rPr>
              <w:t>+3.91%</w:t>
            </w:r>
          </w:p>
        </w:tc>
      </w:tr>
    </w:tbl>
    <w:p>
      <w:pPr>
        <w:keepNext w:val="0"/>
        <w:keepLines w:val="0"/>
        <w:spacing w:before="0" w:after="64" w:line="240" w:lineRule="auto"/>
      </w:pPr>
    </w:p>
    <w:p>
      <w:pPr>
        <w:pStyle w:val="Heading2"/>
        <w:keepNext/>
        <w:keepLines w:val="0"/>
        <w:spacing w:before="0" w:after="30" w:line="240" w:lineRule="auto"/>
      </w:pPr>
      <w:r>
        <w:rPr>
          <w:rFonts w:ascii="Times New Roman" w:hAnsi="Times New Roman"/>
          <w:b/>
          <w:i w:val="0"/>
          <w:color w:val="1F4E79"/>
          <w:sz w:val="20"/>
        </w:rPr>
        <w:t>2.1 Auditable Endpoint Values</w:t>
      </w:r>
    </w:p>
    <w:tbl>
      <w:tblPr>
        <w:tblW w:type="auto" w:w="0"/>
        <w:jc w:val="center"/>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1694"/>
        <w:gridCol w:w="1694"/>
        <w:gridCol w:w="1694"/>
        <w:gridCol w:w="1694"/>
        <w:gridCol w:w="1694"/>
        <w:gridCol w:w="1694"/>
      </w:tblGrid>
      <w:tr>
        <w:trPr>
          <w:tblHeader w:val="true"/>
        </w:trPr>
        <w:tc>
          <w:tcPr>
            <w:tcW w:type="dxa" w:w="160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Company</w:t>
            </w:r>
          </w:p>
        </w:tc>
        <w:tc>
          <w:tcPr>
            <w:tcW w:type="dxa" w:w="145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Baseline Date</w:t>
            </w:r>
          </w:p>
        </w:tc>
        <w:tc>
          <w:tcPr>
            <w:tcW w:type="dxa" w:w="175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Baseline Close</w:t>
            </w:r>
          </w:p>
        </w:tc>
        <w:tc>
          <w:tcPr>
            <w:tcW w:type="dxa" w:w="130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Final Date</w:t>
            </w:r>
          </w:p>
        </w:tc>
        <w:tc>
          <w:tcPr>
            <w:tcW w:type="dxa" w:w="175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Final Close</w:t>
            </w:r>
          </w:p>
        </w:tc>
        <w:tc>
          <w:tcPr>
            <w:tcW w:type="dxa" w:w="175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Endpoint NCR</w:t>
            </w:r>
          </w:p>
        </w:tc>
      </w:tr>
      <w:tr>
        <w:tc>
          <w:tcPr>
            <w:tcW w:type="dxa" w:w="1600"/>
            <w:tcMar>
              <w:top w:w="48" w:type="dxa"/>
              <w:start w:w="55" w:type="dxa"/>
              <w:bottom w:w="48"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AMEC</w:t>
            </w:r>
          </w:p>
        </w:tc>
        <w:tc>
          <w:tcPr>
            <w:tcW w:type="dxa" w:w="145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Jun. 8</w:t>
            </w:r>
          </w:p>
        </w:tc>
        <w:tc>
          <w:tcPr>
            <w:tcW w:type="dxa" w:w="175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RMB 265.47</w:t>
            </w:r>
          </w:p>
        </w:tc>
        <w:tc>
          <w:tcPr>
            <w:tcW w:type="dxa" w:w="13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Aug. 7</w:t>
            </w:r>
          </w:p>
        </w:tc>
        <w:tc>
          <w:tcPr>
            <w:tcW w:type="dxa" w:w="175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RMB 367.65</w:t>
            </w:r>
          </w:p>
        </w:tc>
        <w:tc>
          <w:tcPr>
            <w:tcW w:type="dxa" w:w="175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+38.49%</w:t>
            </w:r>
          </w:p>
        </w:tc>
      </w:tr>
      <w:tr>
        <w:tc>
          <w:tcPr>
            <w:tcW w:type="dxa" w:w="1600"/>
            <w:tcMar>
              <w:top w:w="48" w:type="dxa"/>
              <w:start w:w="55" w:type="dxa"/>
              <w:bottom w:w="48"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NVIDIA</w:t>
            </w:r>
          </w:p>
        </w:tc>
        <w:tc>
          <w:tcPr>
            <w:tcW w:type="dxa" w:w="145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Jun. 8</w:t>
            </w:r>
          </w:p>
        </w:tc>
        <w:tc>
          <w:tcPr>
            <w:tcW w:type="dxa" w:w="175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USD 208.64</w:t>
            </w:r>
          </w:p>
        </w:tc>
        <w:tc>
          <w:tcPr>
            <w:tcW w:type="dxa" w:w="13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Aug. 7</w:t>
            </w:r>
          </w:p>
        </w:tc>
        <w:tc>
          <w:tcPr>
            <w:tcW w:type="dxa" w:w="175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USD 223.96</w:t>
            </w:r>
          </w:p>
        </w:tc>
        <w:tc>
          <w:tcPr>
            <w:tcW w:type="dxa" w:w="175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+7.34%</w:t>
            </w:r>
          </w:p>
        </w:tc>
      </w:tr>
      <w:tr>
        <w:tc>
          <w:tcPr>
            <w:tcW w:type="dxa" w:w="1600"/>
            <w:tcMar>
              <w:top w:w="48" w:type="dxa"/>
              <w:start w:w="55" w:type="dxa"/>
              <w:bottom w:w="48"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Apple</w:t>
            </w:r>
          </w:p>
        </w:tc>
        <w:tc>
          <w:tcPr>
            <w:tcW w:type="dxa" w:w="145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Jun. 8</w:t>
            </w:r>
          </w:p>
        </w:tc>
        <w:tc>
          <w:tcPr>
            <w:tcW w:type="dxa" w:w="175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USD 301.54</w:t>
            </w:r>
          </w:p>
        </w:tc>
        <w:tc>
          <w:tcPr>
            <w:tcW w:type="dxa" w:w="13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Aug. 7</w:t>
            </w:r>
          </w:p>
        </w:tc>
        <w:tc>
          <w:tcPr>
            <w:tcW w:type="dxa" w:w="175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USD 313.33</w:t>
            </w:r>
          </w:p>
        </w:tc>
        <w:tc>
          <w:tcPr>
            <w:tcW w:type="dxa" w:w="175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+3.91%</w:t>
            </w:r>
          </w:p>
        </w:tc>
      </w:tr>
    </w:tbl>
    <w:p>
      <w:pPr>
        <w:keepNext w:val="0"/>
        <w:keepLines w:val="0"/>
        <w:spacing w:before="0" w:after="50" w:line="240" w:lineRule="auto"/>
      </w:pPr>
    </w:p>
    <w:p>
      <w:pPr>
        <w:pStyle w:val="Heading2"/>
        <w:keepNext/>
        <w:keepLines w:val="0"/>
        <w:spacing w:before="0" w:after="34" w:line="240" w:lineRule="auto"/>
      </w:pPr>
      <w:r>
        <w:rPr>
          <w:rFonts w:ascii="Times New Roman" w:hAnsi="Times New Roman"/>
          <w:b/>
          <w:i w:val="0"/>
          <w:color w:val="1F4E79"/>
          <w:sz w:val="20"/>
        </w:rPr>
        <w:t>2.2 Observed Ecosystem Response</w:t>
      </w:r>
    </w:p>
    <w:p>
      <w:pPr>
        <w:pStyle w:val="ListBullet"/>
        <w:keepNext w:val="0"/>
        <w:keepLines/>
        <w:spacing w:before="0" w:after="80" w:line="259" w:lineRule="auto"/>
        <w:ind w:left="317" w:hanging="230"/>
      </w:pPr>
      <w:r>
        <w:rPr>
          <w:rFonts w:ascii="Times New Roman" w:hAnsi="Times New Roman"/>
          <w:b/>
          <w:i w:val="0"/>
          <w:color w:val="000000"/>
          <w:sz w:val="19"/>
        </w:rPr>
        <w:t xml:space="preserve">AMEC: </w:t>
      </w:r>
      <w:r>
        <w:rPr>
          <w:rFonts w:ascii="Times New Roman" w:hAnsi="Times New Roman"/>
          <w:b w:val="0"/>
          <w:i w:val="0"/>
          <w:color w:val="000000"/>
          <w:sz w:val="19"/>
        </w:rPr>
        <w:t>AMEC showed the strongest endpoint performance in the comparison. After reaching a much higher peak earlier in the window and falling sharply through August 3, it partially recovered and ended 38.49% above its June-window baseline.</w:t>
      </w:r>
    </w:p>
    <w:p>
      <w:pPr>
        <w:pStyle w:val="ListBullet"/>
        <w:keepNext w:val="0"/>
        <w:keepLines/>
        <w:spacing w:before="0" w:after="80" w:line="259" w:lineRule="auto"/>
        <w:ind w:left="317" w:hanging="230"/>
      </w:pPr>
      <w:r>
        <w:rPr>
          <w:rFonts w:ascii="Times New Roman" w:hAnsi="Times New Roman"/>
          <w:b/>
          <w:i w:val="0"/>
          <w:color w:val="000000"/>
          <w:sz w:val="19"/>
        </w:rPr>
        <w:t xml:space="preserve">Apple: </w:t>
      </w:r>
      <w:r>
        <w:rPr>
          <w:rFonts w:ascii="Times New Roman" w:hAnsi="Times New Roman"/>
          <w:b w:val="0"/>
          <w:i w:val="0"/>
          <w:color w:val="000000"/>
          <w:sz w:val="19"/>
        </w:rPr>
        <w:t>Apple remained above its starting baseline around the IPO period but retreated from its late-July high. It ended the window 3.91% above baseline, supporting a modest relative-performance description rather than a claim about memory-cost pass-through or margin protection.</w:t>
      </w:r>
    </w:p>
    <w:p>
      <w:pPr>
        <w:pStyle w:val="ListBullet"/>
        <w:keepNext w:val="0"/>
        <w:keepLines/>
        <w:spacing w:before="0" w:after="80" w:line="259" w:lineRule="auto"/>
        <w:ind w:left="317" w:hanging="230"/>
      </w:pPr>
      <w:r>
        <w:rPr>
          <w:rFonts w:ascii="Times New Roman" w:hAnsi="Times New Roman"/>
          <w:b/>
          <w:i w:val="0"/>
          <w:color w:val="000000"/>
          <w:sz w:val="19"/>
        </w:rPr>
        <w:t xml:space="preserve">NVIDIA: </w:t>
      </w:r>
      <w:r>
        <w:rPr>
          <w:rFonts w:ascii="Times New Roman" w:hAnsi="Times New Roman"/>
          <w:b w:val="0"/>
          <w:i w:val="0"/>
          <w:color w:val="000000"/>
          <w:sz w:val="19"/>
        </w:rPr>
        <w:t>NVIDIA moved below baseline in late June, recovered during July, and strengthened during the final observations. It ended 7.34% above baseline, ahead of Apple but well below AMEC's normalized gain. The series is an AI-ecosystem comparison, not evidence of a direct IPO transmission mechanism.</w:t>
      </w:r>
    </w:p>
    <w:p>
      <w:pPr>
        <w:keepNext w:val="0"/>
        <w:keepLines w:val="0"/>
        <w:spacing w:before="56" w:after="64" w:line="254" w:lineRule="auto"/>
        <w:jc w:val="left"/>
      </w:pPr>
      <w:r>
        <w:rPr>
          <w:rFonts w:ascii="Times New Roman" w:hAnsi="Times New Roman"/>
          <w:b w:val="0"/>
          <w:i w:val="0"/>
          <w:color w:val="000000"/>
          <w:sz w:val="19"/>
        </w:rPr>
        <w:t>Overall, Figure 1 shows differentiated normalized performance across ecosystem roles. AMEC retained the largest cumulative gain, while NVIDIA's late-window rise placed it ahead of Apple at the endpoint. The comparison remains descriptive because the three securities were also exposed to distinct company-specific and market-wide information.</w:t>
      </w:r>
    </w:p>
    <w:p>
      <w:r>
        <w:br w:type="page"/>
      </w:r>
    </w:p>
    <w:p>
      <w:pPr>
        <w:pStyle w:val="Heading1"/>
        <w:keepNext/>
        <w:keepLines w:val="0"/>
        <w:spacing w:before="0" w:after="48" w:line="240" w:lineRule="auto"/>
        <w:pBdr>
          <w:bottom w:val="single" w:sz="4" w:space="2" w:color="9CC2E5"/>
        </w:pBdr>
      </w:pPr>
      <w:r>
        <w:rPr>
          <w:rFonts w:ascii="Times New Roman" w:hAnsi="Times New Roman"/>
          <w:b/>
          <w:i w:val="0"/>
          <w:color w:val="1F4E79"/>
          <w:sz w:val="24"/>
        </w:rPr>
        <w:t>3. Event-Aligned Memory Sector Comparison</w:t>
      </w:r>
    </w:p>
    <w:p>
      <w:pPr>
        <w:keepNext w:val="0"/>
        <w:keepLines w:val="0"/>
        <w:spacing w:before="0" w:after="100" w:line="254" w:lineRule="auto"/>
        <w:jc w:val="left"/>
      </w:pPr>
      <w:r>
        <w:rPr>
          <w:rFonts w:ascii="Times New Roman" w:hAnsi="Times New Roman"/>
          <w:b w:val="0"/>
          <w:i w:val="0"/>
          <w:color w:val="000000"/>
          <w:sz w:val="19"/>
        </w:rPr>
        <w:t>Figure 2 uses a common event baseline: July 27, 2026, the CXMT listing date, is defined as NCR = 0% for CXMT, Micron, Samsung Electronics, and SK hynix. This makes post-event movements directly comparable across the four memory-sector names while preserving the descriptive, non-causal interpretation of the study.</w:t>
      </w:r>
    </w:p>
    <w:p>
      <w:pPr>
        <w:keepNext/>
        <w:keepLines w:val="0"/>
        <w:spacing w:before="0" w:after="60" w:line="240" w:lineRule="auto"/>
        <w:jc w:val="center"/>
      </w:pPr>
      <w:r>
        <w:drawing>
          <wp:inline xmlns:a="http://schemas.openxmlformats.org/drawingml/2006/main" xmlns:pic="http://schemas.openxmlformats.org/drawingml/2006/picture">
            <wp:extent cx="6400800" cy="2432304"/>
            <wp:docPr id="2" name="Picture 2" descr="Figure 2. Event-Aligned Memory Sector Performance Comparison" title="Figure 2. Event-Aligned Memory Sector Performance Comparison"/>
            <wp:cNvGraphicFramePr>
              <a:graphicFrameLocks noChangeAspect="1"/>
            </wp:cNvGraphicFramePr>
            <a:graphic>
              <a:graphicData uri="http://schemas.openxmlformats.org/drawingml/2006/picture">
                <pic:pic>
                  <pic:nvPicPr>
                    <pic:cNvPr id="0" name="memory_sector_comparison.png"/>
                    <pic:cNvPicPr/>
                  </pic:nvPicPr>
                  <pic:blipFill>
                    <a:blip r:embed="rId12"/>
                    <a:stretch>
                      <a:fillRect/>
                    </a:stretch>
                  </pic:blipFill>
                  <pic:spPr>
                    <a:xfrm>
                      <a:off x="0" y="0"/>
                      <a:ext cx="6400800" cy="2432304"/>
                    </a:xfrm>
                    <a:prstGeom prst="rect"/>
                  </pic:spPr>
                </pic:pic>
              </a:graphicData>
            </a:graphic>
          </wp:inline>
        </w:drawing>
      </w:r>
    </w:p>
    <w:p>
      <w:pPr>
        <w:keepNext/>
        <w:keepLines w:val="0"/>
        <w:spacing w:before="0" w:after="40" w:line="240" w:lineRule="auto"/>
      </w:pPr>
      <w:r>
        <w:rPr>
          <w:rFonts w:ascii="Times New Roman" w:hAnsi="Times New Roman"/>
          <w:b/>
          <w:i w:val="0"/>
          <w:color w:val="000000"/>
          <w:sz w:val="17"/>
        </w:rPr>
        <w:t>Figure 2. Event-Aligned Memory Sector Performance Comparison</w:t>
      </w:r>
    </w:p>
    <w:p>
      <w:pPr>
        <w:keepNext w:val="0"/>
        <w:keepLines/>
        <w:spacing w:before="0" w:after="100" w:line="240" w:lineRule="auto"/>
      </w:pPr>
      <w:r>
        <w:rPr>
          <w:rFonts w:ascii="Times New Roman" w:hAnsi="Times New Roman"/>
          <w:b w:val="0"/>
          <w:i/>
          <w:color w:val="666666"/>
          <w:sz w:val="14"/>
        </w:rPr>
        <w:t>Source: Tencent Finance interface (CXMT); Sina Finance with Yahoo Finance fallback (Micron); Naver Stock interface (Samsung Electronics and SK hynix); author calculations in Python. Common baseline: July 27, 2026 = 0%. Final data through August 7, 2026.</w:t>
      </w:r>
    </w:p>
    <w:tbl>
      <w:tblPr>
        <w:tblW w:type="auto" w:w="0"/>
        <w:jc w:val="center"/>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2541"/>
        <w:gridCol w:w="2541"/>
        <w:gridCol w:w="2541"/>
        <w:gridCol w:w="2541"/>
      </w:tblGrid>
      <w:tr>
        <w:trPr>
          <w:tblHeader w:val="true"/>
        </w:trPr>
        <w:tc>
          <w:tcPr>
            <w:tcW w:type="dxa" w:w="2400"/>
            <w:tcMar>
              <w:top w:w="52" w:type="dxa"/>
              <w:start w:w="55" w:type="dxa"/>
              <w:bottom w:w="52" w:type="dxa"/>
              <w:end w:w="55" w:type="dxa"/>
            </w:tcMar>
            <w:vAlign w:val="center"/>
            <w:shd w:fill="D9E7F5"/>
          </w:tcPr>
          <w:p>
            <w:pPr>
              <w:keepNext w:val="0"/>
              <w:keepLines w:val="0"/>
              <w:spacing w:before="0" w:after="0" w:line="240" w:lineRule="auto"/>
              <w:jc w:val="center"/>
            </w:pPr>
            <w:r>
              <w:rPr>
                <w:rFonts w:ascii="Times New Roman" w:hAnsi="Times New Roman"/>
                <w:b w:val="0"/>
                <w:i w:val="0"/>
                <w:color w:val="000000"/>
                <w:sz w:val="14"/>
              </w:rPr>
              <w:t>CXMT</w:t>
            </w:r>
          </w:p>
        </w:tc>
        <w:tc>
          <w:tcPr>
            <w:tcW w:type="dxa" w:w="2400"/>
            <w:tcMar>
              <w:top w:w="52" w:type="dxa"/>
              <w:start w:w="55" w:type="dxa"/>
              <w:bottom w:w="52" w:type="dxa"/>
              <w:end w:w="55" w:type="dxa"/>
            </w:tcMar>
            <w:vAlign w:val="center"/>
            <w:shd w:fill="D9E7F5"/>
          </w:tcPr>
          <w:p>
            <w:pPr>
              <w:keepNext w:val="0"/>
              <w:keepLines w:val="0"/>
              <w:spacing w:before="0" w:after="0" w:line="240" w:lineRule="auto"/>
              <w:jc w:val="center"/>
            </w:pPr>
            <w:r>
              <w:rPr>
                <w:rFonts w:ascii="Times New Roman" w:hAnsi="Times New Roman"/>
                <w:b w:val="0"/>
                <w:i w:val="0"/>
                <w:color w:val="000000"/>
                <w:sz w:val="14"/>
              </w:rPr>
              <w:t>Micron</w:t>
            </w:r>
          </w:p>
        </w:tc>
        <w:tc>
          <w:tcPr>
            <w:tcW w:type="dxa" w:w="2400"/>
            <w:tcMar>
              <w:top w:w="52" w:type="dxa"/>
              <w:start w:w="55" w:type="dxa"/>
              <w:bottom w:w="52" w:type="dxa"/>
              <w:end w:w="55" w:type="dxa"/>
            </w:tcMar>
            <w:vAlign w:val="center"/>
            <w:shd w:fill="D9E7F5"/>
          </w:tcPr>
          <w:p>
            <w:pPr>
              <w:keepNext w:val="0"/>
              <w:keepLines w:val="0"/>
              <w:spacing w:before="0" w:after="0" w:line="240" w:lineRule="auto"/>
              <w:jc w:val="center"/>
            </w:pPr>
            <w:r>
              <w:rPr>
                <w:rFonts w:ascii="Times New Roman" w:hAnsi="Times New Roman"/>
                <w:b w:val="0"/>
                <w:i w:val="0"/>
                <w:color w:val="000000"/>
                <w:sz w:val="14"/>
              </w:rPr>
              <w:t>Samsung Electronics</w:t>
            </w:r>
          </w:p>
        </w:tc>
        <w:tc>
          <w:tcPr>
            <w:tcW w:type="dxa" w:w="2400"/>
            <w:tcMar>
              <w:top w:w="52" w:type="dxa"/>
              <w:start w:w="55" w:type="dxa"/>
              <w:bottom w:w="52" w:type="dxa"/>
              <w:end w:w="55" w:type="dxa"/>
            </w:tcMar>
            <w:vAlign w:val="center"/>
            <w:shd w:fill="D9E7F5"/>
          </w:tcPr>
          <w:p>
            <w:pPr>
              <w:keepNext w:val="0"/>
              <w:keepLines w:val="0"/>
              <w:spacing w:before="0" w:after="0" w:line="240" w:lineRule="auto"/>
              <w:jc w:val="center"/>
            </w:pPr>
            <w:r>
              <w:rPr>
                <w:rFonts w:ascii="Times New Roman" w:hAnsi="Times New Roman"/>
                <w:b w:val="0"/>
                <w:i w:val="0"/>
                <w:color w:val="000000"/>
                <w:sz w:val="14"/>
              </w:rPr>
              <w:t>SK hynix</w:t>
            </w:r>
          </w:p>
        </w:tc>
      </w:tr>
      <w:tr>
        <w:tc>
          <w:tcPr>
            <w:tcW w:type="dxa" w:w="2400"/>
            <w:tcMar>
              <w:top w:w="52" w:type="dxa"/>
              <w:start w:w="55" w:type="dxa"/>
              <w:bottom w:w="52" w:type="dxa"/>
              <w:end w:w="55" w:type="dxa"/>
            </w:tcMar>
            <w:vAlign w:val="center"/>
          </w:tcPr>
          <w:p>
            <w:pPr>
              <w:keepNext w:val="0"/>
              <w:keepLines w:val="0"/>
              <w:spacing w:before="0" w:after="0" w:line="240" w:lineRule="auto"/>
              <w:jc w:val="center"/>
            </w:pPr>
            <w:r>
              <w:rPr>
                <w:rFonts w:ascii="Times New Roman" w:hAnsi="Times New Roman"/>
                <w:b/>
                <w:i w:val="0"/>
                <w:color w:val="1F4E79"/>
                <w:sz w:val="16"/>
              </w:rPr>
              <w:t>+7.10%</w:t>
            </w:r>
          </w:p>
        </w:tc>
        <w:tc>
          <w:tcPr>
            <w:tcW w:type="dxa" w:w="2400"/>
            <w:tcMar>
              <w:top w:w="52" w:type="dxa"/>
              <w:start w:w="55" w:type="dxa"/>
              <w:bottom w:w="52" w:type="dxa"/>
              <w:end w:w="55" w:type="dxa"/>
            </w:tcMar>
            <w:vAlign w:val="center"/>
          </w:tcPr>
          <w:p>
            <w:pPr>
              <w:keepNext w:val="0"/>
              <w:keepLines w:val="0"/>
              <w:spacing w:before="0" w:after="0" w:line="240" w:lineRule="auto"/>
              <w:jc w:val="center"/>
            </w:pPr>
            <w:r>
              <w:rPr>
                <w:rFonts w:ascii="Times New Roman" w:hAnsi="Times New Roman"/>
                <w:b/>
                <w:i w:val="0"/>
                <w:color w:val="1F4E79"/>
                <w:sz w:val="16"/>
              </w:rPr>
              <w:t>-2.51%</w:t>
            </w:r>
          </w:p>
        </w:tc>
        <w:tc>
          <w:tcPr>
            <w:tcW w:type="dxa" w:w="2400"/>
            <w:tcMar>
              <w:top w:w="52" w:type="dxa"/>
              <w:start w:w="55" w:type="dxa"/>
              <w:bottom w:w="52" w:type="dxa"/>
              <w:end w:w="55" w:type="dxa"/>
            </w:tcMar>
            <w:vAlign w:val="center"/>
          </w:tcPr>
          <w:p>
            <w:pPr>
              <w:keepNext w:val="0"/>
              <w:keepLines w:val="0"/>
              <w:spacing w:before="0" w:after="0" w:line="240" w:lineRule="auto"/>
              <w:jc w:val="center"/>
            </w:pPr>
            <w:r>
              <w:rPr>
                <w:rFonts w:ascii="Times New Roman" w:hAnsi="Times New Roman"/>
                <w:b/>
                <w:i w:val="0"/>
                <w:color w:val="1F4E79"/>
                <w:sz w:val="16"/>
              </w:rPr>
              <w:t>-9.06%</w:t>
            </w:r>
          </w:p>
        </w:tc>
        <w:tc>
          <w:tcPr>
            <w:tcW w:type="dxa" w:w="2400"/>
            <w:tcMar>
              <w:top w:w="52" w:type="dxa"/>
              <w:start w:w="55" w:type="dxa"/>
              <w:bottom w:w="52" w:type="dxa"/>
              <w:end w:w="55" w:type="dxa"/>
            </w:tcMar>
            <w:vAlign w:val="center"/>
          </w:tcPr>
          <w:p>
            <w:pPr>
              <w:keepNext w:val="0"/>
              <w:keepLines w:val="0"/>
              <w:spacing w:before="0" w:after="0" w:line="240" w:lineRule="auto"/>
              <w:jc w:val="center"/>
            </w:pPr>
            <w:r>
              <w:rPr>
                <w:rFonts w:ascii="Times New Roman" w:hAnsi="Times New Roman"/>
                <w:b/>
                <w:i w:val="0"/>
                <w:color w:val="1F4E79"/>
                <w:sz w:val="16"/>
              </w:rPr>
              <w:t>-21.70%</w:t>
            </w:r>
          </w:p>
        </w:tc>
      </w:tr>
    </w:tbl>
    <w:p>
      <w:pPr>
        <w:keepNext w:val="0"/>
        <w:keepLines w:val="0"/>
        <w:spacing w:before="0" w:after="64" w:line="240" w:lineRule="auto"/>
      </w:pPr>
    </w:p>
    <w:p>
      <w:pPr>
        <w:pStyle w:val="Heading2"/>
        <w:keepNext/>
        <w:keepLines w:val="0"/>
        <w:spacing w:before="0" w:after="30" w:line="240" w:lineRule="auto"/>
      </w:pPr>
      <w:r>
        <w:rPr>
          <w:rFonts w:ascii="Times New Roman" w:hAnsi="Times New Roman"/>
          <w:b/>
          <w:i w:val="0"/>
          <w:color w:val="1F4E79"/>
          <w:sz w:val="20"/>
        </w:rPr>
        <w:t>3.1 Auditable Endpoint Values</w:t>
      </w:r>
    </w:p>
    <w:tbl>
      <w:tblPr>
        <w:tblW w:type="auto" w:w="0"/>
        <w:jc w:val="center"/>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1694"/>
        <w:gridCol w:w="1694"/>
        <w:gridCol w:w="1694"/>
        <w:gridCol w:w="1694"/>
        <w:gridCol w:w="1694"/>
        <w:gridCol w:w="1694"/>
      </w:tblGrid>
      <w:tr>
        <w:trPr>
          <w:tblHeader w:val="true"/>
        </w:trPr>
        <w:tc>
          <w:tcPr>
            <w:tcW w:type="dxa" w:w="185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Company</w:t>
            </w:r>
          </w:p>
        </w:tc>
        <w:tc>
          <w:tcPr>
            <w:tcW w:type="dxa" w:w="170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July 27 Close</w:t>
            </w:r>
          </w:p>
        </w:tc>
        <w:tc>
          <w:tcPr>
            <w:tcW w:type="dxa" w:w="115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Currency</w:t>
            </w:r>
          </w:p>
        </w:tc>
        <w:tc>
          <w:tcPr>
            <w:tcW w:type="dxa" w:w="130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Final Date</w:t>
            </w:r>
          </w:p>
        </w:tc>
        <w:tc>
          <w:tcPr>
            <w:tcW w:type="dxa" w:w="170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Final Close</w:t>
            </w:r>
          </w:p>
        </w:tc>
        <w:tc>
          <w:tcPr>
            <w:tcW w:type="dxa" w:w="190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Endpoint NCR</w:t>
            </w:r>
          </w:p>
        </w:tc>
      </w:tr>
      <w:tr>
        <w:tc>
          <w:tcPr>
            <w:tcW w:type="dxa" w:w="1850"/>
            <w:tcMar>
              <w:top w:w="48" w:type="dxa"/>
              <w:start w:w="55" w:type="dxa"/>
              <w:bottom w:w="48"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CXMT</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49.00</w:t>
            </w:r>
          </w:p>
        </w:tc>
        <w:tc>
          <w:tcPr>
            <w:tcW w:type="dxa" w:w="115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RMB</w:t>
            </w:r>
          </w:p>
        </w:tc>
        <w:tc>
          <w:tcPr>
            <w:tcW w:type="dxa" w:w="13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Aug. 7</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52.48</w:t>
            </w:r>
          </w:p>
        </w:tc>
        <w:tc>
          <w:tcPr>
            <w:tcW w:type="dxa" w:w="19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+7.10%</w:t>
            </w:r>
          </w:p>
        </w:tc>
      </w:tr>
      <w:tr>
        <w:tc>
          <w:tcPr>
            <w:tcW w:type="dxa" w:w="1850"/>
            <w:tcMar>
              <w:top w:w="48" w:type="dxa"/>
              <w:start w:w="55" w:type="dxa"/>
              <w:bottom w:w="48"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Micron</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900.20</w:t>
            </w:r>
          </w:p>
        </w:tc>
        <w:tc>
          <w:tcPr>
            <w:tcW w:type="dxa" w:w="115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USD</w:t>
            </w:r>
          </w:p>
        </w:tc>
        <w:tc>
          <w:tcPr>
            <w:tcW w:type="dxa" w:w="13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Aug. 7</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877.57</w:t>
            </w:r>
          </w:p>
        </w:tc>
        <w:tc>
          <w:tcPr>
            <w:tcW w:type="dxa" w:w="19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-2.51%</w:t>
            </w:r>
          </w:p>
        </w:tc>
      </w:tr>
      <w:tr>
        <w:tc>
          <w:tcPr>
            <w:tcW w:type="dxa" w:w="1850"/>
            <w:tcMar>
              <w:top w:w="48" w:type="dxa"/>
              <w:start w:w="55" w:type="dxa"/>
              <w:bottom w:w="48"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Samsung Electronics</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254,000</w:t>
            </w:r>
          </w:p>
        </w:tc>
        <w:tc>
          <w:tcPr>
            <w:tcW w:type="dxa" w:w="115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KRW</w:t>
            </w:r>
          </w:p>
        </w:tc>
        <w:tc>
          <w:tcPr>
            <w:tcW w:type="dxa" w:w="13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Aug. 7</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231,000</w:t>
            </w:r>
          </w:p>
        </w:tc>
        <w:tc>
          <w:tcPr>
            <w:tcW w:type="dxa" w:w="19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-9.06%</w:t>
            </w:r>
          </w:p>
        </w:tc>
      </w:tr>
      <w:tr>
        <w:tc>
          <w:tcPr>
            <w:tcW w:type="dxa" w:w="1850"/>
            <w:tcMar>
              <w:top w:w="48" w:type="dxa"/>
              <w:start w:w="55" w:type="dxa"/>
              <w:bottom w:w="48"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SK hynix</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1,816,000</w:t>
            </w:r>
          </w:p>
        </w:tc>
        <w:tc>
          <w:tcPr>
            <w:tcW w:type="dxa" w:w="115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KRW</w:t>
            </w:r>
          </w:p>
        </w:tc>
        <w:tc>
          <w:tcPr>
            <w:tcW w:type="dxa" w:w="13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Aug. 7</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1,422,000</w:t>
            </w:r>
          </w:p>
        </w:tc>
        <w:tc>
          <w:tcPr>
            <w:tcW w:type="dxa" w:w="19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-21.70%</w:t>
            </w:r>
          </w:p>
        </w:tc>
      </w:tr>
    </w:tbl>
    <w:p>
      <w:pPr>
        <w:keepNext w:val="0"/>
        <w:keepLines w:val="0"/>
        <w:spacing w:before="0" w:after="50" w:line="240" w:lineRule="auto"/>
      </w:pPr>
    </w:p>
    <w:p>
      <w:pPr>
        <w:pStyle w:val="Heading2"/>
        <w:keepNext/>
        <w:keepLines w:val="0"/>
        <w:spacing w:before="0" w:after="34" w:line="240" w:lineRule="auto"/>
      </w:pPr>
      <w:r>
        <w:rPr>
          <w:rFonts w:ascii="Times New Roman" w:hAnsi="Times New Roman"/>
          <w:b/>
          <w:i w:val="0"/>
          <w:color w:val="1F4E79"/>
          <w:sz w:val="20"/>
        </w:rPr>
        <w:t>3.2 Short-Term Divergence After the IPO Date</w:t>
      </w:r>
    </w:p>
    <w:p>
      <w:pPr>
        <w:pStyle w:val="ListBullet"/>
        <w:keepNext w:val="0"/>
        <w:keepLines/>
        <w:spacing w:before="0" w:after="76" w:line="259" w:lineRule="auto"/>
        <w:ind w:left="317" w:hanging="230"/>
      </w:pPr>
      <w:r>
        <w:rPr>
          <w:rFonts w:ascii="Times New Roman" w:hAnsi="Times New Roman"/>
          <w:b/>
          <w:i w:val="0"/>
          <w:color w:val="000000"/>
          <w:sz w:val="19"/>
        </w:rPr>
        <w:t xml:space="preserve">CXMT: </w:t>
      </w:r>
      <w:r>
        <w:rPr>
          <w:rFonts w:ascii="Times New Roman" w:hAnsi="Times New Roman"/>
          <w:b w:val="0"/>
          <w:i w:val="0"/>
          <w:color w:val="000000"/>
          <w:sz w:val="19"/>
        </w:rPr>
        <w:t>After closing 4.08% below the listing-day baseline on July 28, CXMT moved above zero on July 29 and remained positive through the end of the window. Its August 7 NCR was +7.10%, the strongest endpoint result in the four-name comparison.</w:t>
      </w:r>
    </w:p>
    <w:p>
      <w:pPr>
        <w:pStyle w:val="ListBullet"/>
        <w:keepNext w:val="0"/>
        <w:keepLines/>
        <w:spacing w:before="0" w:after="76" w:line="259" w:lineRule="auto"/>
        <w:ind w:left="317" w:hanging="230"/>
      </w:pPr>
      <w:r>
        <w:rPr>
          <w:rFonts w:ascii="Times New Roman" w:hAnsi="Times New Roman"/>
          <w:b/>
          <w:i w:val="0"/>
          <w:color w:val="000000"/>
          <w:sz w:val="19"/>
        </w:rPr>
        <w:t xml:space="preserve">Micron: </w:t>
      </w:r>
      <w:r>
        <w:rPr>
          <w:rFonts w:ascii="Times New Roman" w:hAnsi="Times New Roman"/>
          <w:b w:val="0"/>
          <w:i w:val="0"/>
          <w:color w:val="000000"/>
          <w:sz w:val="19"/>
        </w:rPr>
        <w:t>Micron stayed below the common baseline throughout the displayed post-event observations. Its path included a rebound on July 30 and further recovery in early August, but it ended the window at -2.51%.</w:t>
      </w:r>
    </w:p>
    <w:p>
      <w:pPr>
        <w:pStyle w:val="ListBullet"/>
        <w:keepNext w:val="0"/>
        <w:keepLines/>
        <w:spacing w:before="0" w:after="76" w:line="259" w:lineRule="auto"/>
        <w:ind w:left="317" w:hanging="230"/>
      </w:pPr>
      <w:r>
        <w:rPr>
          <w:rFonts w:ascii="Times New Roman" w:hAnsi="Times New Roman"/>
          <w:b/>
          <w:i w:val="0"/>
          <w:color w:val="000000"/>
          <w:sz w:val="19"/>
        </w:rPr>
        <w:t xml:space="preserve">Samsung Electronics: </w:t>
      </w:r>
      <w:r>
        <w:rPr>
          <w:rFonts w:ascii="Times New Roman" w:hAnsi="Times New Roman"/>
          <w:b w:val="0"/>
          <w:i w:val="0"/>
          <w:color w:val="000000"/>
          <w:sz w:val="19"/>
        </w:rPr>
        <w:t>Samsung fell substantially during July 28-30 and briefly moved above the common baseline on July 31. It subsequently returned to negative territory and ended August 7 at -9.06%.</w:t>
      </w:r>
    </w:p>
    <w:p>
      <w:pPr>
        <w:pStyle w:val="ListBullet"/>
        <w:keepNext w:val="0"/>
        <w:keepLines/>
        <w:spacing w:before="0" w:after="76" w:line="259" w:lineRule="auto"/>
        <w:ind w:left="317" w:hanging="230"/>
      </w:pPr>
      <w:r>
        <w:rPr>
          <w:rFonts w:ascii="Times New Roman" w:hAnsi="Times New Roman"/>
          <w:b/>
          <w:i w:val="0"/>
          <w:color w:val="000000"/>
          <w:sz w:val="19"/>
        </w:rPr>
        <w:t xml:space="preserve">SK hynix: </w:t>
      </w:r>
      <w:r>
        <w:rPr>
          <w:rFonts w:ascii="Times New Roman" w:hAnsi="Times New Roman"/>
          <w:b w:val="0"/>
          <w:i w:val="0"/>
          <w:color w:val="000000"/>
          <w:sz w:val="19"/>
        </w:rPr>
        <w:t>SK hynix recorded the deepest negative movement in the group. Although it rebounded sharply on July 31 and again on August 5, it ended the window at -21.70%, the weakest endpoint among the covered peers.</w:t>
      </w:r>
    </w:p>
    <w:p>
      <w:pPr>
        <w:keepNext w:val="0"/>
        <w:keepLines w:val="0"/>
        <w:spacing w:before="56" w:after="64" w:line="254" w:lineRule="auto"/>
        <w:jc w:val="left"/>
      </w:pPr>
      <w:r>
        <w:rPr>
          <w:rFonts w:ascii="Times New Roman" w:hAnsi="Times New Roman"/>
          <w:b w:val="0"/>
          <w:i w:val="0"/>
          <w:color w:val="000000"/>
          <w:sz w:val="19"/>
        </w:rPr>
        <w:t>The final ranking is CXMT, Micron, Samsung Electronics, and SK hynix. This divergence is consistent with different company-specific and market conditions during the same short window; it is not causal evidence that the CXMT IPO produced the peer-stock declines.</w:t>
      </w:r>
    </w:p>
    <w:p>
      <w:r>
        <w:br w:type="page"/>
      </w:r>
    </w:p>
    <w:p>
      <w:pPr>
        <w:pStyle w:val="Heading1"/>
        <w:keepNext/>
        <w:keepLines w:val="0"/>
        <w:spacing w:before="0" w:after="48" w:line="240" w:lineRule="auto"/>
        <w:pBdr>
          <w:bottom w:val="single" w:sz="4" w:space="2" w:color="9CC2E5"/>
        </w:pBdr>
      </w:pPr>
      <w:r>
        <w:rPr>
          <w:rFonts w:ascii="Times New Roman" w:hAnsi="Times New Roman"/>
          <w:b/>
          <w:i w:val="0"/>
          <w:color w:val="1F4E79"/>
          <w:sz w:val="24"/>
        </w:rPr>
        <w:t>4. CXMT Post-IPO Price Development</w:t>
      </w:r>
    </w:p>
    <w:p>
      <w:pPr>
        <w:keepNext w:val="0"/>
        <w:keepLines w:val="0"/>
        <w:spacing w:before="0" w:after="100" w:line="254" w:lineRule="auto"/>
        <w:jc w:val="left"/>
      </w:pPr>
      <w:r>
        <w:rPr>
          <w:rFonts w:ascii="Times New Roman" w:hAnsi="Times New Roman"/>
          <w:b w:val="0"/>
          <w:i w:val="0"/>
          <w:color w:val="000000"/>
          <w:sz w:val="19"/>
        </w:rPr>
        <w:t>Figure 3 reports CXMT daily closing prices directly in RMB. The listing-day close of RMB 49.00 on July 27 serves as the company-specific event anchor. The analysis uses closing prices only; therefore July 28 is described as a RMB 47.00 close rather than an intraday low or technical support level.</w:t>
      </w:r>
    </w:p>
    <w:p>
      <w:pPr>
        <w:keepNext/>
        <w:keepLines w:val="0"/>
        <w:spacing w:before="0" w:after="60" w:line="240" w:lineRule="auto"/>
        <w:jc w:val="center"/>
      </w:pPr>
      <w:r>
        <w:drawing>
          <wp:inline xmlns:a="http://schemas.openxmlformats.org/drawingml/2006/main" xmlns:pic="http://schemas.openxmlformats.org/drawingml/2006/picture">
            <wp:extent cx="6400800" cy="2489200"/>
            <wp:docPr id="3" name="Picture 3" descr="Figure 3. CXMT Post-IPO Closing Price and 7-Trading-Day Moving Average" title="Figure 3. CXMT Post-IPO Closing Price and 7-Trading-Day Moving Average"/>
            <wp:cNvGraphicFramePr>
              <a:graphicFrameLocks noChangeAspect="1"/>
            </wp:cNvGraphicFramePr>
            <a:graphic>
              <a:graphicData uri="http://schemas.openxmlformats.org/drawingml/2006/picture">
                <pic:pic>
                  <pic:nvPicPr>
                    <pic:cNvPr id="0" name="cxmt_price_trend.png"/>
                    <pic:cNvPicPr/>
                  </pic:nvPicPr>
                  <pic:blipFill>
                    <a:blip r:embed="rId13"/>
                    <a:stretch>
                      <a:fillRect/>
                    </a:stretch>
                  </pic:blipFill>
                  <pic:spPr>
                    <a:xfrm>
                      <a:off x="0" y="0"/>
                      <a:ext cx="6400800" cy="2489200"/>
                    </a:xfrm>
                    <a:prstGeom prst="rect"/>
                  </pic:spPr>
                </pic:pic>
              </a:graphicData>
            </a:graphic>
          </wp:inline>
        </w:drawing>
      </w:r>
    </w:p>
    <w:p>
      <w:pPr>
        <w:keepNext/>
        <w:keepLines w:val="0"/>
        <w:spacing w:before="0" w:after="40" w:line="240" w:lineRule="auto"/>
      </w:pPr>
      <w:r>
        <w:rPr>
          <w:rFonts w:ascii="Times New Roman" w:hAnsi="Times New Roman"/>
          <w:b/>
          <w:i w:val="0"/>
          <w:color w:val="000000"/>
          <w:sz w:val="17"/>
        </w:rPr>
        <w:t>Figure 3. CXMT Post-IPO Closing Price and 7-Trading-Day Moving Average</w:t>
      </w:r>
    </w:p>
    <w:p>
      <w:pPr>
        <w:keepNext w:val="0"/>
        <w:keepLines/>
        <w:spacing w:before="0" w:after="100" w:line="240" w:lineRule="auto"/>
      </w:pPr>
      <w:r>
        <w:rPr>
          <w:rFonts w:ascii="Times New Roman" w:hAnsi="Times New Roman"/>
          <w:b w:val="0"/>
          <w:i/>
          <w:color w:val="666666"/>
          <w:sz w:val="14"/>
        </w:rPr>
        <w:t>Source: Tencent Finance interface (CXMT); author calculations in Python. Latest displayed close: RMB 52.48 on August 7, 2026; latest MA7: RMB 53.65.</w:t>
      </w:r>
    </w:p>
    <w:tbl>
      <w:tblPr>
        <w:tblW w:type="auto" w:w="0"/>
        <w:jc w:val="center"/>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2541"/>
        <w:gridCol w:w="2541"/>
        <w:gridCol w:w="2541"/>
        <w:gridCol w:w="2541"/>
      </w:tblGrid>
      <w:tr>
        <w:trPr>
          <w:tblHeader w:val="true"/>
        </w:trPr>
        <w:tc>
          <w:tcPr>
            <w:tcW w:type="dxa" w:w="2400"/>
            <w:tcMar>
              <w:top w:w="52" w:type="dxa"/>
              <w:start w:w="55" w:type="dxa"/>
              <w:bottom w:w="52" w:type="dxa"/>
              <w:end w:w="55" w:type="dxa"/>
            </w:tcMar>
            <w:vAlign w:val="center"/>
            <w:shd w:fill="D9E7F5"/>
          </w:tcPr>
          <w:p>
            <w:pPr>
              <w:keepNext w:val="0"/>
              <w:keepLines w:val="0"/>
              <w:spacing w:before="0" w:after="0" w:line="240" w:lineRule="auto"/>
              <w:jc w:val="center"/>
            </w:pPr>
            <w:r>
              <w:rPr>
                <w:rFonts w:ascii="Times New Roman" w:hAnsi="Times New Roman"/>
                <w:b w:val="0"/>
                <w:i w:val="0"/>
                <w:color w:val="000000"/>
                <w:sz w:val="14"/>
              </w:rPr>
              <w:t>Listing-Day Close</w:t>
            </w:r>
          </w:p>
        </w:tc>
        <w:tc>
          <w:tcPr>
            <w:tcW w:type="dxa" w:w="2400"/>
            <w:tcMar>
              <w:top w:w="52" w:type="dxa"/>
              <w:start w:w="55" w:type="dxa"/>
              <w:bottom w:w="52" w:type="dxa"/>
              <w:end w:w="55" w:type="dxa"/>
            </w:tcMar>
            <w:vAlign w:val="center"/>
            <w:shd w:fill="D9E7F5"/>
          </w:tcPr>
          <w:p>
            <w:pPr>
              <w:keepNext w:val="0"/>
              <w:keepLines w:val="0"/>
              <w:spacing w:before="0" w:after="0" w:line="240" w:lineRule="auto"/>
              <w:jc w:val="center"/>
            </w:pPr>
            <w:r>
              <w:rPr>
                <w:rFonts w:ascii="Times New Roman" w:hAnsi="Times New Roman"/>
                <w:b w:val="0"/>
                <w:i w:val="0"/>
                <w:color w:val="000000"/>
                <w:sz w:val="14"/>
              </w:rPr>
              <w:t>August 7 Close</w:t>
            </w:r>
          </w:p>
        </w:tc>
        <w:tc>
          <w:tcPr>
            <w:tcW w:type="dxa" w:w="2400"/>
            <w:tcMar>
              <w:top w:w="52" w:type="dxa"/>
              <w:start w:w="55" w:type="dxa"/>
              <w:bottom w:w="52" w:type="dxa"/>
              <w:end w:w="55" w:type="dxa"/>
            </w:tcMar>
            <w:vAlign w:val="center"/>
            <w:shd w:fill="D9E7F5"/>
          </w:tcPr>
          <w:p>
            <w:pPr>
              <w:keepNext w:val="0"/>
              <w:keepLines w:val="0"/>
              <w:spacing w:before="0" w:after="0" w:line="240" w:lineRule="auto"/>
              <w:jc w:val="center"/>
            </w:pPr>
            <w:r>
              <w:rPr>
                <w:rFonts w:ascii="Times New Roman" w:hAnsi="Times New Roman"/>
                <w:b w:val="0"/>
                <w:i w:val="0"/>
                <w:color w:val="000000"/>
                <w:sz w:val="14"/>
              </w:rPr>
              <w:t>Latest Complete MA7</w:t>
            </w:r>
          </w:p>
        </w:tc>
        <w:tc>
          <w:tcPr>
            <w:tcW w:type="dxa" w:w="2400"/>
            <w:tcMar>
              <w:top w:w="52" w:type="dxa"/>
              <w:start w:w="55" w:type="dxa"/>
              <w:bottom w:w="52" w:type="dxa"/>
              <w:end w:w="55" w:type="dxa"/>
            </w:tcMar>
            <w:vAlign w:val="center"/>
            <w:shd w:fill="D9E7F5"/>
          </w:tcPr>
          <w:p>
            <w:pPr>
              <w:keepNext w:val="0"/>
              <w:keepLines w:val="0"/>
              <w:spacing w:before="0" w:after="0" w:line="240" w:lineRule="auto"/>
              <w:jc w:val="center"/>
            </w:pPr>
            <w:r>
              <w:rPr>
                <w:rFonts w:ascii="Times New Roman" w:hAnsi="Times New Roman"/>
                <w:b w:val="0"/>
                <w:i w:val="0"/>
                <w:color w:val="000000"/>
                <w:sz w:val="14"/>
              </w:rPr>
              <w:t>Close vs. MA7</w:t>
            </w:r>
          </w:p>
        </w:tc>
      </w:tr>
      <w:tr>
        <w:tc>
          <w:tcPr>
            <w:tcW w:type="dxa" w:w="2400"/>
            <w:tcMar>
              <w:top w:w="52" w:type="dxa"/>
              <w:start w:w="55" w:type="dxa"/>
              <w:bottom w:w="52" w:type="dxa"/>
              <w:end w:w="55" w:type="dxa"/>
            </w:tcMar>
            <w:vAlign w:val="center"/>
          </w:tcPr>
          <w:p>
            <w:pPr>
              <w:keepNext w:val="0"/>
              <w:keepLines w:val="0"/>
              <w:spacing w:before="0" w:after="0" w:line="240" w:lineRule="auto"/>
              <w:jc w:val="center"/>
            </w:pPr>
            <w:r>
              <w:rPr>
                <w:rFonts w:ascii="Times New Roman" w:hAnsi="Times New Roman"/>
                <w:b/>
                <w:i w:val="0"/>
                <w:color w:val="1F4E79"/>
                <w:sz w:val="16"/>
              </w:rPr>
              <w:t>RMB 49.00</w:t>
            </w:r>
          </w:p>
        </w:tc>
        <w:tc>
          <w:tcPr>
            <w:tcW w:type="dxa" w:w="2400"/>
            <w:tcMar>
              <w:top w:w="52" w:type="dxa"/>
              <w:start w:w="55" w:type="dxa"/>
              <w:bottom w:w="52" w:type="dxa"/>
              <w:end w:w="55" w:type="dxa"/>
            </w:tcMar>
            <w:vAlign w:val="center"/>
          </w:tcPr>
          <w:p>
            <w:pPr>
              <w:keepNext w:val="0"/>
              <w:keepLines w:val="0"/>
              <w:spacing w:before="0" w:after="0" w:line="240" w:lineRule="auto"/>
              <w:jc w:val="center"/>
            </w:pPr>
            <w:r>
              <w:rPr>
                <w:rFonts w:ascii="Times New Roman" w:hAnsi="Times New Roman"/>
                <w:b/>
                <w:i w:val="0"/>
                <w:color w:val="1F4E79"/>
                <w:sz w:val="16"/>
              </w:rPr>
              <w:t>RMB 52.48</w:t>
            </w:r>
          </w:p>
        </w:tc>
        <w:tc>
          <w:tcPr>
            <w:tcW w:type="dxa" w:w="2400"/>
            <w:tcMar>
              <w:top w:w="52" w:type="dxa"/>
              <w:start w:w="55" w:type="dxa"/>
              <w:bottom w:w="52" w:type="dxa"/>
              <w:end w:w="55" w:type="dxa"/>
            </w:tcMar>
            <w:vAlign w:val="center"/>
          </w:tcPr>
          <w:p>
            <w:pPr>
              <w:keepNext w:val="0"/>
              <w:keepLines w:val="0"/>
              <w:spacing w:before="0" w:after="0" w:line="240" w:lineRule="auto"/>
              <w:jc w:val="center"/>
            </w:pPr>
            <w:r>
              <w:rPr>
                <w:rFonts w:ascii="Times New Roman" w:hAnsi="Times New Roman"/>
                <w:b/>
                <w:i w:val="0"/>
                <w:color w:val="1F4E79"/>
                <w:sz w:val="16"/>
              </w:rPr>
              <w:t>RMB 53.65</w:t>
            </w:r>
          </w:p>
        </w:tc>
        <w:tc>
          <w:tcPr>
            <w:tcW w:type="dxa" w:w="2400"/>
            <w:tcMar>
              <w:top w:w="52" w:type="dxa"/>
              <w:start w:w="55" w:type="dxa"/>
              <w:bottom w:w="52" w:type="dxa"/>
              <w:end w:w="55" w:type="dxa"/>
            </w:tcMar>
            <w:vAlign w:val="center"/>
          </w:tcPr>
          <w:p>
            <w:pPr>
              <w:keepNext w:val="0"/>
              <w:keepLines w:val="0"/>
              <w:spacing w:before="0" w:after="0" w:line="240" w:lineRule="auto"/>
              <w:jc w:val="center"/>
            </w:pPr>
            <w:r>
              <w:rPr>
                <w:rFonts w:ascii="Times New Roman" w:hAnsi="Times New Roman"/>
                <w:b/>
                <w:i w:val="0"/>
                <w:color w:val="1F4E79"/>
                <w:sz w:val="16"/>
              </w:rPr>
              <w:t>-2.19%</w:t>
            </w:r>
          </w:p>
        </w:tc>
      </w:tr>
    </w:tbl>
    <w:p>
      <w:pPr>
        <w:keepNext w:val="0"/>
        <w:keepLines w:val="0"/>
        <w:spacing w:before="0" w:after="64" w:line="240" w:lineRule="auto"/>
      </w:pPr>
    </w:p>
    <w:p>
      <w:pPr>
        <w:pStyle w:val="Heading2"/>
        <w:keepNext/>
        <w:keepLines w:val="0"/>
        <w:spacing w:before="0" w:after="34" w:line="240" w:lineRule="auto"/>
      </w:pPr>
      <w:r>
        <w:rPr>
          <w:rFonts w:ascii="Times New Roman" w:hAnsi="Times New Roman"/>
          <w:b/>
          <w:i w:val="0"/>
          <w:color w:val="1F4E79"/>
          <w:sz w:val="20"/>
        </w:rPr>
        <w:t>4.1 Observed Price Development</w:t>
      </w:r>
    </w:p>
    <w:p>
      <w:pPr>
        <w:pStyle w:val="ListBullet"/>
        <w:keepNext w:val="0"/>
        <w:keepLines/>
        <w:spacing w:before="0" w:after="76" w:line="259" w:lineRule="auto"/>
        <w:ind w:left="317" w:hanging="230"/>
      </w:pPr>
      <w:r>
        <w:rPr>
          <w:rFonts w:ascii="Times New Roman" w:hAnsi="Times New Roman"/>
          <w:b/>
          <w:i w:val="0"/>
          <w:color w:val="000000"/>
          <w:sz w:val="19"/>
        </w:rPr>
        <w:t xml:space="preserve">Initial adjustment: </w:t>
      </w:r>
      <w:r>
        <w:rPr>
          <w:rFonts w:ascii="Times New Roman" w:hAnsi="Times New Roman"/>
          <w:b w:val="0"/>
          <w:i w:val="0"/>
          <w:color w:val="000000"/>
          <w:sz w:val="19"/>
        </w:rPr>
        <w:t>CXMT closed at RMB 47.00 on July 28, down 4.08% from the RMB 49.00 listing-day close.</w:t>
      </w:r>
    </w:p>
    <w:p>
      <w:pPr>
        <w:pStyle w:val="ListBullet"/>
        <w:keepNext w:val="0"/>
        <w:keepLines/>
        <w:spacing w:before="0" w:after="76" w:line="259" w:lineRule="auto"/>
        <w:ind w:left="317" w:hanging="230"/>
      </w:pPr>
      <w:r>
        <w:rPr>
          <w:rFonts w:ascii="Times New Roman" w:hAnsi="Times New Roman"/>
          <w:b/>
          <w:i w:val="0"/>
          <w:color w:val="000000"/>
          <w:sz w:val="19"/>
        </w:rPr>
        <w:t xml:space="preserve">Recovery and later pullback: </w:t>
      </w:r>
      <w:r>
        <w:rPr>
          <w:rFonts w:ascii="Times New Roman" w:hAnsi="Times New Roman"/>
          <w:b w:val="0"/>
          <w:i w:val="0"/>
          <w:color w:val="000000"/>
          <w:sz w:val="19"/>
        </w:rPr>
        <w:t>The stock recovered to RMB 52.95 on July 29 and stayed above the listing-day close through August 7. It reached RMB 55.00 on August 4 before falling to RMB 51.96 on August 6 and recovering modestly on the final day.</w:t>
      </w:r>
    </w:p>
    <w:p>
      <w:pPr>
        <w:pStyle w:val="ListBullet"/>
        <w:keepNext w:val="0"/>
        <w:keepLines/>
        <w:spacing w:before="0" w:after="76" w:line="259" w:lineRule="auto"/>
        <w:ind w:left="317" w:hanging="230"/>
      </w:pPr>
      <w:r>
        <w:rPr>
          <w:rFonts w:ascii="Times New Roman" w:hAnsi="Times New Roman"/>
          <w:b/>
          <w:i w:val="0"/>
          <w:color w:val="000000"/>
          <w:sz w:val="19"/>
        </w:rPr>
        <w:t xml:space="preserve">Final observation: </w:t>
      </w:r>
      <w:r>
        <w:rPr>
          <w:rFonts w:ascii="Times New Roman" w:hAnsi="Times New Roman"/>
          <w:b w:val="0"/>
          <w:i w:val="0"/>
          <w:color w:val="000000"/>
          <w:sz w:val="19"/>
        </w:rPr>
        <w:t>CXMT closed at RMB 52.48 on August 7, 7.10% above the listing-day close but 4.58% below the August 4 close.</w:t>
      </w:r>
    </w:p>
    <w:p>
      <w:pPr>
        <w:pStyle w:val="ListBullet"/>
        <w:keepNext w:val="0"/>
        <w:keepLines/>
        <w:spacing w:before="0" w:after="76" w:line="259" w:lineRule="auto"/>
        <w:ind w:left="317" w:hanging="230"/>
      </w:pPr>
      <w:r>
        <w:rPr>
          <w:rFonts w:ascii="Times New Roman" w:hAnsi="Times New Roman"/>
          <w:b/>
          <w:i w:val="0"/>
          <w:color w:val="000000"/>
          <w:sz w:val="19"/>
        </w:rPr>
        <w:t xml:space="preserve">MA7 treatment: </w:t>
      </w:r>
      <w:r>
        <w:rPr>
          <w:rFonts w:ascii="Times New Roman" w:hAnsi="Times New Roman"/>
          <w:b w:val="0"/>
          <w:i w:val="0"/>
          <w:color w:val="000000"/>
          <w:sz w:val="19"/>
        </w:rPr>
        <w:t>The complete seven-observation rule produced four MA7 values: RMB 52.25 on August 4, RMB 53.01 on August 5, RMB 53.72 on August 6, and RMB 53.65 on August 7. The final close was 2.19% below the latest MA7. Given the very short series, these values are used only for descriptive smoothing and do not establish a trend or trading signal.</w:t>
      </w:r>
    </w:p>
    <w:p>
      <w:pPr>
        <w:keepNext w:val="0"/>
        <w:keepLines w:val="0"/>
        <w:spacing w:before="56" w:after="72" w:line="254" w:lineRule="auto"/>
        <w:jc w:val="left"/>
      </w:pPr>
      <w:r>
        <w:rPr>
          <w:rFonts w:ascii="Times New Roman" w:hAnsi="Times New Roman"/>
          <w:b w:val="0"/>
          <w:i w:val="0"/>
          <w:color w:val="000000"/>
          <w:sz w:val="19"/>
        </w:rPr>
        <w:t>No 'golden cross,' institutional buying, technical-floor confirmation, or price-target conclusion is drawn from Figure 3.</w:t>
      </w:r>
    </w:p>
    <w:p>
      <w:pPr>
        <w:pStyle w:val="Heading2"/>
        <w:keepNext/>
        <w:keepLines w:val="0"/>
        <w:spacing w:before="0" w:after="30" w:line="240" w:lineRule="auto"/>
      </w:pPr>
      <w:r>
        <w:rPr>
          <w:rFonts w:ascii="Times New Roman" w:hAnsi="Times New Roman"/>
          <w:b/>
          <w:i w:val="0"/>
          <w:color w:val="1F4E79"/>
          <w:sz w:val="20"/>
        </w:rPr>
        <w:t>4.2 Daily Closing Prices and Complete MA7 Values</w:t>
      </w:r>
    </w:p>
    <w:tbl>
      <w:tblPr>
        <w:tblW w:type="auto" w:w="0"/>
        <w:jc w:val="center"/>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1694"/>
        <w:gridCol w:w="1694"/>
        <w:gridCol w:w="1694"/>
        <w:gridCol w:w="1694"/>
        <w:gridCol w:w="1694"/>
        <w:gridCol w:w="1694"/>
      </w:tblGrid>
      <w:tr>
        <w:trPr>
          <w:tblHeader w:val="true"/>
        </w:trPr>
        <w:tc>
          <w:tcPr>
            <w:tcW w:type="dxa" w:w="140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Date</w:t>
            </w:r>
          </w:p>
        </w:tc>
        <w:tc>
          <w:tcPr>
            <w:tcW w:type="dxa" w:w="170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Close (RMB)</w:t>
            </w:r>
          </w:p>
        </w:tc>
        <w:tc>
          <w:tcPr>
            <w:tcW w:type="dxa" w:w="170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MA7 (RMB)</w:t>
            </w:r>
          </w:p>
        </w:tc>
        <w:tc>
          <w:tcPr>
            <w:tcW w:type="dxa" w:w="140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Date</w:t>
            </w:r>
          </w:p>
        </w:tc>
        <w:tc>
          <w:tcPr>
            <w:tcW w:type="dxa" w:w="170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Close (RMB)</w:t>
            </w:r>
          </w:p>
        </w:tc>
        <w:tc>
          <w:tcPr>
            <w:tcW w:type="dxa" w:w="1700"/>
            <w:tcMar>
              <w:top w:w="55" w:type="dxa"/>
              <w:start w:w="55" w:type="dxa"/>
              <w:bottom w:w="55" w:type="dxa"/>
              <w:end w:w="55" w:type="dxa"/>
            </w:tcMar>
            <w:shd w:fill="D9E7F5"/>
            <w:vAlign w:val="center"/>
          </w:tcPr>
          <w:p>
            <w:pPr>
              <w:keepNext w:val="0"/>
              <w:keepLines w:val="0"/>
              <w:spacing w:before="0" w:after="0" w:line="240" w:lineRule="auto"/>
              <w:jc w:val="center"/>
            </w:pPr>
            <w:r>
              <w:rPr>
                <w:rFonts w:ascii="Times New Roman" w:hAnsi="Times New Roman"/>
                <w:b/>
                <w:i w:val="0"/>
                <w:color w:val="000000"/>
                <w:sz w:val="15"/>
              </w:rPr>
              <w:t>MA7 (RMB)</w:t>
            </w:r>
          </w:p>
        </w:tc>
      </w:tr>
      <w:tr>
        <w:tc>
          <w:tcPr>
            <w:tcW w:type="dxa" w:w="1400"/>
            <w:tcMar>
              <w:top w:w="48" w:type="dxa"/>
              <w:start w:w="55" w:type="dxa"/>
              <w:bottom w:w="48"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Jul. 27</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49.00</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w:t>
            </w:r>
          </w:p>
        </w:tc>
        <w:tc>
          <w:tcPr>
            <w:tcW w:type="dxa" w:w="14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Aug. 3</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54.99</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w:t>
            </w:r>
          </w:p>
        </w:tc>
      </w:tr>
      <w:tr>
        <w:tc>
          <w:tcPr>
            <w:tcW w:type="dxa" w:w="1400"/>
            <w:tcMar>
              <w:top w:w="48" w:type="dxa"/>
              <w:start w:w="55" w:type="dxa"/>
              <w:bottom w:w="48"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Jul. 28</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47.00</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w:t>
            </w:r>
          </w:p>
        </w:tc>
        <w:tc>
          <w:tcPr>
            <w:tcW w:type="dxa" w:w="14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Aug. 4</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55.00</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52.25</w:t>
            </w:r>
          </w:p>
        </w:tc>
      </w:tr>
      <w:tr>
        <w:tc>
          <w:tcPr>
            <w:tcW w:type="dxa" w:w="1400"/>
            <w:tcMar>
              <w:top w:w="48" w:type="dxa"/>
              <w:start w:w="55" w:type="dxa"/>
              <w:bottom w:w="48"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Jul. 29</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52.95</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w:t>
            </w:r>
          </w:p>
        </w:tc>
        <w:tc>
          <w:tcPr>
            <w:tcW w:type="dxa" w:w="14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Aug. 5</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54.30</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53.01</w:t>
            </w:r>
          </w:p>
        </w:tc>
      </w:tr>
      <w:tr>
        <w:tc>
          <w:tcPr>
            <w:tcW w:type="dxa" w:w="1400"/>
            <w:tcMar>
              <w:top w:w="48" w:type="dxa"/>
              <w:start w:w="55" w:type="dxa"/>
              <w:bottom w:w="48"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Jul. 30</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52.87</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w:t>
            </w:r>
          </w:p>
        </w:tc>
        <w:tc>
          <w:tcPr>
            <w:tcW w:type="dxa" w:w="14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Aug. 6</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51.96</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53.72</w:t>
            </w:r>
          </w:p>
        </w:tc>
      </w:tr>
      <w:tr>
        <w:tc>
          <w:tcPr>
            <w:tcW w:type="dxa" w:w="1400"/>
            <w:tcMar>
              <w:top w:w="48" w:type="dxa"/>
              <w:start w:w="55" w:type="dxa"/>
              <w:bottom w:w="48" w:type="dxa"/>
              <w:end w:w="55" w:type="dxa"/>
            </w:tcMar>
            <w:vAlign w:val="center"/>
          </w:tcPr>
          <w:p>
            <w:pPr>
              <w:keepNext w:val="0"/>
              <w:keepLines w:val="0"/>
              <w:spacing w:before="0" w:after="0" w:line="240" w:lineRule="auto"/>
              <w:jc w:val="left"/>
            </w:pPr>
            <w:r>
              <w:rPr>
                <w:rFonts w:ascii="Times New Roman" w:hAnsi="Times New Roman"/>
                <w:b w:val="0"/>
                <w:i w:val="0"/>
                <w:color w:val="000000"/>
                <w:sz w:val="15"/>
              </w:rPr>
              <w:t>Jul. 31</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53.97</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w:t>
            </w:r>
          </w:p>
        </w:tc>
        <w:tc>
          <w:tcPr>
            <w:tcW w:type="dxa" w:w="14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Aug. 7</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52.48</w:t>
            </w:r>
          </w:p>
        </w:tc>
        <w:tc>
          <w:tcPr>
            <w:tcW w:type="dxa" w:w="1700"/>
            <w:tcMar>
              <w:top w:w="48" w:type="dxa"/>
              <w:start w:w="55" w:type="dxa"/>
              <w:bottom w:w="48" w:type="dxa"/>
              <w:end w:w="55" w:type="dxa"/>
            </w:tcMar>
            <w:vAlign w:val="center"/>
          </w:tcPr>
          <w:p>
            <w:pPr>
              <w:keepNext w:val="0"/>
              <w:keepLines w:val="0"/>
              <w:spacing w:before="0" w:after="0" w:line="240" w:lineRule="auto"/>
              <w:jc w:val="center"/>
            </w:pPr>
            <w:r>
              <w:rPr>
                <w:rFonts w:ascii="Times New Roman" w:hAnsi="Times New Roman"/>
                <w:b w:val="0"/>
                <w:i w:val="0"/>
                <w:color w:val="000000"/>
                <w:sz w:val="15"/>
              </w:rPr>
              <w:t>53.65</w:t>
            </w:r>
          </w:p>
        </w:tc>
      </w:tr>
    </w:tbl>
    <w:p>
      <w:pPr>
        <w:keepNext w:val="0"/>
        <w:keepLines w:val="0"/>
        <w:spacing w:before="0" w:after="20" w:line="240" w:lineRule="auto"/>
      </w:pPr>
    </w:p>
    <w:p>
      <w:r>
        <w:br w:type="page"/>
      </w:r>
    </w:p>
    <w:p>
      <w:pPr>
        <w:pStyle w:val="Heading1"/>
        <w:keepNext/>
        <w:keepLines w:val="0"/>
        <w:spacing w:before="0" w:after="38" w:line="240" w:lineRule="auto"/>
        <w:pBdr>
          <w:bottom w:val="single" w:sz="4" w:space="2" w:color="9CC2E5"/>
        </w:pBdr>
      </w:pPr>
      <w:r>
        <w:rPr>
          <w:rFonts w:ascii="Times New Roman" w:hAnsi="Times New Roman"/>
          <w:b/>
          <w:i w:val="0"/>
          <w:color w:val="1F4E79"/>
          <w:sz w:val="24"/>
        </w:rPr>
        <w:t>5. Methodology and Data Pipeline</w:t>
      </w:r>
    </w:p>
    <w:p>
      <w:pPr>
        <w:pStyle w:val="Heading2"/>
        <w:keepNext/>
        <w:keepLines w:val="0"/>
        <w:spacing w:before="0" w:after="20" w:line="240" w:lineRule="auto"/>
      </w:pPr>
      <w:r>
        <w:rPr>
          <w:rFonts w:ascii="Times New Roman" w:hAnsi="Times New Roman"/>
          <w:b/>
          <w:i w:val="0"/>
          <w:color w:val="1F4E79"/>
          <w:sz w:val="20"/>
        </w:rPr>
        <w:t>5.1 Event-Aligned Research Design</w:t>
      </w:r>
    </w:p>
    <w:p>
      <w:pPr>
        <w:keepNext w:val="0"/>
        <w:keepLines w:val="0"/>
        <w:spacing w:before="0" w:after="60" w:line="254" w:lineRule="auto"/>
        <w:jc w:val="left"/>
      </w:pPr>
      <w:r>
        <w:rPr>
          <w:rFonts w:ascii="Times New Roman" w:hAnsi="Times New Roman"/>
          <w:b w:val="0"/>
          <w:i w:val="0"/>
          <w:color w:val="000000"/>
          <w:sz w:val="17"/>
        </w:rPr>
        <w:t>Event date: July 27, 2026 (CXMT listing date). Predefined research window: June 8 to August 7, 2026. Final Version 4 includes all valid observations in the frozen window through the August 7 close. Exchange-specific trading dates are preserved rather than forcing a synthetic common calendar.</w:t>
      </w:r>
    </w:p>
    <w:p>
      <w:pPr>
        <w:keepNext w:val="0"/>
        <w:keepLines w:val="0"/>
        <w:spacing w:before="0" w:after="70" w:line="254" w:lineRule="auto"/>
        <w:jc w:val="left"/>
      </w:pPr>
      <w:r>
        <w:rPr>
          <w:rFonts w:ascii="Times New Roman" w:hAnsi="Times New Roman"/>
          <w:b w:val="0"/>
          <w:i w:val="0"/>
          <w:color w:val="000000"/>
          <w:sz w:val="17"/>
        </w:rPr>
        <w:t>Relative to conventional event-study methods described by MacKinlay (1997), this framework is descriptive. It does not estimate expected returns, market-model beta, abnormal returns, or conventional cumulative abnormal returns (CAR).</w:t>
      </w:r>
    </w:p>
    <w:p>
      <w:pPr>
        <w:pStyle w:val="Heading2"/>
        <w:keepNext/>
        <w:keepLines w:val="0"/>
        <w:spacing w:before="0" w:after="20" w:line="240" w:lineRule="auto"/>
      </w:pPr>
      <w:r>
        <w:rPr>
          <w:rFonts w:ascii="Times New Roman" w:hAnsi="Times New Roman"/>
          <w:b/>
          <w:i w:val="0"/>
          <w:color w:val="1F4E79"/>
          <w:sz w:val="20"/>
        </w:rPr>
        <w:t>5.2 Normalized Cumulative Return (NCR)</w:t>
      </w:r>
    </w:p>
    <w:p>
      <w:pPr>
        <w:keepNext w:val="0"/>
        <w:keepLines w:val="0"/>
        <w:spacing w:before="0" w:after="52" w:line="254" w:lineRule="auto"/>
        <w:jc w:val="left"/>
      </w:pPr>
      <w:r>
        <w:rPr>
          <w:rFonts w:ascii="Times New Roman" w:hAnsi="Times New Roman"/>
          <w:b w:val="0"/>
          <w:i w:val="0"/>
          <w:color w:val="000000"/>
          <w:sz w:val="17"/>
        </w:rPr>
        <w:t>NCR(i,t) = [P(i,t) / P(i,0) - 1] x 100%, where P(i,t) is the closing price of security i on date t and P(i,0) is the baseline closing price defined for the relevant figure.</w:t>
      </w:r>
    </w:p>
    <w:p>
      <w:pPr>
        <w:keepNext w:val="0"/>
        <w:keepLines/>
        <w:spacing w:before="0" w:after="52" w:line="259" w:lineRule="auto"/>
      </w:pPr>
      <w:r>
        <w:rPr>
          <w:rFonts w:ascii="Times New Roman" w:hAnsi="Times New Roman"/>
          <w:b/>
          <w:i w:val="0"/>
          <w:color w:val="000000"/>
          <w:sz w:val="17"/>
        </w:rPr>
        <w:t xml:space="preserve">Baseline rule. </w:t>
      </w:r>
      <w:r>
        <w:rPr>
          <w:rFonts w:ascii="Times New Roman" w:hAnsi="Times New Roman"/>
          <w:b w:val="0"/>
          <w:i w:val="0"/>
          <w:color w:val="000000"/>
          <w:sz w:val="17"/>
        </w:rPr>
        <w:t>Figure 1 uses each security's first valid closing price on or after June 8, 2026. Figure 2 uses July 27, 2026 as one common 0% baseline for CXMT, Micron, Samsung Electronics, and SK hynix. Figure 3 reports CXMT closing prices directly and therefore does not use NCR.</w:t>
      </w:r>
    </w:p>
    <w:p>
      <w:pPr>
        <w:keepNext w:val="0"/>
        <w:keepLines/>
        <w:spacing w:before="0" w:after="70" w:line="259" w:lineRule="auto"/>
      </w:pPr>
      <w:r>
        <w:rPr>
          <w:rFonts w:ascii="Times New Roman" w:hAnsi="Times New Roman"/>
          <w:b/>
          <w:i w:val="0"/>
          <w:color w:val="000000"/>
          <w:sz w:val="17"/>
        </w:rPr>
        <w:t xml:space="preserve">Interpretation boundary. </w:t>
      </w:r>
      <w:r>
        <w:rPr>
          <w:rFonts w:ascii="Times New Roman" w:hAnsi="Times New Roman"/>
          <w:b w:val="0"/>
          <w:i w:val="0"/>
          <w:color w:val="000000"/>
          <w:sz w:val="17"/>
        </w:rPr>
        <w:t>NCR is a descriptive normalized price-performance measure. It is not conventional CAR and should not be read as an estimate of abnormal return.</w:t>
      </w:r>
    </w:p>
    <w:p>
      <w:pPr>
        <w:pStyle w:val="Heading2"/>
        <w:keepNext/>
        <w:keepLines w:val="0"/>
        <w:spacing w:before="0" w:after="20" w:line="240" w:lineRule="auto"/>
      </w:pPr>
      <w:r>
        <w:rPr>
          <w:rFonts w:ascii="Times New Roman" w:hAnsi="Times New Roman"/>
          <w:b/>
          <w:i w:val="0"/>
          <w:color w:val="1F4E79"/>
          <w:sz w:val="20"/>
        </w:rPr>
        <w:t>5.3 7-Trading-Day Moving Average (MA7)</w:t>
      </w:r>
    </w:p>
    <w:p>
      <w:pPr>
        <w:keepNext w:val="0"/>
        <w:keepLines w:val="0"/>
        <w:spacing w:before="0" w:after="70" w:line="254" w:lineRule="auto"/>
        <w:jc w:val="left"/>
      </w:pPr>
      <w:r>
        <w:rPr>
          <w:rFonts w:ascii="Times New Roman" w:hAnsi="Times New Roman"/>
          <w:b w:val="0"/>
          <w:i w:val="0"/>
          <w:color w:val="000000"/>
          <w:sz w:val="17"/>
        </w:rPr>
        <w:t>MA7(t) = (1/7) x Sum[k=0...6] P(t-k). The implementation requires seven complete trading observations (rolling window = 7, min_periods = 7). MA7 is used only to smooth the closing-price series for descriptive visualization.</w:t>
      </w:r>
    </w:p>
    <w:p>
      <w:pPr>
        <w:pStyle w:val="Heading2"/>
        <w:keepNext/>
        <w:keepLines w:val="0"/>
        <w:spacing w:before="0" w:after="20" w:line="240" w:lineRule="auto"/>
      </w:pPr>
      <w:r>
        <w:rPr>
          <w:rFonts w:ascii="Times New Roman" w:hAnsi="Times New Roman"/>
          <w:b/>
          <w:i w:val="0"/>
          <w:color w:val="1F4E79"/>
          <w:sz w:val="20"/>
        </w:rPr>
        <w:t>5.4 Data Sources and Processing</w:t>
      </w:r>
    </w:p>
    <w:p>
      <w:pPr>
        <w:keepNext w:val="0"/>
        <w:keepLines w:val="0"/>
        <w:spacing w:before="0" w:after="80" w:line="254" w:lineRule="auto"/>
        <w:jc w:val="left"/>
      </w:pPr>
      <w:r>
        <w:rPr>
          <w:rFonts w:ascii="Times New Roman" w:hAnsi="Times New Roman"/>
          <w:b w:val="0"/>
          <w:i w:val="0"/>
          <w:color w:val="000000"/>
          <w:sz w:val="17"/>
        </w:rPr>
        <w:t>A-share data are retrieved through Tencent Finance interfaces; U.S. data use Sina Finance with Yahoo Finance as a fallback; Korean-market data use Naver Stock interfaces. The processing workflow is: retrieve -&gt; validate/clean -&gt; preserve exchange-specific trading dates -&gt; apply figure-specific baseline rules -&gt; calculate NCR or MA7 -&gt; generate figures -&gt; document outputs. Synthetic future observations and manual filling of unavailable market prices are not permitted.</w:t>
      </w:r>
    </w:p>
    <w:p>
      <w:pPr>
        <w:pStyle w:val="Heading1"/>
        <w:keepNext/>
        <w:keepLines w:val="0"/>
        <w:spacing w:before="20" w:after="28" w:line="240" w:lineRule="auto"/>
        <w:pBdr>
          <w:bottom w:val="single" w:sz="4" w:space="2" w:color="9CC2E5"/>
        </w:pBdr>
      </w:pPr>
      <w:r>
        <w:rPr>
          <w:rFonts w:ascii="Times New Roman" w:hAnsi="Times New Roman"/>
          <w:b/>
          <w:i w:val="0"/>
          <w:color w:val="1F4E79"/>
          <w:sz w:val="24"/>
        </w:rPr>
        <w:t>6. Data Reliability and Research Limitations</w:t>
      </w:r>
    </w:p>
    <w:p>
      <w:pPr>
        <w:pStyle w:val="ListBullet"/>
        <w:keepNext w:val="0"/>
        <w:keepLines/>
        <w:spacing w:before="0" w:after="36" w:line="259" w:lineRule="auto"/>
        <w:ind w:left="317" w:hanging="230"/>
      </w:pPr>
      <w:r>
        <w:rPr>
          <w:rFonts w:ascii="Times New Roman" w:hAnsi="Times New Roman"/>
          <w:b/>
          <w:i w:val="0"/>
          <w:color w:val="000000"/>
          <w:sz w:val="17"/>
        </w:rPr>
      </w:r>
      <w:r>
        <w:rPr>
          <w:rFonts w:ascii="Times New Roman" w:hAnsi="Times New Roman"/>
          <w:b w:val="0"/>
          <w:i w:val="0"/>
          <w:color w:val="000000"/>
          <w:sz w:val="17"/>
        </w:rPr>
        <w:t>No artificial price generation, future-data generation, or manual filling of unavailable prices.</w:t>
      </w:r>
    </w:p>
    <w:p>
      <w:pPr>
        <w:pStyle w:val="ListBullet"/>
        <w:keepNext w:val="0"/>
        <w:keepLines/>
        <w:spacing w:before="0" w:after="36" w:line="259" w:lineRule="auto"/>
        <w:ind w:left="317" w:hanging="230"/>
      </w:pPr>
      <w:r>
        <w:rPr>
          <w:rFonts w:ascii="Times New Roman" w:hAnsi="Times New Roman"/>
          <w:b/>
          <w:i w:val="0"/>
          <w:color w:val="000000"/>
          <w:sz w:val="17"/>
        </w:rPr>
      </w:r>
      <w:r>
        <w:rPr>
          <w:rFonts w:ascii="Times New Roman" w:hAnsi="Times New Roman"/>
          <w:b w:val="0"/>
          <w:i w:val="0"/>
          <w:color w:val="000000"/>
          <w:sz w:val="17"/>
        </w:rPr>
        <w:t>Daily closing prices are used unless a separate OHLC source is explicitly documented.</w:t>
      </w:r>
    </w:p>
    <w:p>
      <w:pPr>
        <w:pStyle w:val="ListBullet"/>
        <w:keepNext w:val="0"/>
        <w:keepLines/>
        <w:spacing w:before="0" w:after="36" w:line="259" w:lineRule="auto"/>
        <w:ind w:left="317" w:hanging="230"/>
      </w:pPr>
      <w:r>
        <w:rPr>
          <w:rFonts w:ascii="Times New Roman" w:hAnsi="Times New Roman"/>
          <w:b/>
          <w:i w:val="0"/>
          <w:color w:val="000000"/>
          <w:sz w:val="17"/>
        </w:rPr>
      </w:r>
      <w:r>
        <w:rPr>
          <w:rFonts w:ascii="Times New Roman" w:hAnsi="Times New Roman"/>
          <w:b w:val="0"/>
          <w:i w:val="0"/>
          <w:color w:val="000000"/>
          <w:sz w:val="17"/>
        </w:rPr>
        <w:t>The sample is intentionally small and heterogeneous, and the observation window is short.</w:t>
      </w:r>
    </w:p>
    <w:p>
      <w:pPr>
        <w:pStyle w:val="ListBullet"/>
        <w:keepNext w:val="0"/>
        <w:keepLines/>
        <w:spacing w:before="0" w:after="36" w:line="259" w:lineRule="auto"/>
        <w:ind w:left="317" w:hanging="230"/>
      </w:pPr>
      <w:r>
        <w:rPr>
          <w:rFonts w:ascii="Times New Roman" w:hAnsi="Times New Roman"/>
          <w:b/>
          <w:i w:val="0"/>
          <w:color w:val="000000"/>
          <w:sz w:val="17"/>
        </w:rPr>
      </w:r>
      <w:r>
        <w:rPr>
          <w:rFonts w:ascii="Times New Roman" w:hAnsi="Times New Roman"/>
          <w:b w:val="0"/>
          <w:i w:val="0"/>
          <w:color w:val="000000"/>
          <w:sz w:val="17"/>
        </w:rPr>
        <w:t>Cross-market prices reflect simultaneous company, industry, macroeconomic, and market-structure factors; causal identification is outside the scope of this note.</w:t>
      </w:r>
    </w:p>
    <w:p>
      <w:pPr>
        <w:pStyle w:val="Heading1"/>
        <w:keepNext/>
        <w:keepLines w:val="0"/>
        <w:spacing w:before="30" w:after="26" w:line="240" w:lineRule="auto"/>
        <w:pBdr>
          <w:bottom w:val="single" w:sz="4" w:space="2" w:color="9CC2E5"/>
        </w:pBdr>
      </w:pPr>
      <w:r>
        <w:rPr>
          <w:rFonts w:ascii="Times New Roman" w:hAnsi="Times New Roman"/>
          <w:b/>
          <w:i w:val="0"/>
          <w:color w:val="1F4E79"/>
          <w:sz w:val="24"/>
        </w:rPr>
        <w:t>7. Conclusion</w:t>
      </w:r>
    </w:p>
    <w:p>
      <w:pPr>
        <w:keepNext w:val="0"/>
        <w:keepLines w:val="0"/>
        <w:spacing w:before="0" w:after="48" w:line="254" w:lineRule="auto"/>
        <w:jc w:val="left"/>
      </w:pPr>
      <w:r>
        <w:rPr>
          <w:rFonts w:ascii="Times New Roman" w:hAnsi="Times New Roman"/>
          <w:b w:val="0"/>
          <w:i w:val="0"/>
          <w:color w:val="000000"/>
          <w:sz w:val="17"/>
        </w:rPr>
        <w:t>Across the frozen window, the three comparisons point to short-term differentiation rather than a uniform semiconductor-sector response. AMEC retained the largest Figure 1 gain, NVIDIA finished ahead of Apple, and CXMT was the only covered memory-sector name above the common July 27 baseline at the August 7 endpoint. CXMT's final close remained above its listing-day close but below its latest complete MA7.</w:t>
      </w:r>
    </w:p>
    <w:p>
      <w:pPr>
        <w:keepNext w:val="0"/>
        <w:keepLines w:val="0"/>
        <w:spacing w:before="0" w:after="60" w:line="254" w:lineRule="auto"/>
        <w:jc w:val="left"/>
      </w:pPr>
      <w:r>
        <w:rPr>
          <w:rFonts w:ascii="Times New Roman" w:hAnsi="Times New Roman"/>
          <w:b w:val="0"/>
          <w:i w:val="0"/>
          <w:color w:val="000000"/>
          <w:sz w:val="17"/>
        </w:rPr>
        <w:t>These findings answer the report's three research questions descriptively: ecosystem roles displayed different normalized paths, the four memory-sector names diverged after event-date alignment, and CXMT's short post-listing series produced only four complete MA7 observations. The evidence does not identify a causal IPO effect, abnormal return, sustained trend, or trading signal. The note's principal value is therefore its transparent early-window record and reproducible workflow.</w:t>
      </w:r>
    </w:p>
    <w:p>
      <w:pPr>
        <w:pStyle w:val="Heading1"/>
        <w:keepNext/>
        <w:keepLines w:val="0"/>
        <w:spacing w:before="30" w:after="26" w:line="240" w:lineRule="auto"/>
        <w:pBdr>
          <w:bottom w:val="single" w:sz="4" w:space="2" w:color="9CC2E5"/>
        </w:pBdr>
      </w:pPr>
      <w:r>
        <w:rPr>
          <w:rFonts w:ascii="Times New Roman" w:hAnsi="Times New Roman"/>
          <w:b/>
          <w:i w:val="0"/>
          <w:color w:val="1F4E79"/>
          <w:sz w:val="24"/>
        </w:rPr>
        <w:t>8. Data Availability and Reproducibility</w:t>
      </w:r>
    </w:p>
    <w:p>
      <w:pPr>
        <w:keepNext w:val="0"/>
        <w:keepLines w:val="0"/>
        <w:spacing w:before="0" w:after="48" w:line="254" w:lineRule="auto"/>
        <w:jc w:val="left"/>
      </w:pPr>
      <w:r>
        <w:rPr>
          <w:rFonts w:ascii="Times New Roman" w:hAnsi="Times New Roman"/>
          <w:b w:val="0"/>
          <w:i w:val="0"/>
          <w:color w:val="000000"/>
          <w:sz w:val="17"/>
        </w:rPr>
        <w:t>The project repository documents the Python workflow, frozen real-data CSV files, data-source mapping, research methodology, variable definitions, and visualization process. The August 7 data freeze completes the predefined research window without changing the locked methodology definitions.</w:t>
      </w:r>
    </w:p>
    <w:p>
      <w:pPr>
        <w:keepNext w:val="0"/>
        <w:keepLines/>
        <w:spacing w:before="0" w:after="40" w:line="259" w:lineRule="auto"/>
      </w:pPr>
      <w:r>
        <w:rPr>
          <w:rFonts w:ascii="Times New Roman" w:hAnsi="Times New Roman"/>
          <w:b/>
          <w:i w:val="0"/>
          <w:color w:val="000000"/>
          <w:sz w:val="17"/>
        </w:rPr>
        <w:t xml:space="preserve">Repository: </w:t>
      </w:r>
      <w:r>
        <w:rPr>
          <w:rFonts w:ascii="Times New Roman" w:hAnsi="Times New Roman"/>
          <w:b w:val="0"/>
          <w:i w:val="0"/>
          <w:color w:val="000000"/>
          <w:sz w:val="17"/>
        </w:rPr>
        <w:t>https://github.com/Ritz-Liu/CXMT-Semiconductor-Analysis</w:t>
      </w:r>
    </w:p>
    <w:p>
      <w:pPr>
        <w:keepNext w:val="0"/>
        <w:keepLines/>
        <w:spacing w:before="0" w:after="64" w:line="259" w:lineRule="auto"/>
      </w:pPr>
      <w:r>
        <w:rPr>
          <w:rFonts w:ascii="Times New Roman" w:hAnsi="Times New Roman"/>
          <w:b/>
          <w:i w:val="0"/>
          <w:color w:val="000000"/>
          <w:sz w:val="17"/>
        </w:rPr>
        <w:t xml:space="preserve">Archived replication package: </w:t>
      </w:r>
      <w:r>
        <w:rPr>
          <w:rFonts w:ascii="Times New Roman" w:hAnsi="Times New Roman"/>
          <w:b w:val="0"/>
          <w:i w:val="0"/>
          <w:color w:val="000000"/>
          <w:sz w:val="17"/>
        </w:rPr>
        <w:t>https://doi.org/10.5281/zenodo.21847934</w:t>
      </w:r>
    </w:p>
    <w:p>
      <w:pPr>
        <w:pStyle w:val="Heading1"/>
        <w:keepNext/>
        <w:keepLines w:val="0"/>
        <w:spacing w:before="20" w:after="20" w:line="240" w:lineRule="auto"/>
        <w:pBdr>
          <w:bottom w:val="single" w:sz="4" w:space="2" w:color="9CC2E5"/>
        </w:pBdr>
      </w:pPr>
      <w:r>
        <w:rPr>
          <w:rFonts w:ascii="Times New Roman" w:hAnsi="Times New Roman"/>
          <w:b/>
          <w:i w:val="0"/>
          <w:color w:val="1F4E79"/>
          <w:sz w:val="24"/>
        </w:rPr>
        <w:t>References and Source Documentation</w:t>
      </w:r>
    </w:p>
    <w:p>
      <w:pPr>
        <w:keepNext w:val="0"/>
        <w:keepLines w:val="0"/>
        <w:spacing w:before="0" w:after="20" w:line="254" w:lineRule="auto"/>
        <w:ind w:left="173" w:hanging="173"/>
        <w:jc w:val="left"/>
      </w:pPr>
      <w:r>
        <w:rPr>
          <w:rFonts w:ascii="Times New Roman" w:hAnsi="Times New Roman"/>
          <w:b w:val="0"/>
          <w:i w:val="0"/>
          <w:color w:val="000000"/>
          <w:sz w:val="15"/>
        </w:rPr>
        <w:t>MacKinlay, A. C. (1997). Event studies in economics and finance. Journal of Economic Literature, 35(1), 13-39.</w:t>
      </w:r>
    </w:p>
    <w:p>
      <w:pPr>
        <w:keepNext w:val="0"/>
        <w:keepLines w:val="0"/>
        <w:spacing w:before="0" w:after="20" w:line="254" w:lineRule="auto"/>
        <w:ind w:left="173" w:hanging="173"/>
        <w:jc w:val="left"/>
      </w:pPr>
      <w:r>
        <w:rPr>
          <w:rFonts w:ascii="Times New Roman" w:hAnsi="Times New Roman"/>
          <w:b w:val="0"/>
          <w:i w:val="0"/>
          <w:color w:val="000000"/>
          <w:sz w:val="15"/>
        </w:rPr>
        <w:t>Market-data sources and integrity rules: data_sources.md.</w:t>
      </w:r>
    </w:p>
    <w:p>
      <w:pPr>
        <w:keepNext w:val="0"/>
        <w:keepLines w:val="0"/>
        <w:spacing w:before="0" w:after="20" w:line="254" w:lineRule="auto"/>
        <w:ind w:left="173" w:hanging="173"/>
        <w:jc w:val="left"/>
      </w:pPr>
      <w:r>
        <w:rPr>
          <w:rFonts w:ascii="Times New Roman" w:hAnsi="Times New Roman"/>
          <w:b w:val="0"/>
          <w:i w:val="0"/>
          <w:color w:val="000000"/>
          <w:sz w:val="15"/>
        </w:rPr>
        <w:t>Industry and company-role documentation: industry_reports.md.</w:t>
      </w:r>
    </w:p>
    <w:p>
      <w:pPr>
        <w:keepNext w:val="0"/>
        <w:keepLines w:val="0"/>
        <w:spacing w:before="0" w:after="20" w:line="254" w:lineRule="auto"/>
        <w:ind w:left="173" w:hanging="173"/>
        <w:jc w:val="left"/>
      </w:pPr>
      <w:r>
        <w:rPr>
          <w:rFonts w:ascii="Times New Roman" w:hAnsi="Times New Roman"/>
          <w:b w:val="0"/>
          <w:i w:val="0"/>
          <w:color w:val="000000"/>
          <w:sz w:val="15"/>
        </w:rPr>
        <w:t>Research design and model definitions: research_methodology.md and mathematical_models.md.</w:t>
      </w:r>
    </w:p>
    <w:p>
      <w:pPr>
        <w:keepNext w:val="0"/>
        <w:keepLines w:val="0"/>
        <w:spacing w:before="0" w:after="20" w:line="254" w:lineRule="auto"/>
        <w:ind w:left="173" w:hanging="173"/>
        <w:jc w:val="left"/>
      </w:pPr>
      <w:r>
        <w:rPr>
          <w:rFonts w:ascii="Times New Roman" w:hAnsi="Times New Roman"/>
          <w:b w:val="0"/>
          <w:i w:val="0"/>
          <w:color w:val="000000"/>
          <w:sz w:val="15"/>
        </w:rPr>
        <w:t>Variable definitions and figure-specific coverage: variables_definition.md.</w:t>
      </w:r>
    </w:p>
    <w:p>
      <w:pPr>
        <w:keepNext w:val="0"/>
        <w:keepLines w:val="0"/>
        <w:spacing w:before="0" w:after="20" w:line="254" w:lineRule="auto"/>
        <w:ind w:left="173" w:hanging="173"/>
        <w:jc w:val="left"/>
      </w:pPr>
      <w:r>
        <w:rPr>
          <w:rFonts w:ascii="Times New Roman" w:hAnsi="Times New Roman"/>
          <w:b w:val="0"/>
          <w:i w:val="0"/>
          <w:color w:val="000000"/>
          <w:sz w:val="15"/>
        </w:rPr>
        <w:t>Replication materials: frozen real-data CSV files, Python chart-generation script, and final figure files in the project repository.</w:t>
      </w:r>
    </w:p>
    <w:p>
      <w:pPr>
        <w:pStyle w:val="Heading2"/>
        <w:keepNext/>
        <w:keepLines w:val="0"/>
        <w:spacing w:before="26" w:after="14" w:line="240" w:lineRule="auto"/>
      </w:pPr>
      <w:r>
        <w:rPr>
          <w:rFonts w:ascii="Times New Roman" w:hAnsi="Times New Roman"/>
          <w:b/>
          <w:i w:val="0"/>
          <w:color w:val="1F4E79"/>
          <w:sz w:val="20"/>
        </w:rPr>
        <w:t>AI-Assisted Editing Disclosure</w:t>
      </w:r>
    </w:p>
    <w:p>
      <w:pPr>
        <w:keepNext w:val="0"/>
        <w:keepLines w:val="0"/>
        <w:spacing w:before="0" w:after="0" w:line="254" w:lineRule="auto"/>
        <w:jc w:val="left"/>
      </w:pPr>
      <w:r>
        <w:rPr>
          <w:rFonts w:ascii="Times New Roman" w:hAnsi="Times New Roman"/>
          <w:b w:val="0"/>
          <w:i w:val="0"/>
          <w:color w:val="000000"/>
          <w:sz w:val="15"/>
        </w:rPr>
        <w:t>Generative AI tools, including OpenAI ChatGPT, were used to assist with language editing, document organization, consistency checking, and refinement of explanatory text. All methodological choices, data-processing procedures, quantitative calculations, interpretations, and conclusions were independently reviewed and determined by the author, who assumes full responsibility for the content of this research.</w:t>
      </w:r>
    </w:p>
    <w:sectPr w:rsidR="00FC693F" w:rsidRPr="0006063C" w:rsidSect="00034616">
      <w:headerReference w:type="default" r:id="rId9"/>
      <w:footerReference w:type="default" r:id="rId10"/>
      <w:pgSz w:w="12240" w:h="15840"/>
      <w:pgMar w:top="1008"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right"/>
    </w:pPr>
    <w:r>
      <w:rPr>
        <w:rFonts w:ascii="Times New Roman" w:hAnsi="Times New Roman"/>
        <w:b w:val="0"/>
        <w:i w:val="0"/>
        <w:color w:val="666666"/>
        <w:sz w:val="14"/>
      </w:rPr>
      <w:t xml:space="preserve">Page </w:t>
    </w:r>
    <w:r>
      <w:rPr>
        <w:rFonts w:ascii="Times New Roman" w:hAnsi="Times New Roman"/>
        <w:b w:val="0"/>
        <w:i w:val="0"/>
        <w:color w:val="666666"/>
        <w:sz w:val="14"/>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right"/>
    </w:pPr>
    <w:r>
      <w:rPr>
        <w:rFonts w:ascii="Times New Roman" w:hAnsi="Times New Roman"/>
        <w:b w:val="0"/>
        <w:i w:val="0"/>
        <w:color w:val="777777"/>
        <w:sz w:val="14"/>
      </w:rPr>
      <w:t>CXMT IPO Research Note | Final Version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CXMT IPO and Semiconductor Ecosystem Response - Final Version 4</dc:title>
  <dc:subject>Event-Aligned Normalized Return Analysis</dc:subject>
  <dc:creator>Liu Ruize</dc:creator>
  <cp:keywords>CXMT, IPO, semiconductor, normalized return, market response</cp:keywords>
  <dc:description>generated by python-docx</dc:description>
  <cp:lastModifiedBy/>
  <cp:revision>1</cp:revision>
  <dcterms:created xsi:type="dcterms:W3CDTF">2013-12-23T23:15:00Z</dcterms:created>
  <dcterms:modified xsi:type="dcterms:W3CDTF">2013-12-23T23:15:00Z</dcterms:modified>
  <cp:category/>
</cp:coreProperties>
</file>