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Laminar 200k Organism</w:t>
        <w:br/>
        <w:t>Current Working Design</w:t>
      </w:r>
    </w:p>
    <w:p>
      <w:pPr>
        <w:jc w:val="center"/>
      </w:pPr>
      <w:r>
        <w:rPr>
          <w:b/>
        </w:rPr>
        <w:t>Reconstruction document • September 2026</w:t>
      </w:r>
    </w:p>
    <w:p>
      <w:r>
        <w:t>Purpose: capture the current architecture, learning rules, sparse routing substrate, INT4 implementation, known results, failures, and C++ implementation plan in one small file so the sandbox can be recreated locally without the ~472 MB experiment bundle.</w:t>
      </w:r>
    </w:p>
    <w:p>
      <w:pPr>
        <w:pStyle w:val="Heading1"/>
      </w:pPr>
      <w:r>
        <w:t>1. Status at handoff</w:t>
      </w:r>
    </w:p>
    <w:p>
      <w:r>
        <w:t>The current design is a sparse, event-driven population of up to ~200,000 identical six-layer processing units arranged in motifs. Cheap learned lock/key addressing decides which tiny subset of units may process an event. Processing can die after any stage. Durable synapses are strict INT4; small local accumulators integrate sub-quantum plasticity until a discrete INT4 weight change occurs.</w:t>
      </w:r>
    </w:p>
    <w:p>
      <w:r>
        <w:t>The strongest end-to-end toy result used a 32-symbol vocabulary with 8 contexts and 8% random next-symbol noise. A 200k logical population used only 256 specialized routes, learned all 32 context-sensitive locks, and reached 92.19% frozen accuracy (chance 3.125%, approximate noise ceiling ~92.25%). This test used six-layer strict-INT4 route bodies but a Python/NumPy reference implementation, not the fully optimized native sparse learner.</w:t>
      </w:r>
    </w:p>
    <w:p>
      <w:pPr>
        <w:pStyle w:val="Heading1"/>
      </w:pPr>
      <w:r>
        <w:t>2. Processing unit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</w:tcPr>
          <w:p>
            <w:r>
              <w:t>Layer</w:t>
            </w:r>
          </w:p>
        </w:tc>
        <w:tc>
          <w:tcPr>
            <w:tcW w:type="dxa" w:w="2541"/>
          </w:tcPr>
          <w:p>
            <w:r>
              <w:t>Budget</w:t>
            </w:r>
          </w:p>
        </w:tc>
        <w:tc>
          <w:tcPr>
            <w:tcW w:type="dxa" w:w="2541"/>
          </w:tcPr>
          <w:p>
            <w:r>
              <w:t>Receives</w:t>
            </w:r>
          </w:p>
        </w:tc>
        <w:tc>
          <w:tcPr>
            <w:tcW w:type="dxa" w:w="2541"/>
          </w:tcPr>
          <w:p>
            <w:r>
              <w:t>Sends / role</w:t>
            </w:r>
          </w:p>
        </w:tc>
      </w:tr>
      <w:tr>
        <w:tc>
          <w:tcPr>
            <w:tcW w:type="dxa" w:w="2541"/>
          </w:tcPr>
          <w:p>
            <w:r>
              <w:t>L1</w:t>
            </w:r>
          </w:p>
        </w:tc>
        <w:tc>
          <w:tcPr>
            <w:tcW w:type="dxa" w:w="2541"/>
          </w:tcPr>
          <w:p>
            <w:r>
              <w:t>1,800</w:t>
            </w:r>
          </w:p>
        </w:tc>
        <w:tc>
          <w:tcPr>
            <w:tcW w:type="dxa" w:w="2541"/>
          </w:tcPr>
          <w:p>
            <w:r>
              <w:t>Accepted external information</w:t>
            </w:r>
          </w:p>
        </w:tc>
        <w:tc>
          <w:tcPr>
            <w:tcW w:type="dxa" w:w="2541"/>
          </w:tcPr>
          <w:p>
            <w:r>
              <w:t>L2 and L3; first expensive processing stage</w:t>
            </w:r>
          </w:p>
        </w:tc>
      </w:tr>
      <w:tr>
        <w:tc>
          <w:tcPr>
            <w:tcW w:type="dxa" w:w="2541"/>
          </w:tcPr>
          <w:p>
            <w:r>
              <w:t>L2</w:t>
            </w:r>
          </w:p>
        </w:tc>
        <w:tc>
          <w:tcPr>
            <w:tcW w:type="dxa" w:w="2541"/>
          </w:tcPr>
          <w:p>
            <w:r>
              <w:t>700</w:t>
            </w:r>
          </w:p>
        </w:tc>
        <w:tc>
          <w:tcPr>
            <w:tcW w:type="dxa" w:w="2541"/>
          </w:tcPr>
          <w:p>
            <w:r>
              <w:t>L1 + returned L4</w:t>
            </w:r>
          </w:p>
        </w:tc>
        <w:tc>
          <w:tcPr>
            <w:tcW w:type="dxa" w:w="2541"/>
          </w:tcPr>
          <w:p>
            <w:r>
              <w:t>Eligible nearest-K units' L3; L5</w:t>
            </w:r>
          </w:p>
        </w:tc>
      </w:tr>
      <w:tr>
        <w:tc>
          <w:tcPr>
            <w:tcW w:type="dxa" w:w="2541"/>
          </w:tcPr>
          <w:p>
            <w:r>
              <w:t>L3</w:t>
            </w:r>
          </w:p>
        </w:tc>
        <w:tc>
          <w:tcPr>
            <w:tcW w:type="dxa" w:w="2541"/>
          </w:tcPr>
          <w:p>
            <w:r>
              <w:t>700</w:t>
            </w:r>
          </w:p>
        </w:tc>
        <w:tc>
          <w:tcPr>
            <w:tcW w:type="dxa" w:w="2541"/>
          </w:tcPr>
          <w:p>
            <w:r>
              <w:t>L1 + accepted L2 messages from neighbors</w:t>
            </w:r>
          </w:p>
        </w:tc>
        <w:tc>
          <w:tcPr>
            <w:tcW w:type="dxa" w:w="2541"/>
          </w:tcPr>
          <w:p>
            <w:r>
              <w:t>L5</w:t>
            </w:r>
          </w:p>
        </w:tc>
      </w:tr>
      <w:tr>
        <w:tc>
          <w:tcPr>
            <w:tcW w:type="dxa" w:w="2541"/>
          </w:tcPr>
          <w:p>
            <w:r>
              <w:t>L4</w:t>
            </w:r>
          </w:p>
        </w:tc>
        <w:tc>
          <w:tcPr>
            <w:tcW w:type="dxa" w:w="2541"/>
          </w:tcPr>
          <w:p>
            <w:r>
              <w:t>1,000</w:t>
            </w:r>
          </w:p>
        </w:tc>
        <w:tc>
          <w:tcPr>
            <w:tcW w:type="dxa" w:w="2541"/>
          </w:tcPr>
          <w:p>
            <w:r>
              <w:t>L6</w:t>
            </w:r>
          </w:p>
        </w:tc>
        <w:tc>
          <w:tcPr>
            <w:tcW w:type="dxa" w:w="2541"/>
          </w:tcPr>
          <w:p>
            <w:r>
              <w:t>Back to L2 and/or L6; recurrent return / route consequence</w:t>
            </w:r>
          </w:p>
        </w:tc>
      </w:tr>
      <w:tr>
        <w:tc>
          <w:tcPr>
            <w:tcW w:type="dxa" w:w="2541"/>
          </w:tcPr>
          <w:p>
            <w:r>
              <w:t>L5</w:t>
            </w:r>
          </w:p>
        </w:tc>
        <w:tc>
          <w:tcPr>
            <w:tcW w:type="dxa" w:w="2541"/>
          </w:tcPr>
          <w:p>
            <w:r>
              <w:t>600</w:t>
            </w:r>
          </w:p>
        </w:tc>
        <w:tc>
          <w:tcPr>
            <w:tcW w:type="dxa" w:w="2541"/>
          </w:tcPr>
          <w:p>
            <w:r>
              <w:t>L2 + L3</w:t>
            </w:r>
          </w:p>
        </w:tc>
        <w:tc>
          <w:tcPr>
            <w:tcW w:type="dxa" w:w="2541"/>
          </w:tcPr>
          <w:p>
            <w:r>
              <w:t>L6</w:t>
            </w:r>
          </w:p>
        </w:tc>
      </w:tr>
      <w:tr>
        <w:tc>
          <w:tcPr>
            <w:tcW w:type="dxa" w:w="2541"/>
          </w:tcPr>
          <w:p>
            <w:r>
              <w:t>L6</w:t>
            </w:r>
          </w:p>
        </w:tc>
        <w:tc>
          <w:tcPr>
            <w:tcW w:type="dxa" w:w="2541"/>
          </w:tcPr>
          <w:p>
            <w:r>
              <w:t>800</w:t>
            </w:r>
          </w:p>
        </w:tc>
        <w:tc>
          <w:tcPr>
            <w:tcW w:type="dxa" w:w="2541"/>
          </w:tcPr>
          <w:p>
            <w:r>
              <w:t>L5 + L4</w:t>
            </w:r>
          </w:p>
        </w:tc>
        <w:tc>
          <w:tcPr>
            <w:tcW w:type="dxa" w:w="2541"/>
          </w:tcPr>
          <w:p>
            <w:r>
              <w:t>Shared workspace/output; L4</w:t>
            </w:r>
          </w:p>
        </w:tc>
      </w:tr>
    </w:tbl>
    <w:p>
      <w:r>
        <w:t>Total trainable parameters per unit: 5,600. At 200,000 units: 1.12 billion durable synapses.</w:t>
      </w:r>
    </w:p>
    <w:p>
      <w:pPr>
        <w:pStyle w:val="Heading1"/>
      </w:pPr>
      <w:r>
        <w:t>3. Core topology and event flow</w:t>
      </w:r>
    </w:p>
    <w:p>
      <w:r>
        <w:t>Conceptual flow:</w:t>
        <w:br/>
        <w:t>input → adaptive address/key → candidate lock(s) → unit lock → L1 → [death or L2/L3] → neighbor lock checks → [death or L5] → [death or L6] → workspace and/or L4 → L2/L6 recirculation.</w:t>
        <w:br/>
        <w:br/>
        <w:t>Nothing requires every accepted event to execute all 5,600 synapses. Early information death is a first-class property. K controls the size of a unit's eligible associative neighborhood, not the number of neighbor bodies that must execute.</w:t>
      </w:r>
    </w:p>
    <w:p>
      <w:pPr>
        <w:pStyle w:val="Heading1"/>
      </w:pPr>
      <w:r>
        <w:t>4. Motif organization</w:t>
      </w:r>
    </w:p>
    <w:p>
      <w:r>
        <w:t>Units are grouped into local motifs (sandbox default: 128 units/motif). Motifs have different fixed K values, e.g. K ∈ {2, 4, 8, 16, 32, 64}. Each unit can present L2 activity to its K nearest eligible neighbors inside the motif. Receiving units perform a cheap lock/key compatibility test; only matches become active L3 events. Thus K=64 means broad possible association, not 64 body executions.</w:t>
      </w:r>
    </w:p>
    <w:p>
      <w:pPr>
        <w:pStyle w:val="Heading1"/>
      </w:pPr>
      <w:r>
        <w:t>5. Learned lock/key addressing</w:t>
      </w:r>
    </w:p>
    <w:p>
      <w:r>
        <w:t>Do not densely similarity-screen 200k units. The working abstraction is a learned structural address. A lock is a masked key: accept when ((key XOR value) AND mask) == 0. Addressing is an adaptive binary decision tree/trie. A key walks ~10–20 learned questions and terminates at roughly 1–4 candidate locks.</w:t>
      </w:r>
    </w:p>
    <w:p>
      <w:r>
        <w:t>Resolution grows only where ambiguity matters. If two events collide in one lock and a locally available feature predicts different future internal states, that feature can become a new tumbler/address question. If no real distinguishing feature exists, ambiguity is preserved rather than invented. A controlled test with exactly identical 64-bit sensory keys produced 0 sensory splits and ~50% accuracy; when one genuine context bit became available downstream, all 32/32 ambiguous pairs split and reached 100%.</w:t>
      </w:r>
    </w:p>
    <w:p>
      <w:pPr>
        <w:pStyle w:val="Heading1"/>
      </w:pPr>
      <w:r>
        <w:t>6. Structural split rule</w:t>
      </w:r>
    </w:p>
    <w:p>
      <w:r>
        <w:t>Prediction error alone must NOT trigger a split; irreducible noise otherwise causes runaway refinement. Evidence belongs to the ambiguous lock. For a candidate tumbler b, maintain conditional future-state statistics for b=0 and b=1. Split only when the conditional futures differ reliably relative to their within-group variation.</w:t>
      </w:r>
    </w:p>
    <w:p>
      <w:r>
        <w:t>Discrete prototype form: compare H0(y)=P(y|lock,b=0) and H1(y)=P(y|lock,b=1).</w:t>
        <w:br/>
        <w:t>Continuous internal-state form: maintain μ0, μ1 and within-group variation σ0, σ1; split when ||μ0−μ1||/(σ0+σ1) exceeds a threshold after minimum evidence on both branches.</w:t>
        <w:br/>
        <w:t>Interpretation: a distinction earns representation only if it reliably changes what happens next.</w:t>
      </w:r>
    </w:p>
    <w:p>
      <w:pPr>
        <w:pStyle w:val="Heading1"/>
      </w:pPr>
      <w:r>
        <w:t>7. Surprise, consequence, and metabolic pressure</w:t>
      </w:r>
    </w:p>
    <w:p>
      <w:r>
        <w:t>Keep these roles separate:</w:t>
        <w:br/>
        <w:t>• Surprise/novelty temporarily lowers propagation resistance and buys computation for unfamiliar events.</w:t>
        <w:br/>
        <w:t>• Predictive consequence preserves routes that prove useful.</w:t>
        <w:br/>
        <w:t>• Conditional future divergence decides whether representation/address resolution should grow.</w:t>
        <w:br/>
        <w:t>• Metabolic cost raises resistance on activity that repeatedly consumes computation without consequence.</w:t>
      </w:r>
    </w:p>
    <w:p>
      <w:r>
        <w:t>Novelty-storm tests showed the desired qualitative behavior when structural evidence was lock-local: novel data caused a temporary compute burst, then candidate counts and MACs/input fell as locks refined. Returning to previously familiar data did not cause a comparable rediscovery burst.</w:t>
      </w:r>
    </w:p>
    <w:p>
      <w:pPr>
        <w:pStyle w:val="Heading1"/>
      </w:pPr>
      <w:r>
        <w:t>8. INT4 durable synapses + local accumulator</w:t>
      </w:r>
    </w:p>
    <w:p>
      <w:r>
        <w:t>Naive strict INT4 learning failed because the original per-update clip (±0.02) was smaller than half an INT4 quantization step, so every update rounded away. The working rule keeps the physical synapse INT4 and stores a separate local plasticity residual e.</w:t>
      </w:r>
    </w:p>
    <w:p>
      <w:r>
        <w:t>e ← e + Δw. When e crosses roughly half a quantization step, increment/decrement the INT4 weight by one level and subtract one quantum from e. Do not use the accumulator as inference efficacy: that improved short fitting but hurt long recurrent extrapolation. Treat it as plasticity state only.</w:t>
      </w:r>
    </w:p>
    <w:p>
      <w:r>
        <w:t>For scale, pack two signed INT4 weights per byte. 200k × 5,600 weights ≈ 560 MB durable weight storage. Do not default to FP32 accumulators for all 1.12B synapses; test INT8/INT4 residual accumulators and touch plasticity state only for active units/layers/synapses.</w:t>
      </w:r>
    </w:p>
    <w:p>
      <w:pPr>
        <w:pStyle w:val="Heading1"/>
      </w:pPr>
      <w:r>
        <w:t>9. Learning rules used in the sandbox</w:t>
      </w:r>
    </w:p>
    <w:p>
      <w:r>
        <w:t>Hidden/body learning experiments used local perturbation/eligibility traces with a shared end-of-trial reward difference; no backward traversal through layers/time. Designated L6 output cells can receive a local supervised prediction-error update. For strict INT4, both rules feed the local accumulator, which causes discrete weight changes only when sufficient evidence accumulates.</w:t>
      </w:r>
    </w:p>
    <w:p>
      <w:r>
        <w:t>Important: the final 200k synthetic-vocabulary organism simplified learning to local L6 prediction updates inside the admitted route bodies; it did not yet demonstrate the complete hidden-layer local learner at 200k scale. Preserve this distinction when rebuilding.</w:t>
      </w:r>
    </w:p>
    <w:p>
      <w:pPr>
        <w:pStyle w:val="Heading1"/>
      </w:pPr>
      <w:r>
        <w:t>10. Synthetic vocabulary milestone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Property</w:t>
            </w:r>
          </w:p>
        </w:tc>
        <w:tc>
          <w:tcPr>
            <w:tcW w:type="dxa" w:w="5083"/>
          </w:tcPr>
          <w:p>
            <w:r>
              <w:t>Result</w:t>
            </w:r>
          </w:p>
        </w:tc>
      </w:tr>
      <w:tr>
        <w:tc>
          <w:tcPr>
            <w:tcW w:type="dxa" w:w="5083"/>
          </w:tcPr>
          <w:p>
            <w:r>
              <w:t>Vocabulary / contexts</w:t>
            </w:r>
          </w:p>
        </w:tc>
        <w:tc>
          <w:tcPr>
            <w:tcW w:type="dxa" w:w="5083"/>
          </w:tcPr>
          <w:p>
            <w:r>
              <w:t>32 symbols / 8 contexts</w:t>
            </w:r>
          </w:p>
        </w:tc>
      </w:tr>
      <w:tr>
        <w:tc>
          <w:tcPr>
            <w:tcW w:type="dxa" w:w="5083"/>
          </w:tcPr>
          <w:p>
            <w:r>
              <w:t>Noise</w:t>
            </w:r>
          </w:p>
        </w:tc>
        <w:tc>
          <w:tcPr>
            <w:tcW w:type="dxa" w:w="5083"/>
          </w:tcPr>
          <w:p>
            <w:r>
              <w:t>8% random next symbol</w:t>
            </w:r>
          </w:p>
        </w:tc>
      </w:tr>
      <w:tr>
        <w:tc>
          <w:tcPr>
            <w:tcW w:type="dxa" w:w="5083"/>
          </w:tcPr>
          <w:p>
            <w:r>
              <w:t>Logical population</w:t>
            </w:r>
          </w:p>
        </w:tc>
        <w:tc>
          <w:tcPr>
            <w:tcW w:type="dxa" w:w="5083"/>
          </w:tcPr>
          <w:p>
            <w:r>
              <w:t>200,000 units</w:t>
            </w:r>
          </w:p>
        </w:tc>
      </w:tr>
      <w:tr>
        <w:tc>
          <w:tcPr>
            <w:tcW w:type="dxa" w:w="5083"/>
          </w:tcPr>
          <w:p>
            <w:r>
              <w:t>Specialized routes actually needed</w:t>
            </w:r>
          </w:p>
        </w:tc>
        <w:tc>
          <w:tcPr>
            <w:tcW w:type="dxa" w:w="5083"/>
          </w:tcPr>
          <w:p>
            <w:r>
              <w:t>256 maximum</w:t>
            </w:r>
          </w:p>
        </w:tc>
      </w:tr>
      <w:tr>
        <w:tc>
          <w:tcPr>
            <w:tcW w:type="dxa" w:w="5083"/>
          </w:tcPr>
          <w:p>
            <w:r>
              <w:t>Context-sensitive locks learned</w:t>
            </w:r>
          </w:p>
        </w:tc>
        <w:tc>
          <w:tcPr>
            <w:tcW w:type="dxa" w:w="5083"/>
          </w:tcPr>
          <w:p>
            <w:r>
              <w:t>32 / 32</w:t>
            </w:r>
          </w:p>
        </w:tc>
      </w:tr>
      <w:tr>
        <w:tc>
          <w:tcPr>
            <w:tcW w:type="dxa" w:w="5083"/>
          </w:tcPr>
          <w:p>
            <w:r>
              <w:t>Training events</w:t>
            </w:r>
          </w:p>
        </w:tc>
        <w:tc>
          <w:tcPr>
            <w:tcW w:type="dxa" w:w="5083"/>
          </w:tcPr>
          <w:p>
            <w:r>
              <w:t>120,000</w:t>
            </w:r>
          </w:p>
        </w:tc>
      </w:tr>
      <w:tr>
        <w:tc>
          <w:tcPr>
            <w:tcW w:type="dxa" w:w="5083"/>
          </w:tcPr>
          <w:p>
            <w:r>
              <w:t>Frozen accuracy</w:t>
            </w:r>
          </w:p>
        </w:tc>
        <w:tc>
          <w:tcPr>
            <w:tcW w:type="dxa" w:w="5083"/>
          </w:tcPr>
          <w:p>
            <w:r>
              <w:t>92.19%</w:t>
            </w:r>
          </w:p>
        </w:tc>
      </w:tr>
      <w:tr>
        <w:tc>
          <w:tcPr>
            <w:tcW w:type="dxa" w:w="5083"/>
          </w:tcPr>
          <w:p>
            <w:r>
              <w:t>Chance</w:t>
            </w:r>
          </w:p>
        </w:tc>
        <w:tc>
          <w:tcPr>
            <w:tcW w:type="dxa" w:w="5083"/>
          </w:tcPr>
          <w:p>
            <w:r>
              <w:t>3.125%</w:t>
            </w:r>
          </w:p>
        </w:tc>
      </w:tr>
      <w:tr>
        <w:tc>
          <w:tcPr>
            <w:tcW w:type="dxa" w:w="5083"/>
          </w:tcPr>
          <w:p>
            <w:r>
              <w:t>Approx. noise ceiling</w:t>
            </w:r>
          </w:p>
        </w:tc>
        <w:tc>
          <w:tcPr>
            <w:tcW w:type="dxa" w:w="5083"/>
          </w:tcPr>
          <w:p>
            <w:r>
              <w:t>~92.25%</w:t>
            </w:r>
          </w:p>
        </w:tc>
      </w:tr>
    </w:tbl>
    <w:p>
      <w:r>
        <w:t>Learning trajectory: ~29.9% at 5k, 53.3% at 15k, 75.5% at 20k, 85.1% at 25k, ~90.5% at 50k, and ~92% thereafter. Structural context differentiation was present by ~10k examples.</w:t>
      </w:r>
    </w:p>
    <w:p>
      <w:pPr>
        <w:pStyle w:val="Heading1"/>
      </w:pPr>
      <w:r>
        <w:t>11. Throughput findings and what is/is not proven</w:t>
      </w:r>
    </w:p>
    <w:p>
      <w:r>
        <w:t>Native adaptive-address lookup benchmark: ~4.32 million lookups/s for a 200k-lock, ~17-decision tree, ending at ~1.53 candidate locks on average. A structural integrated native benchmark with early exits measured ~2.81 million events/s, but used calibrated survival probabilities and a 4,096-body cache-friendly weight bank. Treat that number as 'if the learned organism becomes this sparse, compute is feasible,' not as measured end-to-end training speed.</w:t>
      </w:r>
    </w:p>
    <w:p>
      <w:r>
        <w:t>A real 560 MB packed-weight worst-case kernel was started with random unit IDs and full-body execution; the million-event suite exceeded the sandbox time window. This confirms pathological dense activity is expensive. The architecture depends on learned sparsity and early death; performance should be reported as throughput versus metabolic load/novelty, not one flattering fixed number.</w:t>
      </w:r>
    </w:p>
    <w:p>
      <w:pPr>
        <w:pStyle w:val="Heading1"/>
      </w:pPr>
      <w:r>
        <w:t>12. Native C++ reconstruction plan</w:t>
      </w:r>
    </w:p>
    <w:p>
      <w:r>
        <w:t>1. One native hot path per block: input → address walk → lock verify → active units → layers → motif routing → workspace/L4 → local learning. No Python crossing per byte/unit/layer.</w:t>
      </w:r>
    </w:p>
    <w:p>
      <w:r>
        <w:t>2. Flat SoA address tree: bit[], left[], right[], leaf_offset[], leaf_count[]. Lock verify: ((key ^ value) &amp; mask) == 0.</w:t>
      </w:r>
    </w:p>
    <w:p>
      <w:r>
        <w:t>3. Unit-major, layer-contiguous packed INT4 weights; 64-byte alignment where useful. Specialize layer kernels for 1800, 700, 700, 600, 800, 1000.</w:t>
      </w:r>
    </w:p>
    <w:p>
      <w:r>
        <w:t>4. Preallocated current/next active-event queues. Use epoch tags to deduplicate units without clearing 200k flags each event.</w:t>
      </w:r>
    </w:p>
    <w:p>
      <w:r>
        <w:t>5. At each boundary, execute only surviving units. L2 neighbor routing performs cheap lock checks on K neighbors; only accepted neighbors enter the queue.</w:t>
      </w:r>
    </w:p>
    <w:p>
      <w:r>
        <w:t>6. Training uses the same forward kernel. Update only traversed synapses/locks. Never sweep 1.12B weights after an event.</w:t>
      </w:r>
    </w:p>
    <w:p>
      <w:r>
        <w:t>7. Structural lock mutation is rare; collect evidence online and commit splits between event blocks.</w:t>
      </w:r>
    </w:p>
    <w:p>
      <w:r>
        <w:t>8. Start with scalar nibble-unpack reference, then AVX2/AVX-512 integer kernels. Profile before cleverness.</w:t>
      </w:r>
    </w:p>
    <w:p>
      <w:r>
        <w:t>9. Benchmark actual 560 MB weight store with random active IDs under familiar, moderate novelty, novelty storm, and pathological dense activity.</w:t>
      </w:r>
    </w:p>
    <w:p>
      <w:pPr>
        <w:pStyle w:val="Heading1"/>
      </w:pPr>
      <w:r>
        <w:t>13. Required telemetry</w:t>
      </w:r>
    </w:p>
    <w:p>
      <w:r>
        <w:t>For every block log: bytes/events per second; BPB/prediction loss; address decisions/input; candidate locks/input; L1 admissions; L2/L3, L5, L6, L4 survivals; neighbor tests/accepts; MACs/input; accumulator updates and INT4 level changes; lock splits/births/deaths; mean/p95 address depth and leaf occupancy; active-queue p50/p95/p99/max; estimated/hardware weight bytes read; and time by stage.</w:t>
      </w:r>
    </w:p>
    <w:p>
      <w:r>
        <w:t>Key success signature for language: prediction loss/BPB falls while admissions/input and MACs/input also fall after novelty settles.</w:t>
      </w:r>
    </w:p>
    <w:p>
      <w:pPr>
        <w:pStyle w:val="Heading1"/>
      </w:pPr>
      <w:r>
        <w:t>14. Known failures — do not repeat</w:t>
      </w:r>
    </w:p>
    <w:p>
      <w:r>
        <w:t>• Naive INT4 requantization after each tiny update: zero learning because updates were sub-quantum.</w:t>
      </w:r>
    </w:p>
    <w:p>
      <w:r>
        <w:t>• Letting the plasticity accumulator participate directly in inference efficacy: hurt long-horizon recurrence.</w:t>
      </w:r>
    </w:p>
    <w:p>
      <w:r>
        <w:t>• Dense similarity screening over many receptors: route discovery itself became the bottleneck.</w:t>
      </w:r>
    </w:p>
    <w:p>
      <w:r>
        <w:t>• Treating K as fanout: high-K motifs explode activity. K is eligibility radius; receivers decide locally.</w:t>
      </w:r>
    </w:p>
    <w:p>
      <w:r>
        <w:t>• Rewarding a route because its predictor improved after seeing the same outcome: random futures can cheat. Commit prediction before outcome.</w:t>
      </w:r>
    </w:p>
    <w:p>
      <w:r>
        <w:t>• Splitting on prediction error/disagreement alone: irreducible noise causes endless refinement.</w:t>
      </w:r>
    </w:p>
    <w:p>
      <w:r>
        <w:t>• Keeping conditional split evidence on the incoming latent family: both branches never collect evidence. Evidence belongs to the ambiguous lock.</w:t>
      </w:r>
    </w:p>
    <w:p>
      <w:r>
        <w:t>• Forcing hidden distinctions in the synthetic closed-loop alias benchmark: actual learned L6/L4/L2 geometry sometimes did not distinguish the experimenter's hidden classes. The lock correctly refused to invent a split.</w:t>
      </w:r>
    </w:p>
    <w:p>
      <w:pPr>
        <w:pStyle w:val="Heading1"/>
      </w:pPr>
      <w:r>
        <w:t>15. Immediate local experiment: raw-byte language</w:t>
      </w:r>
    </w:p>
    <w:p>
      <w:r>
        <w:t>Start with ~100 KB TinyStories, raw bytes (256 symbols), online next-byte prediction. Do not jump to large corpora until the learning curve and metabolism are real. Compare at least: adaptive locks + learning; frozen locks; and routing/memory-disabled baseline. Keep the unit count and corpus size independently scalable.</w:t>
      </w:r>
    </w:p>
    <w:p>
      <w:r>
        <w:t>First success criterion is not pretty generation. It is: BPB decreases; structural locks become selectively more informative; activity remains bounded; MACs/byte declines after novelty settles; and native online training approaches the 500–1,000 KB/s target on the intended local hardware.</w:t>
      </w:r>
    </w:p>
    <w:p>
      <w:pPr>
        <w:pStyle w:val="Heading1"/>
      </w:pPr>
      <w:r>
        <w:t>16. Minimal pseudocode</w:t>
      </w:r>
    </w:p>
    <w:p>
      <w:r>
        <w:rPr>
          <w:rFonts w:ascii="Consolas" w:hAnsi="Consolas"/>
          <w:sz w:val="16"/>
        </w:rPr>
        <w:t>for event in stream:</w:t>
        <w:br/>
        <w:t xml:space="preserve">    key = cheap_input_key(event)</w:t>
        <w:br/>
        <w:br/>
        <w:t xml:space="preserve">    leaf = adaptive_address.walk(key)</w:t>
        <w:br/>
        <w:t xml:space="preserve">    candidates = leaf.locks_matching(key)</w:t>
        <w:br/>
        <w:br/>
        <w:t xml:space="preserve">    for unit in candidates:</w:t>
        <w:br/>
        <w:t xml:space="preserve">        if not unit.accepts(key):</w:t>
        <w:br/>
        <w:t xml:space="preserve">            continue</w:t>
        <w:br/>
        <w:br/>
        <w:t xml:space="preserve">        l1 = unit.L1(event)</w:t>
        <w:br/>
        <w:t xml:space="preserve">        if dies(l1):</w:t>
        <w:br/>
        <w:t xml:space="preserve">            continue</w:t>
        <w:br/>
        <w:br/>
        <w:t xml:space="preserve">        l2, l3 = unit.L2_L3(l1, unit.L4_return, accepted_neighbor_messages)</w:t>
        <w:br/>
        <w:br/>
        <w:t xml:space="preserve">        for neighbor in unit.motif.nearest_K:</w:t>
        <w:br/>
        <w:t xml:space="preserve">            if neighbor.lock_accepts(route_key(l2)):</w:t>
        <w:br/>
        <w:t xml:space="preserve">                enqueue(neighbor)</w:t>
        <w:br/>
        <w:br/>
        <w:t xml:space="preserve">        if dies(l2, l3):</w:t>
        <w:br/>
        <w:t xml:space="preserve">            continue</w:t>
        <w:br/>
        <w:br/>
        <w:t xml:space="preserve">        l5 = unit.L5(l2, l3)</w:t>
        <w:br/>
        <w:t xml:space="preserve">        if dies(l5):</w:t>
        <w:br/>
        <w:t xml:space="preserve">            continue</w:t>
        <w:br/>
        <w:br/>
        <w:t xml:space="preserve">        l6 = unit.L6(l5, unit.L4_return)</w:t>
        <w:br/>
        <w:t xml:space="preserve">        workspace.emit(l6)</w:t>
        <w:br/>
        <w:br/>
        <w:t xml:space="preserve">        if should_recirculate_locally(l6):</w:t>
        <w:br/>
        <w:t xml:space="preserve">            l4 = unit.L4(l6)</w:t>
        <w:br/>
        <w:t xml:space="preserve">            enqueue_return(unit, l4)</w:t>
        <w:br/>
        <w:br/>
        <w:t xml:space="preserve">        update_local_plasticity_only_on_traversed_path()</w:t>
        <w:br/>
        <w:br/>
        <w:t xml:space="preserve">    # structural learning is lock-local</w:t>
        <w:br/>
        <w:t xml:space="preserve">    score committed future/internal state from prior events</w:t>
        <w:br/>
        <w:t xml:space="preserve">    update lock's b=0 / b=1 future prototypes</w:t>
        <w:br/>
        <w:t xml:space="preserve">    if conditional future divergence is reliable:</w:t>
        <w:br/>
        <w:t xml:space="preserve">        commit one real available tumbler split</w:t>
        <w:br/>
      </w:r>
    </w:p>
    <w:p>
      <w:pPr>
        <w:pStyle w:val="Heading1"/>
      </w:pPr>
      <w:r>
        <w:t>17. Bottom line</w:t>
      </w:r>
    </w:p>
    <w:p>
      <w:r>
        <w:t>The working design is not a dense 200k-unit neural network. It is a learned event-driven fabric: adaptive locks cheaply locate a tiny set of potentially relevant units; six-layer INT4 bodies do conditional local processing; motifs provide multi-scale local association; information can die at every stage; novelty buys temporary compute; predictive consequence preserves useful routes; and only predictively consequential distinctions earn additional address resolution.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