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56711" w14:textId="77777777" w:rsidR="003E5E7F" w:rsidRDefault="00000000">
      <w:pPr>
        <w:spacing w:after="80"/>
        <w:jc w:val="center"/>
        <w:rPr>
          <w:b/>
          <w:bCs/>
          <w:sz w:val="36"/>
          <w:szCs w:val="36"/>
        </w:rPr>
      </w:pPr>
      <w:r>
        <w:rPr>
          <w:b/>
          <w:bCs/>
          <w:sz w:val="36"/>
          <w:szCs w:val="36"/>
        </w:rPr>
        <w:t>Seminararbeit</w:t>
      </w:r>
    </w:p>
    <w:p w14:paraId="768F93BD" w14:textId="77777777" w:rsidR="00C01674" w:rsidRDefault="00C01674">
      <w:pPr>
        <w:spacing w:after="80"/>
        <w:jc w:val="center"/>
        <w:rPr>
          <w:b/>
          <w:bCs/>
          <w:sz w:val="36"/>
          <w:szCs w:val="36"/>
        </w:rPr>
      </w:pPr>
    </w:p>
    <w:p w14:paraId="42B57AFC" w14:textId="77777777" w:rsidR="00C01674" w:rsidRDefault="00C01674">
      <w:pPr>
        <w:spacing w:after="80"/>
        <w:jc w:val="center"/>
      </w:pPr>
    </w:p>
    <w:p w14:paraId="623FE206" w14:textId="77777777" w:rsidR="003E5E7F" w:rsidRDefault="00000000">
      <w:pPr>
        <w:spacing w:after="60"/>
        <w:jc w:val="center"/>
      </w:pPr>
      <w:r>
        <w:rPr>
          <w:b/>
          <w:bCs/>
          <w:sz w:val="28"/>
          <w:szCs w:val="28"/>
        </w:rPr>
        <w:t>Umsetzung der Transparenz- und Bereitstellungspflichten nach Art. 3 EU Data Act</w:t>
      </w:r>
    </w:p>
    <w:p w14:paraId="47CEDAC5" w14:textId="77777777" w:rsidR="003E5E7F" w:rsidRDefault="00000000">
      <w:pPr>
        <w:spacing w:after="240"/>
        <w:jc w:val="center"/>
      </w:pPr>
      <w:r>
        <w:rPr>
          <w:i/>
          <w:iCs/>
          <w:sz w:val="24"/>
          <w:szCs w:val="24"/>
        </w:rPr>
        <w:t>Empirische Untersuchung ausgewählter IoT-/Smart-Home-Ökosysteme</w:t>
      </w:r>
    </w:p>
    <w:p w14:paraId="65DDCEF7" w14:textId="77777777" w:rsidR="00C01674" w:rsidRDefault="00C01674">
      <w:pPr>
        <w:spacing w:after="140" w:line="276" w:lineRule="auto"/>
      </w:pPr>
    </w:p>
    <w:p w14:paraId="53EE3B52" w14:textId="77777777" w:rsidR="00C01674" w:rsidRDefault="00C01674">
      <w:pPr>
        <w:spacing w:after="140" w:line="276" w:lineRule="auto"/>
      </w:pPr>
    </w:p>
    <w:p w14:paraId="799B6D19" w14:textId="77777777" w:rsidR="00C01674" w:rsidRDefault="00C01674">
      <w:pPr>
        <w:spacing w:after="140" w:line="276" w:lineRule="auto"/>
      </w:pPr>
    </w:p>
    <w:p w14:paraId="7A64B620" w14:textId="77777777" w:rsidR="00C01674" w:rsidRDefault="00C01674">
      <w:pPr>
        <w:spacing w:after="140" w:line="276" w:lineRule="auto"/>
      </w:pPr>
    </w:p>
    <w:p w14:paraId="50AC6D68" w14:textId="77777777" w:rsidR="00C01674" w:rsidRDefault="00C01674">
      <w:pPr>
        <w:spacing w:after="140" w:line="276" w:lineRule="auto"/>
      </w:pPr>
    </w:p>
    <w:p w14:paraId="221B80F7" w14:textId="77777777" w:rsidR="00C01674" w:rsidRDefault="00C01674">
      <w:pPr>
        <w:spacing w:after="140" w:line="276" w:lineRule="auto"/>
      </w:pPr>
    </w:p>
    <w:p w14:paraId="73996717" w14:textId="77777777" w:rsidR="00C01674" w:rsidRDefault="00C01674">
      <w:pPr>
        <w:spacing w:after="140" w:line="276" w:lineRule="auto"/>
      </w:pPr>
    </w:p>
    <w:p w14:paraId="3A4039D7" w14:textId="77777777" w:rsidR="00C01674" w:rsidRDefault="00C01674">
      <w:pPr>
        <w:spacing w:after="140" w:line="276" w:lineRule="auto"/>
      </w:pPr>
    </w:p>
    <w:p w14:paraId="5889A43B" w14:textId="77777777" w:rsidR="00C01674" w:rsidRDefault="00C01674">
      <w:pPr>
        <w:spacing w:after="140" w:line="276" w:lineRule="auto"/>
      </w:pPr>
    </w:p>
    <w:p w14:paraId="2B699D50" w14:textId="77777777" w:rsidR="00C01674" w:rsidRDefault="00C01674">
      <w:pPr>
        <w:spacing w:after="140" w:line="276" w:lineRule="auto"/>
      </w:pPr>
    </w:p>
    <w:p w14:paraId="55558C83" w14:textId="77777777" w:rsidR="00C01674" w:rsidRDefault="00C01674">
      <w:pPr>
        <w:spacing w:after="140" w:line="276" w:lineRule="auto"/>
      </w:pPr>
    </w:p>
    <w:p w14:paraId="6459CCA4" w14:textId="77777777" w:rsidR="00C01674" w:rsidRDefault="00C01674">
      <w:pPr>
        <w:spacing w:after="140" w:line="276" w:lineRule="auto"/>
      </w:pPr>
    </w:p>
    <w:p w14:paraId="0119424F" w14:textId="77777777" w:rsidR="00C01674" w:rsidRDefault="00C01674">
      <w:pPr>
        <w:spacing w:after="140" w:line="276" w:lineRule="auto"/>
      </w:pPr>
    </w:p>
    <w:p w14:paraId="479758D7" w14:textId="77777777" w:rsidR="00C01674" w:rsidRDefault="00C01674">
      <w:pPr>
        <w:spacing w:after="140" w:line="276" w:lineRule="auto"/>
      </w:pPr>
    </w:p>
    <w:p w14:paraId="45161842" w14:textId="77777777" w:rsidR="00C01674" w:rsidRDefault="00C01674">
      <w:pPr>
        <w:spacing w:after="140" w:line="276" w:lineRule="auto"/>
      </w:pPr>
    </w:p>
    <w:p w14:paraId="48DE20FA" w14:textId="77777777" w:rsidR="00C01674" w:rsidRDefault="00C01674">
      <w:pPr>
        <w:spacing w:after="140" w:line="276" w:lineRule="auto"/>
      </w:pPr>
    </w:p>
    <w:p w14:paraId="51D52A76" w14:textId="77777777" w:rsidR="00C01674" w:rsidRDefault="00C01674">
      <w:pPr>
        <w:spacing w:after="140" w:line="276" w:lineRule="auto"/>
      </w:pPr>
    </w:p>
    <w:p w14:paraId="65AB8231" w14:textId="54C6F94A" w:rsidR="003E5E7F" w:rsidRDefault="00000000">
      <w:pPr>
        <w:spacing w:after="140" w:line="276" w:lineRule="auto"/>
      </w:pPr>
      <w:r>
        <w:t>Autor</w:t>
      </w:r>
      <w:r w:rsidR="00C01674">
        <w:t xml:space="preserve"> </w:t>
      </w:r>
      <w:r>
        <w:t>1: [Name] (Recht &amp; Vertrag)</w:t>
      </w:r>
    </w:p>
    <w:p w14:paraId="7FAE8EB4" w14:textId="633CFDC7" w:rsidR="003E5E7F" w:rsidRDefault="00000000">
      <w:pPr>
        <w:spacing w:after="140" w:line="276" w:lineRule="auto"/>
      </w:pPr>
      <w:proofErr w:type="gramStart"/>
      <w:r>
        <w:t>Autor</w:t>
      </w:r>
      <w:r w:rsidR="00C01674">
        <w:t xml:space="preserve"> </w:t>
      </w:r>
      <w:r>
        <w:t xml:space="preserve"> 2</w:t>
      </w:r>
      <w:proofErr w:type="gramEnd"/>
      <w:r>
        <w:t>: [Name] (Technik &amp; Empirie)</w:t>
      </w:r>
    </w:p>
    <w:p w14:paraId="7754B977" w14:textId="570D4575" w:rsidR="003E5E7F" w:rsidRDefault="00000000">
      <w:pPr>
        <w:spacing w:after="140" w:line="276" w:lineRule="auto"/>
      </w:pPr>
      <w:r>
        <w:t>Dozent: [Name]</w:t>
      </w:r>
    </w:p>
    <w:p w14:paraId="085C14B4" w14:textId="77777777" w:rsidR="003E5E7F" w:rsidRDefault="00000000">
      <w:pPr>
        <w:spacing w:after="140" w:line="276" w:lineRule="auto"/>
      </w:pPr>
      <w:r>
        <w:t>Hochschule/Universität: [Name]</w:t>
      </w:r>
    </w:p>
    <w:p w14:paraId="4F92E447" w14:textId="77777777" w:rsidR="003E5E7F" w:rsidRDefault="00000000">
      <w:pPr>
        <w:spacing w:after="140" w:line="276" w:lineRule="auto"/>
      </w:pPr>
      <w:r>
        <w:t>Abgabedatum: [TT.MM.JJJJ]</w:t>
      </w:r>
    </w:p>
    <w:p w14:paraId="5C4CF2FF" w14:textId="332E8181" w:rsidR="00C01674" w:rsidRDefault="00000000" w:rsidP="00C01674">
      <w:pPr>
        <w:spacing w:after="140" w:line="276" w:lineRule="auto"/>
      </w:pPr>
      <w:r>
        <w:t xml:space="preserve">Stand der Analyse/Quellen: Oktober 2025 </w:t>
      </w:r>
      <w:bookmarkStart w:id="0" w:name="_Toc232151326"/>
    </w:p>
    <w:p w14:paraId="2EE0320F" w14:textId="77777777" w:rsidR="00C01674" w:rsidRDefault="00C01674">
      <w:pPr>
        <w:pStyle w:val="berschrift1"/>
      </w:pPr>
    </w:p>
    <w:p w14:paraId="4BD41B3B" w14:textId="77777777" w:rsidR="00C01674" w:rsidRDefault="00C01674">
      <w:pPr>
        <w:pStyle w:val="berschrift1"/>
      </w:pPr>
    </w:p>
    <w:p w14:paraId="751EBDDE" w14:textId="69ED3340" w:rsidR="003E5E7F" w:rsidRDefault="00000000">
      <w:pPr>
        <w:pStyle w:val="berschrift1"/>
      </w:pPr>
      <w:r>
        <w:lastRenderedPageBreak/>
        <w:t>Inhaltsverzeichnis</w:t>
      </w:r>
      <w:bookmarkEnd w:id="0"/>
    </w:p>
    <w:sdt>
      <w:sdtPr>
        <w:alias w:val="Inhaltsverzeichnis"/>
        <w:id w:val="-508061746"/>
      </w:sdtPr>
      <w:sdtContent>
        <w:p w14:paraId="3766EFF3" w14:textId="77777777" w:rsidR="00C85447" w:rsidRDefault="00000000">
          <w:pPr>
            <w:pStyle w:val="Verzeichnis1"/>
            <w:tabs>
              <w:tab w:val="right" w:leader="dot" w:pos="9062"/>
            </w:tabs>
            <w:rPr>
              <w:noProof/>
            </w:rPr>
          </w:pPr>
          <w:r>
            <w:fldChar w:fldCharType="begin"/>
          </w:r>
          <w:r>
            <w:instrText>TOC \h \o "1-3"</w:instrText>
          </w:r>
          <w:r>
            <w:fldChar w:fldCharType="separate"/>
          </w:r>
          <w:hyperlink w:anchor="_Toc232151326" w:history="1">
            <w:r w:rsidR="00C85447" w:rsidRPr="00F1249C">
              <w:rPr>
                <w:rStyle w:val="Hyperlink"/>
                <w:noProof/>
              </w:rPr>
              <w:t>Inhaltsverzeichnis</w:t>
            </w:r>
            <w:r w:rsidR="00C85447">
              <w:rPr>
                <w:noProof/>
              </w:rPr>
              <w:tab/>
            </w:r>
            <w:r w:rsidR="00C85447">
              <w:rPr>
                <w:noProof/>
              </w:rPr>
              <w:fldChar w:fldCharType="begin"/>
            </w:r>
            <w:r w:rsidR="00C85447">
              <w:rPr>
                <w:noProof/>
              </w:rPr>
              <w:instrText xml:space="preserve"> PAGEREF _Toc232151326 \h </w:instrText>
            </w:r>
            <w:r w:rsidR="00C85447">
              <w:rPr>
                <w:noProof/>
              </w:rPr>
            </w:r>
            <w:r w:rsidR="00C85447">
              <w:rPr>
                <w:noProof/>
              </w:rPr>
              <w:fldChar w:fldCharType="separate"/>
            </w:r>
            <w:r w:rsidR="00C85447">
              <w:rPr>
                <w:noProof/>
              </w:rPr>
              <w:t>1</w:t>
            </w:r>
            <w:r w:rsidR="00C85447">
              <w:rPr>
                <w:noProof/>
              </w:rPr>
              <w:fldChar w:fldCharType="end"/>
            </w:r>
          </w:hyperlink>
        </w:p>
        <w:p w14:paraId="03101253" w14:textId="77777777" w:rsidR="00C85447" w:rsidRDefault="00C85447">
          <w:pPr>
            <w:pStyle w:val="Verzeichnis1"/>
            <w:tabs>
              <w:tab w:val="right" w:leader="dot" w:pos="9062"/>
            </w:tabs>
            <w:rPr>
              <w:noProof/>
            </w:rPr>
          </w:pPr>
          <w:hyperlink w:anchor="_Toc232151327" w:history="1">
            <w:r w:rsidRPr="00F1249C">
              <w:rPr>
                <w:rStyle w:val="Hyperlink"/>
                <w:noProof/>
              </w:rPr>
              <w:t>Kurzfassung (Abstract)</w:t>
            </w:r>
            <w:r>
              <w:rPr>
                <w:noProof/>
              </w:rPr>
              <w:tab/>
            </w:r>
            <w:r>
              <w:rPr>
                <w:noProof/>
              </w:rPr>
              <w:fldChar w:fldCharType="begin"/>
            </w:r>
            <w:r>
              <w:rPr>
                <w:noProof/>
              </w:rPr>
              <w:instrText xml:space="preserve"> PAGEREF _Toc232151327 \h </w:instrText>
            </w:r>
            <w:r>
              <w:rPr>
                <w:noProof/>
              </w:rPr>
            </w:r>
            <w:r>
              <w:rPr>
                <w:noProof/>
              </w:rPr>
              <w:fldChar w:fldCharType="separate"/>
            </w:r>
            <w:r>
              <w:rPr>
                <w:noProof/>
              </w:rPr>
              <w:t>1</w:t>
            </w:r>
            <w:r>
              <w:rPr>
                <w:noProof/>
              </w:rPr>
              <w:fldChar w:fldCharType="end"/>
            </w:r>
          </w:hyperlink>
        </w:p>
        <w:p w14:paraId="1A9BB3DA" w14:textId="77777777" w:rsidR="00C85447" w:rsidRDefault="00C85447">
          <w:pPr>
            <w:pStyle w:val="Verzeichnis1"/>
            <w:tabs>
              <w:tab w:val="right" w:leader="dot" w:pos="9062"/>
            </w:tabs>
            <w:rPr>
              <w:noProof/>
            </w:rPr>
          </w:pPr>
          <w:hyperlink w:anchor="_Toc232151328" w:history="1">
            <w:r w:rsidRPr="00F1249C">
              <w:rPr>
                <w:rStyle w:val="Hyperlink"/>
                <w:noProof/>
              </w:rPr>
              <w:t>1. Einleitung</w:t>
            </w:r>
            <w:r>
              <w:rPr>
                <w:noProof/>
              </w:rPr>
              <w:tab/>
            </w:r>
            <w:r>
              <w:rPr>
                <w:noProof/>
              </w:rPr>
              <w:fldChar w:fldCharType="begin"/>
            </w:r>
            <w:r>
              <w:rPr>
                <w:noProof/>
              </w:rPr>
              <w:instrText xml:space="preserve"> PAGEREF _Toc232151328 \h </w:instrText>
            </w:r>
            <w:r>
              <w:rPr>
                <w:noProof/>
              </w:rPr>
            </w:r>
            <w:r>
              <w:rPr>
                <w:noProof/>
              </w:rPr>
              <w:fldChar w:fldCharType="separate"/>
            </w:r>
            <w:r>
              <w:rPr>
                <w:noProof/>
              </w:rPr>
              <w:t>1</w:t>
            </w:r>
            <w:r>
              <w:rPr>
                <w:noProof/>
              </w:rPr>
              <w:fldChar w:fldCharType="end"/>
            </w:r>
          </w:hyperlink>
        </w:p>
        <w:p w14:paraId="624F606D" w14:textId="77777777" w:rsidR="00C85447" w:rsidRDefault="00C85447">
          <w:pPr>
            <w:pStyle w:val="Verzeichnis2"/>
            <w:tabs>
              <w:tab w:val="right" w:leader="dot" w:pos="9062"/>
            </w:tabs>
            <w:rPr>
              <w:noProof/>
            </w:rPr>
          </w:pPr>
          <w:hyperlink w:anchor="_Toc232151329" w:history="1">
            <w:r w:rsidRPr="00F1249C">
              <w:rPr>
                <w:rStyle w:val="Hyperlink"/>
                <w:noProof/>
              </w:rPr>
              <w:t>1.1 Motivation und Aktualität</w:t>
            </w:r>
            <w:r>
              <w:rPr>
                <w:noProof/>
              </w:rPr>
              <w:tab/>
            </w:r>
            <w:r>
              <w:rPr>
                <w:noProof/>
              </w:rPr>
              <w:fldChar w:fldCharType="begin"/>
            </w:r>
            <w:r>
              <w:rPr>
                <w:noProof/>
              </w:rPr>
              <w:instrText xml:space="preserve"> PAGEREF _Toc232151329 \h </w:instrText>
            </w:r>
            <w:r>
              <w:rPr>
                <w:noProof/>
              </w:rPr>
            </w:r>
            <w:r>
              <w:rPr>
                <w:noProof/>
              </w:rPr>
              <w:fldChar w:fldCharType="separate"/>
            </w:r>
            <w:r>
              <w:rPr>
                <w:noProof/>
              </w:rPr>
              <w:t>1</w:t>
            </w:r>
            <w:r>
              <w:rPr>
                <w:noProof/>
              </w:rPr>
              <w:fldChar w:fldCharType="end"/>
            </w:r>
          </w:hyperlink>
        </w:p>
        <w:p w14:paraId="1A332937" w14:textId="77777777" w:rsidR="00C85447" w:rsidRDefault="00C85447">
          <w:pPr>
            <w:pStyle w:val="Verzeichnis2"/>
            <w:tabs>
              <w:tab w:val="right" w:leader="dot" w:pos="9062"/>
            </w:tabs>
            <w:rPr>
              <w:noProof/>
            </w:rPr>
          </w:pPr>
          <w:hyperlink w:anchor="_Toc232151330" w:history="1">
            <w:r w:rsidRPr="00F1249C">
              <w:rPr>
                <w:rStyle w:val="Hyperlink"/>
                <w:noProof/>
              </w:rPr>
              <w:t>1.2 Problemstellung und Forschungsfragen</w:t>
            </w:r>
            <w:r>
              <w:rPr>
                <w:noProof/>
              </w:rPr>
              <w:tab/>
            </w:r>
            <w:r>
              <w:rPr>
                <w:noProof/>
              </w:rPr>
              <w:fldChar w:fldCharType="begin"/>
            </w:r>
            <w:r>
              <w:rPr>
                <w:noProof/>
              </w:rPr>
              <w:instrText xml:space="preserve"> PAGEREF _Toc232151330 \h </w:instrText>
            </w:r>
            <w:r>
              <w:rPr>
                <w:noProof/>
              </w:rPr>
            </w:r>
            <w:r>
              <w:rPr>
                <w:noProof/>
              </w:rPr>
              <w:fldChar w:fldCharType="separate"/>
            </w:r>
            <w:r>
              <w:rPr>
                <w:noProof/>
              </w:rPr>
              <w:t>1</w:t>
            </w:r>
            <w:r>
              <w:rPr>
                <w:noProof/>
              </w:rPr>
              <w:fldChar w:fldCharType="end"/>
            </w:r>
          </w:hyperlink>
        </w:p>
        <w:p w14:paraId="37C0E0DF" w14:textId="77777777" w:rsidR="00C85447" w:rsidRDefault="00C85447">
          <w:pPr>
            <w:pStyle w:val="Verzeichnis2"/>
            <w:tabs>
              <w:tab w:val="right" w:leader="dot" w:pos="9062"/>
            </w:tabs>
            <w:rPr>
              <w:noProof/>
            </w:rPr>
          </w:pPr>
          <w:hyperlink w:anchor="_Toc232151331" w:history="1">
            <w:r w:rsidRPr="00F1249C">
              <w:rPr>
                <w:rStyle w:val="Hyperlink"/>
                <w:noProof/>
              </w:rPr>
              <w:t>1.3 Zielsetzung und Mehrwert</w:t>
            </w:r>
            <w:r>
              <w:rPr>
                <w:noProof/>
              </w:rPr>
              <w:tab/>
            </w:r>
            <w:r>
              <w:rPr>
                <w:noProof/>
              </w:rPr>
              <w:fldChar w:fldCharType="begin"/>
            </w:r>
            <w:r>
              <w:rPr>
                <w:noProof/>
              </w:rPr>
              <w:instrText xml:space="preserve"> PAGEREF _Toc232151331 \h </w:instrText>
            </w:r>
            <w:r>
              <w:rPr>
                <w:noProof/>
              </w:rPr>
            </w:r>
            <w:r>
              <w:rPr>
                <w:noProof/>
              </w:rPr>
              <w:fldChar w:fldCharType="separate"/>
            </w:r>
            <w:r>
              <w:rPr>
                <w:noProof/>
              </w:rPr>
              <w:t>1</w:t>
            </w:r>
            <w:r>
              <w:rPr>
                <w:noProof/>
              </w:rPr>
              <w:fldChar w:fldCharType="end"/>
            </w:r>
          </w:hyperlink>
        </w:p>
        <w:p w14:paraId="7D7FA632" w14:textId="77777777" w:rsidR="00C85447" w:rsidRDefault="00C85447">
          <w:pPr>
            <w:pStyle w:val="Verzeichnis2"/>
            <w:tabs>
              <w:tab w:val="right" w:leader="dot" w:pos="9062"/>
            </w:tabs>
            <w:rPr>
              <w:noProof/>
            </w:rPr>
          </w:pPr>
          <w:hyperlink w:anchor="_Toc232151332" w:history="1">
            <w:r w:rsidRPr="00F1249C">
              <w:rPr>
                <w:rStyle w:val="Hyperlink"/>
                <w:noProof/>
              </w:rPr>
              <w:t>1.4 Abgrenzung und Untersuchungsrahmen</w:t>
            </w:r>
            <w:r>
              <w:rPr>
                <w:noProof/>
              </w:rPr>
              <w:tab/>
            </w:r>
            <w:r>
              <w:rPr>
                <w:noProof/>
              </w:rPr>
              <w:fldChar w:fldCharType="begin"/>
            </w:r>
            <w:r>
              <w:rPr>
                <w:noProof/>
              </w:rPr>
              <w:instrText xml:space="preserve"> PAGEREF _Toc232151332 \h </w:instrText>
            </w:r>
            <w:r>
              <w:rPr>
                <w:noProof/>
              </w:rPr>
            </w:r>
            <w:r>
              <w:rPr>
                <w:noProof/>
              </w:rPr>
              <w:fldChar w:fldCharType="separate"/>
            </w:r>
            <w:r>
              <w:rPr>
                <w:noProof/>
              </w:rPr>
              <w:t>1</w:t>
            </w:r>
            <w:r>
              <w:rPr>
                <w:noProof/>
              </w:rPr>
              <w:fldChar w:fldCharType="end"/>
            </w:r>
          </w:hyperlink>
        </w:p>
        <w:p w14:paraId="2517CE8B" w14:textId="77777777" w:rsidR="00C85447" w:rsidRDefault="00C85447">
          <w:pPr>
            <w:pStyle w:val="Verzeichnis1"/>
            <w:tabs>
              <w:tab w:val="right" w:leader="dot" w:pos="9062"/>
            </w:tabs>
            <w:rPr>
              <w:noProof/>
            </w:rPr>
          </w:pPr>
          <w:hyperlink w:anchor="_Toc232151333" w:history="1">
            <w:r w:rsidRPr="00F1249C">
              <w:rPr>
                <w:rStyle w:val="Hyperlink"/>
                <w:noProof/>
              </w:rPr>
              <w:t>2. Theoretische Grundlagen und rechtlicher Rahmen</w:t>
            </w:r>
            <w:r>
              <w:rPr>
                <w:noProof/>
              </w:rPr>
              <w:tab/>
            </w:r>
            <w:r>
              <w:rPr>
                <w:noProof/>
              </w:rPr>
              <w:fldChar w:fldCharType="begin"/>
            </w:r>
            <w:r>
              <w:rPr>
                <w:noProof/>
              </w:rPr>
              <w:instrText xml:space="preserve"> PAGEREF _Toc232151333 \h </w:instrText>
            </w:r>
            <w:r>
              <w:rPr>
                <w:noProof/>
              </w:rPr>
            </w:r>
            <w:r>
              <w:rPr>
                <w:noProof/>
              </w:rPr>
              <w:fldChar w:fldCharType="separate"/>
            </w:r>
            <w:r>
              <w:rPr>
                <w:noProof/>
              </w:rPr>
              <w:t>1</w:t>
            </w:r>
            <w:r>
              <w:rPr>
                <w:noProof/>
              </w:rPr>
              <w:fldChar w:fldCharType="end"/>
            </w:r>
          </w:hyperlink>
        </w:p>
        <w:p w14:paraId="1D5B6013" w14:textId="77777777" w:rsidR="00C85447" w:rsidRDefault="00C85447">
          <w:pPr>
            <w:pStyle w:val="Verzeichnis2"/>
            <w:tabs>
              <w:tab w:val="right" w:leader="dot" w:pos="9062"/>
            </w:tabs>
            <w:rPr>
              <w:noProof/>
            </w:rPr>
          </w:pPr>
          <w:hyperlink w:anchor="_Toc232151334" w:history="1">
            <w:r w:rsidRPr="00F1249C">
              <w:rPr>
                <w:rStyle w:val="Hyperlink"/>
                <w:noProof/>
              </w:rPr>
              <w:t>2.1 Der E</w:t>
            </w:r>
            <w:r w:rsidRPr="00F1249C">
              <w:rPr>
                <w:rStyle w:val="Hyperlink"/>
                <w:noProof/>
              </w:rPr>
              <w:t>U</w:t>
            </w:r>
            <w:r w:rsidRPr="00F1249C">
              <w:rPr>
                <w:rStyle w:val="Hyperlink"/>
                <w:noProof/>
              </w:rPr>
              <w:t xml:space="preserve"> Data Act im europäischen Datenrecht</w:t>
            </w:r>
            <w:r>
              <w:rPr>
                <w:noProof/>
              </w:rPr>
              <w:tab/>
            </w:r>
            <w:r>
              <w:rPr>
                <w:noProof/>
              </w:rPr>
              <w:fldChar w:fldCharType="begin"/>
            </w:r>
            <w:r>
              <w:rPr>
                <w:noProof/>
              </w:rPr>
              <w:instrText xml:space="preserve"> PAGEREF _Toc232151334 \h </w:instrText>
            </w:r>
            <w:r>
              <w:rPr>
                <w:noProof/>
              </w:rPr>
            </w:r>
            <w:r>
              <w:rPr>
                <w:noProof/>
              </w:rPr>
              <w:fldChar w:fldCharType="separate"/>
            </w:r>
            <w:r>
              <w:rPr>
                <w:noProof/>
              </w:rPr>
              <w:t>1</w:t>
            </w:r>
            <w:r>
              <w:rPr>
                <w:noProof/>
              </w:rPr>
              <w:fldChar w:fldCharType="end"/>
            </w:r>
          </w:hyperlink>
        </w:p>
        <w:p w14:paraId="55816782" w14:textId="77777777" w:rsidR="00C85447" w:rsidRDefault="00C85447">
          <w:pPr>
            <w:pStyle w:val="Verzeichnis2"/>
            <w:tabs>
              <w:tab w:val="right" w:leader="dot" w:pos="9062"/>
            </w:tabs>
            <w:rPr>
              <w:noProof/>
            </w:rPr>
          </w:pPr>
          <w:hyperlink w:anchor="_Toc232151335" w:history="1">
            <w:r w:rsidRPr="00F1249C">
              <w:rPr>
                <w:rStyle w:val="Hyperlink"/>
                <w:noProof/>
              </w:rPr>
              <w:t>2.2 Rechtlicher Hintergrund zu Datenzugangsrechten (Art. 3–5)</w:t>
            </w:r>
            <w:r>
              <w:rPr>
                <w:noProof/>
              </w:rPr>
              <w:tab/>
            </w:r>
            <w:r>
              <w:rPr>
                <w:noProof/>
              </w:rPr>
              <w:fldChar w:fldCharType="begin"/>
            </w:r>
            <w:r>
              <w:rPr>
                <w:noProof/>
              </w:rPr>
              <w:instrText xml:space="preserve"> PAGEREF _Toc232151335 \h </w:instrText>
            </w:r>
            <w:r>
              <w:rPr>
                <w:noProof/>
              </w:rPr>
            </w:r>
            <w:r>
              <w:rPr>
                <w:noProof/>
              </w:rPr>
              <w:fldChar w:fldCharType="separate"/>
            </w:r>
            <w:r>
              <w:rPr>
                <w:noProof/>
              </w:rPr>
              <w:t>1</w:t>
            </w:r>
            <w:r>
              <w:rPr>
                <w:noProof/>
              </w:rPr>
              <w:fldChar w:fldCharType="end"/>
            </w:r>
          </w:hyperlink>
        </w:p>
        <w:p w14:paraId="606CBF51" w14:textId="77777777" w:rsidR="00C85447" w:rsidRDefault="00C85447">
          <w:pPr>
            <w:pStyle w:val="Verzeichnis2"/>
            <w:tabs>
              <w:tab w:val="right" w:leader="dot" w:pos="9062"/>
            </w:tabs>
            <w:rPr>
              <w:noProof/>
            </w:rPr>
          </w:pPr>
          <w:hyperlink w:anchor="_Toc232151336" w:history="1">
            <w:r w:rsidRPr="00F1249C">
              <w:rPr>
                <w:rStyle w:val="Hyperlink"/>
                <w:noProof/>
              </w:rPr>
              <w:t>2.3 Artikel 3 EU Data Act: Transparenzpflichten vor Vertragsschluss</w:t>
            </w:r>
            <w:r>
              <w:rPr>
                <w:noProof/>
              </w:rPr>
              <w:tab/>
            </w:r>
            <w:r>
              <w:rPr>
                <w:noProof/>
              </w:rPr>
              <w:fldChar w:fldCharType="begin"/>
            </w:r>
            <w:r>
              <w:rPr>
                <w:noProof/>
              </w:rPr>
              <w:instrText xml:space="preserve"> PAGEREF _Toc232151336 \h </w:instrText>
            </w:r>
            <w:r>
              <w:rPr>
                <w:noProof/>
              </w:rPr>
            </w:r>
            <w:r>
              <w:rPr>
                <w:noProof/>
              </w:rPr>
              <w:fldChar w:fldCharType="separate"/>
            </w:r>
            <w:r>
              <w:rPr>
                <w:noProof/>
              </w:rPr>
              <w:t>1</w:t>
            </w:r>
            <w:r>
              <w:rPr>
                <w:noProof/>
              </w:rPr>
              <w:fldChar w:fldCharType="end"/>
            </w:r>
          </w:hyperlink>
        </w:p>
        <w:p w14:paraId="46F45F24" w14:textId="77777777" w:rsidR="00C85447" w:rsidRDefault="00C85447">
          <w:pPr>
            <w:pStyle w:val="Verzeichnis3"/>
            <w:tabs>
              <w:tab w:val="right" w:leader="dot" w:pos="9062"/>
            </w:tabs>
            <w:rPr>
              <w:noProof/>
            </w:rPr>
          </w:pPr>
          <w:hyperlink w:anchor="_Toc232151337" w:history="1">
            <w:r w:rsidRPr="00F1249C">
              <w:rPr>
                <w:rStyle w:val="Hyperlink"/>
                <w:noProof/>
              </w:rPr>
              <w:t>2.3.1 Wortlaut und Zielsetzung von Art. 3 Abs. 1–3</w:t>
            </w:r>
            <w:r>
              <w:rPr>
                <w:noProof/>
              </w:rPr>
              <w:tab/>
            </w:r>
            <w:r>
              <w:rPr>
                <w:noProof/>
              </w:rPr>
              <w:fldChar w:fldCharType="begin"/>
            </w:r>
            <w:r>
              <w:rPr>
                <w:noProof/>
              </w:rPr>
              <w:instrText xml:space="preserve"> PAGEREF _Toc232151337 \h </w:instrText>
            </w:r>
            <w:r>
              <w:rPr>
                <w:noProof/>
              </w:rPr>
            </w:r>
            <w:r>
              <w:rPr>
                <w:noProof/>
              </w:rPr>
              <w:fldChar w:fldCharType="separate"/>
            </w:r>
            <w:r>
              <w:rPr>
                <w:noProof/>
              </w:rPr>
              <w:t>1</w:t>
            </w:r>
            <w:r>
              <w:rPr>
                <w:noProof/>
              </w:rPr>
              <w:fldChar w:fldCharType="end"/>
            </w:r>
          </w:hyperlink>
        </w:p>
        <w:p w14:paraId="27F2C451" w14:textId="77777777" w:rsidR="00C85447" w:rsidRDefault="00C85447">
          <w:pPr>
            <w:pStyle w:val="Verzeichnis3"/>
            <w:tabs>
              <w:tab w:val="right" w:leader="dot" w:pos="9062"/>
            </w:tabs>
            <w:rPr>
              <w:noProof/>
            </w:rPr>
          </w:pPr>
          <w:hyperlink w:anchor="_Toc232151338" w:history="1">
            <w:r w:rsidRPr="00F1249C">
              <w:rPr>
                <w:rStyle w:val="Hyperlink"/>
                <w:noProof/>
              </w:rPr>
              <w:t>2.3.2 Pflicht zur Bereitstellung präkontraktueller Informationen</w:t>
            </w:r>
            <w:r>
              <w:rPr>
                <w:noProof/>
              </w:rPr>
              <w:tab/>
            </w:r>
            <w:r>
              <w:rPr>
                <w:noProof/>
              </w:rPr>
              <w:fldChar w:fldCharType="begin"/>
            </w:r>
            <w:r>
              <w:rPr>
                <w:noProof/>
              </w:rPr>
              <w:instrText xml:space="preserve"> PAGEREF _Toc232151338 \h </w:instrText>
            </w:r>
            <w:r>
              <w:rPr>
                <w:noProof/>
              </w:rPr>
            </w:r>
            <w:r>
              <w:rPr>
                <w:noProof/>
              </w:rPr>
              <w:fldChar w:fldCharType="separate"/>
            </w:r>
            <w:r>
              <w:rPr>
                <w:noProof/>
              </w:rPr>
              <w:t>1</w:t>
            </w:r>
            <w:r>
              <w:rPr>
                <w:noProof/>
              </w:rPr>
              <w:fldChar w:fldCharType="end"/>
            </w:r>
          </w:hyperlink>
        </w:p>
        <w:p w14:paraId="276221E8" w14:textId="77777777" w:rsidR="00C85447" w:rsidRDefault="00C85447">
          <w:pPr>
            <w:pStyle w:val="Verzeichnis3"/>
            <w:tabs>
              <w:tab w:val="right" w:leader="dot" w:pos="9062"/>
            </w:tabs>
            <w:rPr>
              <w:noProof/>
            </w:rPr>
          </w:pPr>
          <w:hyperlink w:anchor="_Toc232151339" w:history="1">
            <w:r w:rsidRPr="00F1249C">
              <w:rPr>
                <w:rStyle w:val="Hyperlink"/>
                <w:noProof/>
              </w:rPr>
              <w:t>2.3.3 Anforderungen an Verständlichkeit, Umfang und Zeitpunkt</w:t>
            </w:r>
            <w:r>
              <w:rPr>
                <w:noProof/>
              </w:rPr>
              <w:tab/>
            </w:r>
            <w:r>
              <w:rPr>
                <w:noProof/>
              </w:rPr>
              <w:fldChar w:fldCharType="begin"/>
            </w:r>
            <w:r>
              <w:rPr>
                <w:noProof/>
              </w:rPr>
              <w:instrText xml:space="preserve"> PAGEREF _Toc232151339 \h </w:instrText>
            </w:r>
            <w:r>
              <w:rPr>
                <w:noProof/>
              </w:rPr>
            </w:r>
            <w:r>
              <w:rPr>
                <w:noProof/>
              </w:rPr>
              <w:fldChar w:fldCharType="separate"/>
            </w:r>
            <w:r>
              <w:rPr>
                <w:noProof/>
              </w:rPr>
              <w:t>1</w:t>
            </w:r>
            <w:r>
              <w:rPr>
                <w:noProof/>
              </w:rPr>
              <w:fldChar w:fldCharType="end"/>
            </w:r>
          </w:hyperlink>
        </w:p>
        <w:p w14:paraId="7ABB89E2" w14:textId="77777777" w:rsidR="00C85447" w:rsidRDefault="00C85447">
          <w:pPr>
            <w:pStyle w:val="Verzeichnis2"/>
            <w:tabs>
              <w:tab w:val="right" w:leader="dot" w:pos="9062"/>
            </w:tabs>
            <w:rPr>
              <w:noProof/>
            </w:rPr>
          </w:pPr>
          <w:hyperlink w:anchor="_Toc232151340" w:history="1">
            <w:r w:rsidRPr="00F1249C">
              <w:rPr>
                <w:rStyle w:val="Hyperlink"/>
                <w:noProof/>
              </w:rPr>
              <w:t>2.4 Zwischenfazit: Rechtlicher Soll-Zustand und Compliance-Kriterien</w:t>
            </w:r>
            <w:r>
              <w:rPr>
                <w:noProof/>
              </w:rPr>
              <w:tab/>
            </w:r>
            <w:r>
              <w:rPr>
                <w:noProof/>
              </w:rPr>
              <w:fldChar w:fldCharType="begin"/>
            </w:r>
            <w:r>
              <w:rPr>
                <w:noProof/>
              </w:rPr>
              <w:instrText xml:space="preserve"> PAGEREF _Toc232151340 \h </w:instrText>
            </w:r>
            <w:r>
              <w:rPr>
                <w:noProof/>
              </w:rPr>
            </w:r>
            <w:r>
              <w:rPr>
                <w:noProof/>
              </w:rPr>
              <w:fldChar w:fldCharType="separate"/>
            </w:r>
            <w:r>
              <w:rPr>
                <w:noProof/>
              </w:rPr>
              <w:t>1</w:t>
            </w:r>
            <w:r>
              <w:rPr>
                <w:noProof/>
              </w:rPr>
              <w:fldChar w:fldCharType="end"/>
            </w:r>
          </w:hyperlink>
        </w:p>
        <w:p w14:paraId="07A5A3AF" w14:textId="77777777" w:rsidR="00C85447" w:rsidRDefault="00C85447">
          <w:pPr>
            <w:pStyle w:val="Verzeichnis1"/>
            <w:tabs>
              <w:tab w:val="right" w:leader="dot" w:pos="9062"/>
            </w:tabs>
            <w:rPr>
              <w:noProof/>
            </w:rPr>
          </w:pPr>
          <w:hyperlink w:anchor="_Toc232151341" w:history="1">
            <w:r w:rsidRPr="00F1249C">
              <w:rPr>
                <w:rStyle w:val="Hyperlink"/>
                <w:noProof/>
              </w:rPr>
              <w:t>3. Methodik der empirischen Untersuchung</w:t>
            </w:r>
            <w:r>
              <w:rPr>
                <w:noProof/>
              </w:rPr>
              <w:tab/>
            </w:r>
            <w:r>
              <w:rPr>
                <w:noProof/>
              </w:rPr>
              <w:fldChar w:fldCharType="begin"/>
            </w:r>
            <w:r>
              <w:rPr>
                <w:noProof/>
              </w:rPr>
              <w:instrText xml:space="preserve"> PAGEREF _Toc232151341 \h </w:instrText>
            </w:r>
            <w:r>
              <w:rPr>
                <w:noProof/>
              </w:rPr>
            </w:r>
            <w:r>
              <w:rPr>
                <w:noProof/>
              </w:rPr>
              <w:fldChar w:fldCharType="separate"/>
            </w:r>
            <w:r>
              <w:rPr>
                <w:noProof/>
              </w:rPr>
              <w:t>1</w:t>
            </w:r>
            <w:r>
              <w:rPr>
                <w:noProof/>
              </w:rPr>
              <w:fldChar w:fldCharType="end"/>
            </w:r>
          </w:hyperlink>
        </w:p>
        <w:p w14:paraId="7885185C" w14:textId="77777777" w:rsidR="00C85447" w:rsidRDefault="00C85447">
          <w:pPr>
            <w:pStyle w:val="Verzeichnis2"/>
            <w:tabs>
              <w:tab w:val="right" w:leader="dot" w:pos="9062"/>
            </w:tabs>
            <w:rPr>
              <w:noProof/>
            </w:rPr>
          </w:pPr>
          <w:hyperlink w:anchor="_Toc232151342" w:history="1">
            <w:r w:rsidRPr="00F1249C">
              <w:rPr>
                <w:rStyle w:val="Hyperlink"/>
                <w:noProof/>
              </w:rPr>
              <w:t>3.1 Auswahl der Untersuchungsobjekte</w:t>
            </w:r>
            <w:r>
              <w:rPr>
                <w:noProof/>
              </w:rPr>
              <w:tab/>
            </w:r>
            <w:r>
              <w:rPr>
                <w:noProof/>
              </w:rPr>
              <w:fldChar w:fldCharType="begin"/>
            </w:r>
            <w:r>
              <w:rPr>
                <w:noProof/>
              </w:rPr>
              <w:instrText xml:space="preserve"> PAGEREF _Toc232151342 \h </w:instrText>
            </w:r>
            <w:r>
              <w:rPr>
                <w:noProof/>
              </w:rPr>
            </w:r>
            <w:r>
              <w:rPr>
                <w:noProof/>
              </w:rPr>
              <w:fldChar w:fldCharType="separate"/>
            </w:r>
            <w:r>
              <w:rPr>
                <w:noProof/>
              </w:rPr>
              <w:t>1</w:t>
            </w:r>
            <w:r>
              <w:rPr>
                <w:noProof/>
              </w:rPr>
              <w:fldChar w:fldCharType="end"/>
            </w:r>
          </w:hyperlink>
        </w:p>
        <w:p w14:paraId="25046C92" w14:textId="77777777" w:rsidR="00C85447" w:rsidRDefault="00C85447">
          <w:pPr>
            <w:pStyle w:val="Verzeichnis2"/>
            <w:tabs>
              <w:tab w:val="right" w:leader="dot" w:pos="9062"/>
            </w:tabs>
            <w:rPr>
              <w:noProof/>
            </w:rPr>
          </w:pPr>
          <w:hyperlink w:anchor="_Toc232151343" w:history="1">
            <w:r w:rsidRPr="00F1249C">
              <w:rPr>
                <w:rStyle w:val="Hyperlink"/>
                <w:noProof/>
              </w:rPr>
              <w:t>3.2 Datenerhebungsmethoden</w:t>
            </w:r>
            <w:r>
              <w:rPr>
                <w:noProof/>
              </w:rPr>
              <w:tab/>
            </w:r>
            <w:r>
              <w:rPr>
                <w:noProof/>
              </w:rPr>
              <w:fldChar w:fldCharType="begin"/>
            </w:r>
            <w:r>
              <w:rPr>
                <w:noProof/>
              </w:rPr>
              <w:instrText xml:space="preserve"> PAGEREF _Toc232151343 \h </w:instrText>
            </w:r>
            <w:r>
              <w:rPr>
                <w:noProof/>
              </w:rPr>
            </w:r>
            <w:r>
              <w:rPr>
                <w:noProof/>
              </w:rPr>
              <w:fldChar w:fldCharType="separate"/>
            </w:r>
            <w:r>
              <w:rPr>
                <w:noProof/>
              </w:rPr>
              <w:t>1</w:t>
            </w:r>
            <w:r>
              <w:rPr>
                <w:noProof/>
              </w:rPr>
              <w:fldChar w:fldCharType="end"/>
            </w:r>
          </w:hyperlink>
        </w:p>
        <w:p w14:paraId="35C5ED23" w14:textId="77777777" w:rsidR="00C85447" w:rsidRDefault="00C85447">
          <w:pPr>
            <w:pStyle w:val="Verzeichnis2"/>
            <w:tabs>
              <w:tab w:val="right" w:leader="dot" w:pos="9062"/>
            </w:tabs>
            <w:rPr>
              <w:noProof/>
            </w:rPr>
          </w:pPr>
          <w:hyperlink w:anchor="_Toc232151344" w:history="1">
            <w:r w:rsidRPr="00F1249C">
              <w:rPr>
                <w:rStyle w:val="Hyperlink"/>
                <w:noProof/>
              </w:rPr>
              <w:t>3.3 Entwicklung des Compliance-Analyse-Rasters</w:t>
            </w:r>
            <w:r>
              <w:rPr>
                <w:noProof/>
              </w:rPr>
              <w:tab/>
            </w:r>
            <w:r>
              <w:rPr>
                <w:noProof/>
              </w:rPr>
              <w:fldChar w:fldCharType="begin"/>
            </w:r>
            <w:r>
              <w:rPr>
                <w:noProof/>
              </w:rPr>
              <w:instrText xml:space="preserve"> PAGEREF _Toc232151344 \h </w:instrText>
            </w:r>
            <w:r>
              <w:rPr>
                <w:noProof/>
              </w:rPr>
            </w:r>
            <w:r>
              <w:rPr>
                <w:noProof/>
              </w:rPr>
              <w:fldChar w:fldCharType="separate"/>
            </w:r>
            <w:r>
              <w:rPr>
                <w:noProof/>
              </w:rPr>
              <w:t>1</w:t>
            </w:r>
            <w:r>
              <w:rPr>
                <w:noProof/>
              </w:rPr>
              <w:fldChar w:fldCharType="end"/>
            </w:r>
          </w:hyperlink>
        </w:p>
        <w:p w14:paraId="0527383A" w14:textId="77777777" w:rsidR="00C85447" w:rsidRDefault="00C85447">
          <w:pPr>
            <w:pStyle w:val="Verzeichnis2"/>
            <w:tabs>
              <w:tab w:val="right" w:leader="dot" w:pos="9062"/>
            </w:tabs>
            <w:rPr>
              <w:noProof/>
            </w:rPr>
          </w:pPr>
          <w:hyperlink w:anchor="_Toc232151345" w:history="1">
            <w:r w:rsidRPr="00F1249C">
              <w:rPr>
                <w:rStyle w:val="Hyperlink"/>
                <w:noProof/>
              </w:rPr>
              <w:t>3.4 Durchführung und Auswertung</w:t>
            </w:r>
            <w:r>
              <w:rPr>
                <w:noProof/>
              </w:rPr>
              <w:tab/>
            </w:r>
            <w:r>
              <w:rPr>
                <w:noProof/>
              </w:rPr>
              <w:fldChar w:fldCharType="begin"/>
            </w:r>
            <w:r>
              <w:rPr>
                <w:noProof/>
              </w:rPr>
              <w:instrText xml:space="preserve"> PAGEREF _Toc232151345 \h </w:instrText>
            </w:r>
            <w:r>
              <w:rPr>
                <w:noProof/>
              </w:rPr>
            </w:r>
            <w:r>
              <w:rPr>
                <w:noProof/>
              </w:rPr>
              <w:fldChar w:fldCharType="separate"/>
            </w:r>
            <w:r>
              <w:rPr>
                <w:noProof/>
              </w:rPr>
              <w:t>1</w:t>
            </w:r>
            <w:r>
              <w:rPr>
                <w:noProof/>
              </w:rPr>
              <w:fldChar w:fldCharType="end"/>
            </w:r>
          </w:hyperlink>
        </w:p>
        <w:p w14:paraId="4CA4BABF" w14:textId="77777777" w:rsidR="00C85447" w:rsidRDefault="00C85447">
          <w:pPr>
            <w:pStyle w:val="Verzeichnis1"/>
            <w:tabs>
              <w:tab w:val="right" w:leader="dot" w:pos="9062"/>
            </w:tabs>
            <w:rPr>
              <w:noProof/>
            </w:rPr>
          </w:pPr>
          <w:hyperlink w:anchor="_Toc232151346" w:history="1">
            <w:r w:rsidRPr="00F1249C">
              <w:rPr>
                <w:rStyle w:val="Hyperlink"/>
                <w:noProof/>
              </w:rPr>
              <w:t>4. Empirische Analyse: Umsetzung des Art. 3 in der Praxis</w:t>
            </w:r>
            <w:r>
              <w:rPr>
                <w:noProof/>
              </w:rPr>
              <w:tab/>
            </w:r>
            <w:r>
              <w:rPr>
                <w:noProof/>
              </w:rPr>
              <w:fldChar w:fldCharType="begin"/>
            </w:r>
            <w:r>
              <w:rPr>
                <w:noProof/>
              </w:rPr>
              <w:instrText xml:space="preserve"> PAGEREF _Toc232151346 \h </w:instrText>
            </w:r>
            <w:r>
              <w:rPr>
                <w:noProof/>
              </w:rPr>
            </w:r>
            <w:r>
              <w:rPr>
                <w:noProof/>
              </w:rPr>
              <w:fldChar w:fldCharType="separate"/>
            </w:r>
            <w:r>
              <w:rPr>
                <w:noProof/>
              </w:rPr>
              <w:t>1</w:t>
            </w:r>
            <w:r>
              <w:rPr>
                <w:noProof/>
              </w:rPr>
              <w:fldChar w:fldCharType="end"/>
            </w:r>
          </w:hyperlink>
        </w:p>
        <w:p w14:paraId="669D1BA2" w14:textId="77777777" w:rsidR="00C85447" w:rsidRDefault="00C85447">
          <w:pPr>
            <w:pStyle w:val="Verzeichnis2"/>
            <w:tabs>
              <w:tab w:val="right" w:leader="dot" w:pos="9062"/>
            </w:tabs>
            <w:rPr>
              <w:noProof/>
            </w:rPr>
          </w:pPr>
          <w:hyperlink w:anchor="_Toc232151347" w:history="1">
            <w:r w:rsidRPr="00F1249C">
              <w:rPr>
                <w:rStyle w:val="Hyperlink"/>
                <w:noProof/>
              </w:rPr>
              <w:t>4.1 Analyse der rechtlichen Transparenz-Compliance (Dokumentenebene)</w:t>
            </w:r>
            <w:r>
              <w:rPr>
                <w:noProof/>
              </w:rPr>
              <w:tab/>
            </w:r>
            <w:r>
              <w:rPr>
                <w:noProof/>
              </w:rPr>
              <w:fldChar w:fldCharType="begin"/>
            </w:r>
            <w:r>
              <w:rPr>
                <w:noProof/>
              </w:rPr>
              <w:instrText xml:space="preserve"> PAGEREF _Toc232151347 \h </w:instrText>
            </w:r>
            <w:r>
              <w:rPr>
                <w:noProof/>
              </w:rPr>
            </w:r>
            <w:r>
              <w:rPr>
                <w:noProof/>
              </w:rPr>
              <w:fldChar w:fldCharType="separate"/>
            </w:r>
            <w:r>
              <w:rPr>
                <w:noProof/>
              </w:rPr>
              <w:t>1</w:t>
            </w:r>
            <w:r>
              <w:rPr>
                <w:noProof/>
              </w:rPr>
              <w:fldChar w:fldCharType="end"/>
            </w:r>
          </w:hyperlink>
        </w:p>
        <w:p w14:paraId="343A056C" w14:textId="77777777" w:rsidR="00C85447" w:rsidRDefault="00C85447">
          <w:pPr>
            <w:pStyle w:val="Verzeichnis3"/>
            <w:tabs>
              <w:tab w:val="right" w:leader="dot" w:pos="9062"/>
            </w:tabs>
            <w:rPr>
              <w:noProof/>
            </w:rPr>
          </w:pPr>
          <w:hyperlink w:anchor="_Toc232151348" w:history="1">
            <w:r w:rsidRPr="00F1249C">
              <w:rPr>
                <w:rStyle w:val="Hyperlink"/>
                <w:noProof/>
              </w:rPr>
              <w:t>4.1.1 Bosch Smart Home – Alarmsystem (Deutschland)</w:t>
            </w:r>
            <w:r>
              <w:rPr>
                <w:noProof/>
              </w:rPr>
              <w:tab/>
            </w:r>
            <w:r>
              <w:rPr>
                <w:noProof/>
              </w:rPr>
              <w:fldChar w:fldCharType="begin"/>
            </w:r>
            <w:r>
              <w:rPr>
                <w:noProof/>
              </w:rPr>
              <w:instrText xml:space="preserve"> PAGEREF _Toc232151348 \h </w:instrText>
            </w:r>
            <w:r>
              <w:rPr>
                <w:noProof/>
              </w:rPr>
            </w:r>
            <w:r>
              <w:rPr>
                <w:noProof/>
              </w:rPr>
              <w:fldChar w:fldCharType="separate"/>
            </w:r>
            <w:r>
              <w:rPr>
                <w:noProof/>
              </w:rPr>
              <w:t>1</w:t>
            </w:r>
            <w:r>
              <w:rPr>
                <w:noProof/>
              </w:rPr>
              <w:fldChar w:fldCharType="end"/>
            </w:r>
          </w:hyperlink>
        </w:p>
        <w:p w14:paraId="30EEC578" w14:textId="77777777" w:rsidR="00C85447" w:rsidRDefault="00C85447">
          <w:pPr>
            <w:pStyle w:val="Verzeichnis3"/>
            <w:tabs>
              <w:tab w:val="right" w:leader="dot" w:pos="9062"/>
            </w:tabs>
            <w:rPr>
              <w:noProof/>
            </w:rPr>
          </w:pPr>
          <w:hyperlink w:anchor="_Toc232151349" w:history="1">
            <w:r w:rsidRPr="00F1249C">
              <w:rPr>
                <w:rStyle w:val="Hyperlink"/>
                <w:noProof/>
              </w:rPr>
              <w:t>4.1.2 Philips Hue – 2K Secure Kamera (Niederlande)</w:t>
            </w:r>
            <w:r>
              <w:rPr>
                <w:noProof/>
              </w:rPr>
              <w:tab/>
            </w:r>
            <w:r>
              <w:rPr>
                <w:noProof/>
              </w:rPr>
              <w:fldChar w:fldCharType="begin"/>
            </w:r>
            <w:r>
              <w:rPr>
                <w:noProof/>
              </w:rPr>
              <w:instrText xml:space="preserve"> PAGEREF _Toc232151349 \h </w:instrText>
            </w:r>
            <w:r>
              <w:rPr>
                <w:noProof/>
              </w:rPr>
            </w:r>
            <w:r>
              <w:rPr>
                <w:noProof/>
              </w:rPr>
              <w:fldChar w:fldCharType="separate"/>
            </w:r>
            <w:r>
              <w:rPr>
                <w:noProof/>
              </w:rPr>
              <w:t>1</w:t>
            </w:r>
            <w:r>
              <w:rPr>
                <w:noProof/>
              </w:rPr>
              <w:fldChar w:fldCharType="end"/>
            </w:r>
          </w:hyperlink>
        </w:p>
        <w:p w14:paraId="531A6023" w14:textId="77777777" w:rsidR="00C85447" w:rsidRDefault="00C85447">
          <w:pPr>
            <w:pStyle w:val="Verzeichnis3"/>
            <w:tabs>
              <w:tab w:val="right" w:leader="dot" w:pos="9062"/>
            </w:tabs>
            <w:rPr>
              <w:noProof/>
            </w:rPr>
          </w:pPr>
          <w:hyperlink w:anchor="_Toc232151350" w:history="1">
            <w:r w:rsidRPr="00F1249C">
              <w:rPr>
                <w:rStyle w:val="Hyperlink"/>
                <w:noProof/>
              </w:rPr>
              <w:t>4.1.3 Somfy – Box TaHoma® switch (Frankreich)</w:t>
            </w:r>
            <w:r>
              <w:rPr>
                <w:noProof/>
              </w:rPr>
              <w:tab/>
            </w:r>
            <w:r>
              <w:rPr>
                <w:noProof/>
              </w:rPr>
              <w:fldChar w:fldCharType="begin"/>
            </w:r>
            <w:r>
              <w:rPr>
                <w:noProof/>
              </w:rPr>
              <w:instrText xml:space="preserve"> PAGEREF _Toc232151350 \h </w:instrText>
            </w:r>
            <w:r>
              <w:rPr>
                <w:noProof/>
              </w:rPr>
            </w:r>
            <w:r>
              <w:rPr>
                <w:noProof/>
              </w:rPr>
              <w:fldChar w:fldCharType="separate"/>
            </w:r>
            <w:r>
              <w:rPr>
                <w:noProof/>
              </w:rPr>
              <w:t>1</w:t>
            </w:r>
            <w:r>
              <w:rPr>
                <w:noProof/>
              </w:rPr>
              <w:fldChar w:fldCharType="end"/>
            </w:r>
          </w:hyperlink>
        </w:p>
        <w:p w14:paraId="35E70CDC" w14:textId="77777777" w:rsidR="00C85447" w:rsidRDefault="00C85447">
          <w:pPr>
            <w:pStyle w:val="Verzeichnis3"/>
            <w:tabs>
              <w:tab w:val="right" w:leader="dot" w:pos="9062"/>
            </w:tabs>
            <w:rPr>
              <w:noProof/>
            </w:rPr>
          </w:pPr>
          <w:hyperlink w:anchor="_Toc232151351" w:history="1">
            <w:r w:rsidRPr="00F1249C">
              <w:rPr>
                <w:rStyle w:val="Hyperlink"/>
                <w:noProof/>
              </w:rPr>
              <w:t>4.1.4 Gewiss – Home Gateway Chorusmart (Italien)</w:t>
            </w:r>
            <w:r>
              <w:rPr>
                <w:noProof/>
              </w:rPr>
              <w:tab/>
            </w:r>
            <w:r>
              <w:rPr>
                <w:noProof/>
              </w:rPr>
              <w:fldChar w:fldCharType="begin"/>
            </w:r>
            <w:r>
              <w:rPr>
                <w:noProof/>
              </w:rPr>
              <w:instrText xml:space="preserve"> PAGEREF _Toc232151351 \h </w:instrText>
            </w:r>
            <w:r>
              <w:rPr>
                <w:noProof/>
              </w:rPr>
            </w:r>
            <w:r>
              <w:rPr>
                <w:noProof/>
              </w:rPr>
              <w:fldChar w:fldCharType="separate"/>
            </w:r>
            <w:r>
              <w:rPr>
                <w:noProof/>
              </w:rPr>
              <w:t>1</w:t>
            </w:r>
            <w:r>
              <w:rPr>
                <w:noProof/>
              </w:rPr>
              <w:fldChar w:fldCharType="end"/>
            </w:r>
          </w:hyperlink>
        </w:p>
        <w:p w14:paraId="7BE52E35" w14:textId="77777777" w:rsidR="00C85447" w:rsidRDefault="00C85447">
          <w:pPr>
            <w:pStyle w:val="Verzeichnis2"/>
            <w:tabs>
              <w:tab w:val="right" w:leader="dot" w:pos="9062"/>
            </w:tabs>
            <w:rPr>
              <w:noProof/>
            </w:rPr>
          </w:pPr>
          <w:hyperlink w:anchor="_Toc232151352" w:history="1">
            <w:r w:rsidRPr="00F1249C">
              <w:rPr>
                <w:rStyle w:val="Hyperlink"/>
                <w:noProof/>
              </w:rPr>
              <w:t>4.2 Analyse der technischen Bereitstellungspflichten (Art. 3 Abs. 1)</w:t>
            </w:r>
            <w:r>
              <w:rPr>
                <w:noProof/>
              </w:rPr>
              <w:tab/>
            </w:r>
            <w:r>
              <w:rPr>
                <w:noProof/>
              </w:rPr>
              <w:fldChar w:fldCharType="begin"/>
            </w:r>
            <w:r>
              <w:rPr>
                <w:noProof/>
              </w:rPr>
              <w:instrText xml:space="preserve"> PAGEREF _Toc232151352 \h </w:instrText>
            </w:r>
            <w:r>
              <w:rPr>
                <w:noProof/>
              </w:rPr>
            </w:r>
            <w:r>
              <w:rPr>
                <w:noProof/>
              </w:rPr>
              <w:fldChar w:fldCharType="separate"/>
            </w:r>
            <w:r>
              <w:rPr>
                <w:noProof/>
              </w:rPr>
              <w:t>1</w:t>
            </w:r>
            <w:r>
              <w:rPr>
                <w:noProof/>
              </w:rPr>
              <w:fldChar w:fldCharType="end"/>
            </w:r>
          </w:hyperlink>
        </w:p>
        <w:p w14:paraId="222AA2BD" w14:textId="77777777" w:rsidR="00C85447" w:rsidRDefault="00C85447">
          <w:pPr>
            <w:pStyle w:val="Verzeichnis2"/>
            <w:tabs>
              <w:tab w:val="right" w:leader="dot" w:pos="9062"/>
            </w:tabs>
            <w:rPr>
              <w:noProof/>
            </w:rPr>
          </w:pPr>
          <w:hyperlink w:anchor="_Toc232151353" w:history="1">
            <w:r w:rsidRPr="00F1249C">
              <w:rPr>
                <w:rStyle w:val="Hyperlink"/>
                <w:noProof/>
              </w:rPr>
              <w:t>4.3 Usability- und Nutzerperspektive</w:t>
            </w:r>
            <w:r>
              <w:rPr>
                <w:noProof/>
              </w:rPr>
              <w:tab/>
            </w:r>
            <w:r>
              <w:rPr>
                <w:noProof/>
              </w:rPr>
              <w:fldChar w:fldCharType="begin"/>
            </w:r>
            <w:r>
              <w:rPr>
                <w:noProof/>
              </w:rPr>
              <w:instrText xml:space="preserve"> PAGEREF _Toc232151353 \h </w:instrText>
            </w:r>
            <w:r>
              <w:rPr>
                <w:noProof/>
              </w:rPr>
            </w:r>
            <w:r>
              <w:rPr>
                <w:noProof/>
              </w:rPr>
              <w:fldChar w:fldCharType="separate"/>
            </w:r>
            <w:r>
              <w:rPr>
                <w:noProof/>
              </w:rPr>
              <w:t>1</w:t>
            </w:r>
            <w:r>
              <w:rPr>
                <w:noProof/>
              </w:rPr>
              <w:fldChar w:fldCharType="end"/>
            </w:r>
          </w:hyperlink>
        </w:p>
        <w:p w14:paraId="58B1ED52" w14:textId="77777777" w:rsidR="00C85447" w:rsidRDefault="00C85447">
          <w:pPr>
            <w:pStyle w:val="Verzeichnis2"/>
            <w:tabs>
              <w:tab w:val="right" w:leader="dot" w:pos="9062"/>
            </w:tabs>
            <w:rPr>
              <w:noProof/>
            </w:rPr>
          </w:pPr>
          <w:hyperlink w:anchor="_Toc232151354" w:history="1">
            <w:r w:rsidRPr="00F1249C">
              <w:rPr>
                <w:rStyle w:val="Hyperlink"/>
                <w:noProof/>
              </w:rPr>
              <w:t>4.4 Vergleich und Musterbildung</w:t>
            </w:r>
            <w:r>
              <w:rPr>
                <w:noProof/>
              </w:rPr>
              <w:tab/>
            </w:r>
            <w:r>
              <w:rPr>
                <w:noProof/>
              </w:rPr>
              <w:fldChar w:fldCharType="begin"/>
            </w:r>
            <w:r>
              <w:rPr>
                <w:noProof/>
              </w:rPr>
              <w:instrText xml:space="preserve"> PAGEREF _Toc232151354 \h </w:instrText>
            </w:r>
            <w:r>
              <w:rPr>
                <w:noProof/>
              </w:rPr>
            </w:r>
            <w:r>
              <w:rPr>
                <w:noProof/>
              </w:rPr>
              <w:fldChar w:fldCharType="separate"/>
            </w:r>
            <w:r>
              <w:rPr>
                <w:noProof/>
              </w:rPr>
              <w:t>1</w:t>
            </w:r>
            <w:r>
              <w:rPr>
                <w:noProof/>
              </w:rPr>
              <w:fldChar w:fldCharType="end"/>
            </w:r>
          </w:hyperlink>
        </w:p>
        <w:p w14:paraId="3CEA59A0" w14:textId="77777777" w:rsidR="00C85447" w:rsidRDefault="00C85447">
          <w:pPr>
            <w:pStyle w:val="Verzeichnis1"/>
            <w:tabs>
              <w:tab w:val="right" w:leader="dot" w:pos="9062"/>
            </w:tabs>
            <w:rPr>
              <w:noProof/>
            </w:rPr>
          </w:pPr>
          <w:hyperlink w:anchor="_Toc232151355" w:history="1">
            <w:r w:rsidRPr="00F1249C">
              <w:rPr>
                <w:rStyle w:val="Hyperlink"/>
                <w:noProof/>
              </w:rPr>
              <w:t>5. Diskussion und Fazit</w:t>
            </w:r>
            <w:r>
              <w:rPr>
                <w:noProof/>
              </w:rPr>
              <w:tab/>
            </w:r>
            <w:r>
              <w:rPr>
                <w:noProof/>
              </w:rPr>
              <w:fldChar w:fldCharType="begin"/>
            </w:r>
            <w:r>
              <w:rPr>
                <w:noProof/>
              </w:rPr>
              <w:instrText xml:space="preserve"> PAGEREF _Toc232151355 \h </w:instrText>
            </w:r>
            <w:r>
              <w:rPr>
                <w:noProof/>
              </w:rPr>
            </w:r>
            <w:r>
              <w:rPr>
                <w:noProof/>
              </w:rPr>
              <w:fldChar w:fldCharType="separate"/>
            </w:r>
            <w:r>
              <w:rPr>
                <w:noProof/>
              </w:rPr>
              <w:t>1</w:t>
            </w:r>
            <w:r>
              <w:rPr>
                <w:noProof/>
              </w:rPr>
              <w:fldChar w:fldCharType="end"/>
            </w:r>
          </w:hyperlink>
        </w:p>
        <w:p w14:paraId="057D2C1D" w14:textId="77777777" w:rsidR="00C85447" w:rsidRDefault="00C85447">
          <w:pPr>
            <w:pStyle w:val="Verzeichnis2"/>
            <w:tabs>
              <w:tab w:val="right" w:leader="dot" w:pos="9062"/>
            </w:tabs>
            <w:rPr>
              <w:noProof/>
            </w:rPr>
          </w:pPr>
          <w:hyperlink w:anchor="_Toc232151356" w:history="1">
            <w:r w:rsidRPr="00F1249C">
              <w:rPr>
                <w:rStyle w:val="Hyperlink"/>
                <w:noProof/>
              </w:rPr>
              <w:t>5.1 Diskussion der Diskrepanz zwischen Soll- und Ist-Zustand</w:t>
            </w:r>
            <w:r>
              <w:rPr>
                <w:noProof/>
              </w:rPr>
              <w:tab/>
            </w:r>
            <w:r>
              <w:rPr>
                <w:noProof/>
              </w:rPr>
              <w:fldChar w:fldCharType="begin"/>
            </w:r>
            <w:r>
              <w:rPr>
                <w:noProof/>
              </w:rPr>
              <w:instrText xml:space="preserve"> PAGEREF _Toc232151356 \h </w:instrText>
            </w:r>
            <w:r>
              <w:rPr>
                <w:noProof/>
              </w:rPr>
            </w:r>
            <w:r>
              <w:rPr>
                <w:noProof/>
              </w:rPr>
              <w:fldChar w:fldCharType="separate"/>
            </w:r>
            <w:r>
              <w:rPr>
                <w:noProof/>
              </w:rPr>
              <w:t>1</w:t>
            </w:r>
            <w:r>
              <w:rPr>
                <w:noProof/>
              </w:rPr>
              <w:fldChar w:fldCharType="end"/>
            </w:r>
          </w:hyperlink>
        </w:p>
        <w:p w14:paraId="2E1217F9" w14:textId="77777777" w:rsidR="00C85447" w:rsidRDefault="00C85447">
          <w:pPr>
            <w:pStyle w:val="Verzeichnis2"/>
            <w:tabs>
              <w:tab w:val="right" w:leader="dot" w:pos="9062"/>
            </w:tabs>
            <w:rPr>
              <w:noProof/>
            </w:rPr>
          </w:pPr>
          <w:hyperlink w:anchor="_Toc232151357" w:history="1">
            <w:r w:rsidRPr="00F1249C">
              <w:rPr>
                <w:rStyle w:val="Hyperlink"/>
                <w:noProof/>
              </w:rPr>
              <w:t>5.2 Beantwortung der Forschungsfragen</w:t>
            </w:r>
            <w:r>
              <w:rPr>
                <w:noProof/>
              </w:rPr>
              <w:tab/>
            </w:r>
            <w:r>
              <w:rPr>
                <w:noProof/>
              </w:rPr>
              <w:fldChar w:fldCharType="begin"/>
            </w:r>
            <w:r>
              <w:rPr>
                <w:noProof/>
              </w:rPr>
              <w:instrText xml:space="preserve"> PAGEREF _Toc232151357 \h </w:instrText>
            </w:r>
            <w:r>
              <w:rPr>
                <w:noProof/>
              </w:rPr>
            </w:r>
            <w:r>
              <w:rPr>
                <w:noProof/>
              </w:rPr>
              <w:fldChar w:fldCharType="separate"/>
            </w:r>
            <w:r>
              <w:rPr>
                <w:noProof/>
              </w:rPr>
              <w:t>1</w:t>
            </w:r>
            <w:r>
              <w:rPr>
                <w:noProof/>
              </w:rPr>
              <w:fldChar w:fldCharType="end"/>
            </w:r>
          </w:hyperlink>
        </w:p>
        <w:p w14:paraId="072E7138" w14:textId="77777777" w:rsidR="00C85447" w:rsidRDefault="00C85447">
          <w:pPr>
            <w:pStyle w:val="Verzeichnis2"/>
            <w:tabs>
              <w:tab w:val="right" w:leader="dot" w:pos="9062"/>
            </w:tabs>
            <w:rPr>
              <w:noProof/>
            </w:rPr>
          </w:pPr>
          <w:hyperlink w:anchor="_Toc232151358" w:history="1">
            <w:r w:rsidRPr="00F1249C">
              <w:rPr>
                <w:rStyle w:val="Hyperlink"/>
                <w:noProof/>
              </w:rPr>
              <w:t>5.3 Ausblick und Handlungsempfehlungen</w:t>
            </w:r>
            <w:r>
              <w:rPr>
                <w:noProof/>
              </w:rPr>
              <w:tab/>
            </w:r>
            <w:r>
              <w:rPr>
                <w:noProof/>
              </w:rPr>
              <w:fldChar w:fldCharType="begin"/>
            </w:r>
            <w:r>
              <w:rPr>
                <w:noProof/>
              </w:rPr>
              <w:instrText xml:space="preserve"> PAGEREF _Toc232151358 \h </w:instrText>
            </w:r>
            <w:r>
              <w:rPr>
                <w:noProof/>
              </w:rPr>
            </w:r>
            <w:r>
              <w:rPr>
                <w:noProof/>
              </w:rPr>
              <w:fldChar w:fldCharType="separate"/>
            </w:r>
            <w:r>
              <w:rPr>
                <w:noProof/>
              </w:rPr>
              <w:t>1</w:t>
            </w:r>
            <w:r>
              <w:rPr>
                <w:noProof/>
              </w:rPr>
              <w:fldChar w:fldCharType="end"/>
            </w:r>
          </w:hyperlink>
        </w:p>
        <w:p w14:paraId="1BBA28F1" w14:textId="77777777" w:rsidR="00C85447" w:rsidRDefault="00C85447">
          <w:pPr>
            <w:pStyle w:val="Verzeichnis1"/>
            <w:tabs>
              <w:tab w:val="right" w:leader="dot" w:pos="9062"/>
            </w:tabs>
            <w:rPr>
              <w:noProof/>
            </w:rPr>
          </w:pPr>
          <w:hyperlink w:anchor="_Toc232151359" w:history="1">
            <w:r w:rsidRPr="00F1249C">
              <w:rPr>
                <w:rStyle w:val="Hyperlink"/>
                <w:noProof/>
              </w:rPr>
              <w:t>6. Literaturverzeichnis</w:t>
            </w:r>
            <w:r>
              <w:rPr>
                <w:noProof/>
              </w:rPr>
              <w:tab/>
            </w:r>
            <w:r>
              <w:rPr>
                <w:noProof/>
              </w:rPr>
              <w:fldChar w:fldCharType="begin"/>
            </w:r>
            <w:r>
              <w:rPr>
                <w:noProof/>
              </w:rPr>
              <w:instrText xml:space="preserve"> PAGEREF _Toc232151359 \h </w:instrText>
            </w:r>
            <w:r>
              <w:rPr>
                <w:noProof/>
              </w:rPr>
            </w:r>
            <w:r>
              <w:rPr>
                <w:noProof/>
              </w:rPr>
              <w:fldChar w:fldCharType="separate"/>
            </w:r>
            <w:r>
              <w:rPr>
                <w:noProof/>
              </w:rPr>
              <w:t>1</w:t>
            </w:r>
            <w:r>
              <w:rPr>
                <w:noProof/>
              </w:rPr>
              <w:fldChar w:fldCharType="end"/>
            </w:r>
          </w:hyperlink>
        </w:p>
        <w:p w14:paraId="4FC176D9" w14:textId="77777777" w:rsidR="00C85447" w:rsidRDefault="00C85447">
          <w:pPr>
            <w:pStyle w:val="Verzeichnis2"/>
            <w:tabs>
              <w:tab w:val="right" w:leader="dot" w:pos="9062"/>
            </w:tabs>
            <w:rPr>
              <w:noProof/>
            </w:rPr>
          </w:pPr>
          <w:hyperlink w:anchor="_Toc232151360" w:history="1">
            <w:r w:rsidRPr="00F1249C">
              <w:rPr>
                <w:rStyle w:val="Hyperlink"/>
                <w:noProof/>
              </w:rPr>
              <w:t>6.1 Rechtsquellen und amtliche Dokumente</w:t>
            </w:r>
            <w:r>
              <w:rPr>
                <w:noProof/>
              </w:rPr>
              <w:tab/>
            </w:r>
            <w:r>
              <w:rPr>
                <w:noProof/>
              </w:rPr>
              <w:fldChar w:fldCharType="begin"/>
            </w:r>
            <w:r>
              <w:rPr>
                <w:noProof/>
              </w:rPr>
              <w:instrText xml:space="preserve"> PAGEREF _Toc232151360 \h </w:instrText>
            </w:r>
            <w:r>
              <w:rPr>
                <w:noProof/>
              </w:rPr>
            </w:r>
            <w:r>
              <w:rPr>
                <w:noProof/>
              </w:rPr>
              <w:fldChar w:fldCharType="separate"/>
            </w:r>
            <w:r>
              <w:rPr>
                <w:noProof/>
              </w:rPr>
              <w:t>1</w:t>
            </w:r>
            <w:r>
              <w:rPr>
                <w:noProof/>
              </w:rPr>
              <w:fldChar w:fldCharType="end"/>
            </w:r>
          </w:hyperlink>
        </w:p>
        <w:p w14:paraId="4BF93FBE" w14:textId="77777777" w:rsidR="00C85447" w:rsidRDefault="00C85447">
          <w:pPr>
            <w:pStyle w:val="Verzeichnis2"/>
            <w:tabs>
              <w:tab w:val="right" w:leader="dot" w:pos="9062"/>
            </w:tabs>
            <w:rPr>
              <w:noProof/>
            </w:rPr>
          </w:pPr>
          <w:hyperlink w:anchor="_Toc232151361" w:history="1">
            <w:r w:rsidRPr="00F1249C">
              <w:rPr>
                <w:rStyle w:val="Hyperlink"/>
                <w:noProof/>
              </w:rPr>
              <w:t>6.2 Rechtsprechung</w:t>
            </w:r>
            <w:r>
              <w:rPr>
                <w:noProof/>
              </w:rPr>
              <w:tab/>
            </w:r>
            <w:r>
              <w:rPr>
                <w:noProof/>
              </w:rPr>
              <w:fldChar w:fldCharType="begin"/>
            </w:r>
            <w:r>
              <w:rPr>
                <w:noProof/>
              </w:rPr>
              <w:instrText xml:space="preserve"> PAGEREF _Toc232151361 \h </w:instrText>
            </w:r>
            <w:r>
              <w:rPr>
                <w:noProof/>
              </w:rPr>
            </w:r>
            <w:r>
              <w:rPr>
                <w:noProof/>
              </w:rPr>
              <w:fldChar w:fldCharType="separate"/>
            </w:r>
            <w:r>
              <w:rPr>
                <w:noProof/>
              </w:rPr>
              <w:t>1</w:t>
            </w:r>
            <w:r>
              <w:rPr>
                <w:noProof/>
              </w:rPr>
              <w:fldChar w:fldCharType="end"/>
            </w:r>
          </w:hyperlink>
        </w:p>
        <w:p w14:paraId="340F3EDB" w14:textId="77777777" w:rsidR="00C85447" w:rsidRDefault="00C85447">
          <w:pPr>
            <w:pStyle w:val="Verzeichnis2"/>
            <w:tabs>
              <w:tab w:val="right" w:leader="dot" w:pos="9062"/>
            </w:tabs>
            <w:rPr>
              <w:noProof/>
            </w:rPr>
          </w:pPr>
          <w:hyperlink w:anchor="_Toc232151362" w:history="1">
            <w:r w:rsidRPr="00F1249C">
              <w:rPr>
                <w:rStyle w:val="Hyperlink"/>
                <w:noProof/>
              </w:rPr>
              <w:t>6.3 Fachliteratur</w:t>
            </w:r>
            <w:r>
              <w:rPr>
                <w:noProof/>
              </w:rPr>
              <w:tab/>
            </w:r>
            <w:r>
              <w:rPr>
                <w:noProof/>
              </w:rPr>
              <w:fldChar w:fldCharType="begin"/>
            </w:r>
            <w:r>
              <w:rPr>
                <w:noProof/>
              </w:rPr>
              <w:instrText xml:space="preserve"> PAGEREF _Toc232151362 \h </w:instrText>
            </w:r>
            <w:r>
              <w:rPr>
                <w:noProof/>
              </w:rPr>
            </w:r>
            <w:r>
              <w:rPr>
                <w:noProof/>
              </w:rPr>
              <w:fldChar w:fldCharType="separate"/>
            </w:r>
            <w:r>
              <w:rPr>
                <w:noProof/>
              </w:rPr>
              <w:t>1</w:t>
            </w:r>
            <w:r>
              <w:rPr>
                <w:noProof/>
              </w:rPr>
              <w:fldChar w:fldCharType="end"/>
            </w:r>
          </w:hyperlink>
        </w:p>
        <w:p w14:paraId="47EB2170" w14:textId="77777777" w:rsidR="00C85447" w:rsidRDefault="00C85447">
          <w:pPr>
            <w:pStyle w:val="Verzeichnis2"/>
            <w:tabs>
              <w:tab w:val="right" w:leader="dot" w:pos="9062"/>
            </w:tabs>
            <w:rPr>
              <w:noProof/>
            </w:rPr>
          </w:pPr>
          <w:hyperlink w:anchor="_Toc232151363" w:history="1">
            <w:r w:rsidRPr="00F1249C">
              <w:rPr>
                <w:rStyle w:val="Hyperlink"/>
                <w:noProof/>
              </w:rPr>
              <w:t>6.4 Untersuchte Primärdokumente der Anbieter (Stand Oktober 2025)</w:t>
            </w:r>
            <w:r>
              <w:rPr>
                <w:noProof/>
              </w:rPr>
              <w:tab/>
            </w:r>
            <w:r>
              <w:rPr>
                <w:noProof/>
              </w:rPr>
              <w:fldChar w:fldCharType="begin"/>
            </w:r>
            <w:r>
              <w:rPr>
                <w:noProof/>
              </w:rPr>
              <w:instrText xml:space="preserve"> PAGEREF _Toc232151363 \h </w:instrText>
            </w:r>
            <w:r>
              <w:rPr>
                <w:noProof/>
              </w:rPr>
            </w:r>
            <w:r>
              <w:rPr>
                <w:noProof/>
              </w:rPr>
              <w:fldChar w:fldCharType="separate"/>
            </w:r>
            <w:r>
              <w:rPr>
                <w:noProof/>
              </w:rPr>
              <w:t>1</w:t>
            </w:r>
            <w:r>
              <w:rPr>
                <w:noProof/>
              </w:rPr>
              <w:fldChar w:fldCharType="end"/>
            </w:r>
          </w:hyperlink>
        </w:p>
        <w:p w14:paraId="226EA346" w14:textId="77777777" w:rsidR="00C85447" w:rsidRDefault="00C85447">
          <w:pPr>
            <w:pStyle w:val="Verzeichnis1"/>
            <w:tabs>
              <w:tab w:val="right" w:leader="dot" w:pos="9062"/>
            </w:tabs>
            <w:rPr>
              <w:noProof/>
            </w:rPr>
          </w:pPr>
          <w:hyperlink w:anchor="_Toc232151364" w:history="1">
            <w:r w:rsidRPr="00F1249C">
              <w:rPr>
                <w:rStyle w:val="Hyperlink"/>
                <w:noProof/>
              </w:rPr>
              <w:t>7. Anhang</w:t>
            </w:r>
            <w:r>
              <w:rPr>
                <w:noProof/>
              </w:rPr>
              <w:tab/>
            </w:r>
            <w:r>
              <w:rPr>
                <w:noProof/>
              </w:rPr>
              <w:fldChar w:fldCharType="begin"/>
            </w:r>
            <w:r>
              <w:rPr>
                <w:noProof/>
              </w:rPr>
              <w:instrText xml:space="preserve"> PAGEREF _Toc232151364 \h </w:instrText>
            </w:r>
            <w:r>
              <w:rPr>
                <w:noProof/>
              </w:rPr>
            </w:r>
            <w:r>
              <w:rPr>
                <w:noProof/>
              </w:rPr>
              <w:fldChar w:fldCharType="separate"/>
            </w:r>
            <w:r>
              <w:rPr>
                <w:noProof/>
              </w:rPr>
              <w:t>1</w:t>
            </w:r>
            <w:r>
              <w:rPr>
                <w:noProof/>
              </w:rPr>
              <w:fldChar w:fldCharType="end"/>
            </w:r>
          </w:hyperlink>
        </w:p>
        <w:p w14:paraId="097A8941" w14:textId="77777777" w:rsidR="00C85447" w:rsidRDefault="00C85447">
          <w:pPr>
            <w:pStyle w:val="Verzeichnis2"/>
            <w:tabs>
              <w:tab w:val="right" w:leader="dot" w:pos="9062"/>
            </w:tabs>
            <w:rPr>
              <w:noProof/>
            </w:rPr>
          </w:pPr>
          <w:hyperlink w:anchor="_Toc232151365" w:history="1">
            <w:r w:rsidRPr="00F1249C">
              <w:rPr>
                <w:rStyle w:val="Hyperlink"/>
                <w:noProof/>
              </w:rPr>
              <w:t>Anhang A – Belegdokumentation</w:t>
            </w:r>
            <w:r>
              <w:rPr>
                <w:noProof/>
              </w:rPr>
              <w:tab/>
            </w:r>
            <w:r>
              <w:rPr>
                <w:noProof/>
              </w:rPr>
              <w:fldChar w:fldCharType="begin"/>
            </w:r>
            <w:r>
              <w:rPr>
                <w:noProof/>
              </w:rPr>
              <w:instrText xml:space="preserve"> PAGEREF _Toc232151365 \h </w:instrText>
            </w:r>
            <w:r>
              <w:rPr>
                <w:noProof/>
              </w:rPr>
            </w:r>
            <w:r>
              <w:rPr>
                <w:noProof/>
              </w:rPr>
              <w:fldChar w:fldCharType="separate"/>
            </w:r>
            <w:r>
              <w:rPr>
                <w:noProof/>
              </w:rPr>
              <w:t>1</w:t>
            </w:r>
            <w:r>
              <w:rPr>
                <w:noProof/>
              </w:rPr>
              <w:fldChar w:fldCharType="end"/>
            </w:r>
          </w:hyperlink>
        </w:p>
        <w:p w14:paraId="3CF02767" w14:textId="77777777" w:rsidR="003E5E7F" w:rsidRDefault="00000000">
          <w:r>
            <w:fldChar w:fldCharType="end"/>
          </w:r>
        </w:p>
      </w:sdtContent>
    </w:sdt>
    <w:p w14:paraId="64247B60" w14:textId="77777777" w:rsidR="003E5E7F" w:rsidRDefault="003E5E7F">
      <w:pPr>
        <w:pageBreakBefore/>
      </w:pPr>
    </w:p>
    <w:p w14:paraId="669DED5C" w14:textId="38B5356A" w:rsidR="003E5E7F" w:rsidRDefault="00000000">
      <w:pPr>
        <w:pStyle w:val="berschrift1"/>
      </w:pPr>
      <w:bookmarkStart w:id="1" w:name="_Toc232151327"/>
      <w:r>
        <w:t>Abstract</w:t>
      </w:r>
      <w:bookmarkEnd w:id="1"/>
    </w:p>
    <w:p w14:paraId="0837965D" w14:textId="77777777" w:rsidR="00C01674" w:rsidRDefault="00C01674">
      <w:pPr>
        <w:pStyle w:val="berschrift1"/>
      </w:pPr>
    </w:p>
    <w:p w14:paraId="53A7DA4E" w14:textId="77777777" w:rsidR="003E5E7F" w:rsidRDefault="00000000">
      <w:pPr>
        <w:spacing w:after="140" w:line="276" w:lineRule="auto"/>
      </w:pPr>
      <w:r>
        <w:t>Die vorliegende Arbeit untersucht, inwieweit ausgewählte Anbieter vernetzter Produkte und verbundener Dienste die Transparenz- und Bereitstellungspflichten des EU Data Act</w:t>
      </w:r>
      <w:r>
        <w:rPr>
          <w:rStyle w:val="Funotenzeichen"/>
        </w:rPr>
        <w:footnoteReference w:id="1"/>
      </w:r>
      <w:r>
        <w:t xml:space="preserve"> nach Art. 3 umsetzen. Im Zentrum stehen (i) vorvertragliche Informationspflichten (Art. 3 Abs. 2 und 3) sowie (ii) die technische „Access </w:t>
      </w:r>
      <w:proofErr w:type="spellStart"/>
      <w:r>
        <w:t>by</w:t>
      </w:r>
      <w:proofErr w:type="spellEnd"/>
      <w:r>
        <w:t xml:space="preserve"> Design“-Pflicht (Art. 3 Abs. 1). Auf Basis einer juristischen Auslegung wird ein mehrdimensionales Compliance-Raster entwickelt und auf vier Anbieter (Bosch Smart Home, Philips Hue, Somfy, Gewiss) angewandt. Die Ergebnisse zeigen ein Zwei-Klassen-Muster: Bosch und Philips Hue stellen Data-Act-spezifische, strukturierte Informationen bereit und bieten maschinenlesbare Zugangswege; Somfy und </w:t>
      </w:r>
      <w:proofErr w:type="gramStart"/>
      <w:r>
        <w:t>Gewiss</w:t>
      </w:r>
      <w:proofErr w:type="gramEnd"/>
      <w:r>
        <w:t xml:space="preserve"> stützen sich überwiegend auf DSGVO-orientierte Datenschutzhinweise und weisen Lücken insbesondere bei maschinenlesbaren Exporten/APIs und bei Data-Act-spezifischer Vorvertrags-Transparenz auf.</w:t>
      </w:r>
    </w:p>
    <w:p w14:paraId="696ED426" w14:textId="77777777" w:rsidR="003E5E7F" w:rsidRDefault="00000000">
      <w:pPr>
        <w:spacing w:after="140" w:line="276" w:lineRule="auto"/>
      </w:pPr>
      <w:r>
        <w:rPr>
          <w:b/>
          <w:bCs/>
        </w:rPr>
        <w:t xml:space="preserve">Schlagwörter: </w:t>
      </w:r>
      <w:r>
        <w:t>EU Data Act, Art. 3, IoT, Smart Home, Transparenz, Datenzugang, Compliance, API, Usability</w:t>
      </w:r>
    </w:p>
    <w:p w14:paraId="5BCDB2A2" w14:textId="77777777" w:rsidR="003E5E7F" w:rsidRDefault="003E5E7F">
      <w:pPr>
        <w:pageBreakBefore/>
      </w:pPr>
    </w:p>
    <w:p w14:paraId="4FB4D4DF" w14:textId="1BEF01D8" w:rsidR="00C01674" w:rsidRDefault="00000000" w:rsidP="00C01674">
      <w:pPr>
        <w:pStyle w:val="berschrift1"/>
        <w:numPr>
          <w:ilvl w:val="0"/>
          <w:numId w:val="4"/>
        </w:numPr>
      </w:pPr>
      <w:bookmarkStart w:id="2" w:name="_Toc232151328"/>
      <w:r>
        <w:t>Einleitung</w:t>
      </w:r>
      <w:bookmarkEnd w:id="2"/>
    </w:p>
    <w:p w14:paraId="1032A236" w14:textId="77777777" w:rsidR="00C01674" w:rsidRDefault="00000000" w:rsidP="00C01674">
      <w:pPr>
        <w:spacing w:after="140" w:line="276" w:lineRule="auto"/>
        <w:rPr>
          <w:color w:val="000000"/>
        </w:rPr>
      </w:pPr>
      <w:r>
        <w:t xml:space="preserve">Die zunehmende Verbreitung vernetzter Produkte und Dienstleistungen verändert digitale Geschäftsmodelle grundlegend. In IoT-Ökosystemen entstehen große Datenmengen über Funktionsweise, Umgebung und Nutzungsverhalten. </w:t>
      </w:r>
      <w:r w:rsidR="00C01674">
        <w:rPr>
          <w:color w:val="000000"/>
        </w:rPr>
        <w:t>Diese Datenströme sind heute eine strategische Ressource, sowohl für Innovationen (vorausschauende Wartung, Energieoptimierung, Mehrwertdienste) als auch für die Wettbewerbsfähigkeit der Wirtschaftsakteure.</w:t>
      </w:r>
      <w:r w:rsidR="00C01674">
        <w:rPr>
          <w:color w:val="000000"/>
        </w:rPr>
        <w:t xml:space="preserve"> </w:t>
      </w:r>
      <w:bookmarkStart w:id="3" w:name="_Toc232151330"/>
      <w:r w:rsidR="00C01674" w:rsidRPr="00C01674">
        <w:rPr>
          <w:color w:val="000000"/>
        </w:rPr>
        <w:t>In der Praxis wird diese Ressource jedoch nach wie vor weitgehend von den Herstellern und Dienstleistern kontrolliert, zum Nachteil der Nutzer, die sie eigentlich generieren.</w:t>
      </w:r>
    </w:p>
    <w:p w14:paraId="7A7EC67A" w14:textId="3CCF8EDC" w:rsidR="00C01674" w:rsidRPr="00C01674" w:rsidRDefault="00C01674" w:rsidP="00C01674">
      <w:pPr>
        <w:spacing w:before="240" w:after="240"/>
        <w:rPr>
          <w:rFonts w:ascii="Times New Roman" w:eastAsia="Times New Roman" w:hAnsi="Times New Roman" w:cs="Times New Roman"/>
          <w:color w:val="000000"/>
          <w:sz w:val="24"/>
          <w:szCs w:val="24"/>
        </w:rPr>
      </w:pPr>
      <w:r w:rsidRPr="00C01674">
        <w:rPr>
          <w:rFonts w:eastAsia="Times New Roman"/>
          <w:color w:val="000000"/>
        </w:rPr>
        <w:t>Genau dieses strukturelle Ungleichgewicht soll mit der Verordnung (EU) 2023/2854 über Daten (Data Act) beseitigt werden. Als zentraler Pfeiler der europäischen Datenstrategie zielt diese Verordnung darauf ab, einen harmonisierten Rahmen für den Zugang zu Daten, deren Nutzung und Weitergabe zu schaffen und dabei die Asymmetrien in der Informationsmacht zwischen Daten Inhabern und -nutzern zu begrenzen. Im Mittelpunkt dieser Regelung stehen die in Artikel 3 eingeführten spezifischen Verpflichtungen für Hersteller vernetzter Produkte, Verkäufer, Vermieter oder Leasinggeber sowie Anbieter damit verbundener</w:t>
      </w:r>
      <w:r>
        <w:rPr>
          <w:rFonts w:eastAsia="Times New Roman"/>
          <w:color w:val="000000"/>
        </w:rPr>
        <w:t xml:space="preserve"> </w:t>
      </w:r>
      <w:r w:rsidRPr="00C01674">
        <w:rPr>
          <w:rFonts w:eastAsia="Times New Roman"/>
          <w:color w:val="000000"/>
        </w:rPr>
        <w:t>Dienstleistungen. Einerseits schreibt er vor, dass Produkte und Dienstleistungen so konzipiert sein müssen, dass sie „standardmäßig” einen einfachen, sicheren und kostenlosen Zugang zu den generierten Daten ermöglichen. Andererseits verschärft er die vorvertraglichen Transparenzpflichten, indem er verlangt, dass die Nutzer vor Vertragsabschluss klar und deutlich über die Arten der generierten Daten, die Modalitäten ihrer Speicherung, Nutzung und Weitergabe sowie die Möglichkeiten des Zugriffs darauf informiert werden.</w:t>
      </w:r>
    </w:p>
    <w:p w14:paraId="6C913A0B" w14:textId="5609F20A" w:rsidR="00C01674" w:rsidRPr="00C01674" w:rsidRDefault="00C01674" w:rsidP="00C01674">
      <w:pPr>
        <w:spacing w:before="240" w:after="240"/>
        <w:rPr>
          <w:rFonts w:ascii="Times New Roman" w:eastAsia="Times New Roman" w:hAnsi="Times New Roman" w:cs="Times New Roman"/>
          <w:color w:val="000000"/>
          <w:sz w:val="24"/>
          <w:szCs w:val="24"/>
        </w:rPr>
      </w:pPr>
      <w:r w:rsidRPr="00C01674">
        <w:rPr>
          <w:rFonts w:eastAsia="Times New Roman"/>
          <w:color w:val="000000"/>
        </w:rPr>
        <w:t xml:space="preserve">Trotz dieses ehrgeizigen Rechtsrahmens bestehen weiterhin Unsicherheiten hinsichtlich der konkreten Umsetzung dieser Anforderungen in IoT-Ökosystemen. Verfügen die Nutzer in der Praxis tatsächlich über klare, vollständige und verständliche Informationen über die von ihren vernetzten Geräten generierten Datenströme? Spiegeln die angebotenen technischen Schnittstellen (Anwendungen, Portale, APIs) tatsächlich das im Data Act festgelegte Prinzip des „Access </w:t>
      </w:r>
      <w:proofErr w:type="spellStart"/>
      <w:r w:rsidRPr="00C01674">
        <w:rPr>
          <w:rFonts w:eastAsia="Times New Roman"/>
          <w:color w:val="000000"/>
        </w:rPr>
        <w:t>by</w:t>
      </w:r>
      <w:proofErr w:type="spellEnd"/>
      <w:r w:rsidRPr="00C01674">
        <w:rPr>
          <w:rFonts w:eastAsia="Times New Roman"/>
          <w:color w:val="000000"/>
        </w:rPr>
        <w:t xml:space="preserve"> Design” </w:t>
      </w:r>
      <w:proofErr w:type="gramStart"/>
      <w:r w:rsidRPr="00C01674">
        <w:rPr>
          <w:rFonts w:eastAsia="Times New Roman"/>
          <w:color w:val="000000"/>
        </w:rPr>
        <w:t>wider</w:t>
      </w:r>
      <w:proofErr w:type="gramEnd"/>
      <w:r w:rsidRPr="00C01674">
        <w:rPr>
          <w:rFonts w:eastAsia="Times New Roman"/>
          <w:color w:val="000000"/>
        </w:rPr>
        <w:t>? Oder bestehen weiterhin rechtliche und technische Hindernisse, die die wirksame Ausübung der den Nutzern zuerkannten Rechte einschränken und eine starke Konzentration der „Datenmacht” in den Händen der Hersteller aufrechterhalten?</w:t>
      </w:r>
    </w:p>
    <w:p w14:paraId="7250A0F5" w14:textId="619504DB" w:rsidR="00C01674" w:rsidRDefault="00C01674" w:rsidP="00C01674">
      <w:pPr>
        <w:spacing w:before="240" w:after="240"/>
        <w:rPr>
          <w:rFonts w:eastAsia="Times New Roman"/>
          <w:color w:val="000000"/>
        </w:rPr>
      </w:pPr>
      <w:r w:rsidRPr="00C01674">
        <w:rPr>
          <w:rFonts w:eastAsia="Times New Roman"/>
          <w:color w:val="000000"/>
        </w:rPr>
        <w:t>Diese Fragen sollen in der vorliegenden Studie beantwortet werden. Die zentrale Forschungsfrage lässt sich wie folgt formulieren:</w:t>
      </w:r>
    </w:p>
    <w:p w14:paraId="59AAA5D3" w14:textId="3FFC6B1C" w:rsidR="00C01674" w:rsidRPr="00C01674" w:rsidRDefault="00C01674" w:rsidP="00C01674">
      <w:pPr>
        <w:spacing w:before="240" w:after="240"/>
        <w:rPr>
          <w:rFonts w:ascii="Times New Roman" w:eastAsia="Times New Roman" w:hAnsi="Times New Roman" w:cs="Times New Roman"/>
          <w:color w:val="000000"/>
          <w:sz w:val="24"/>
          <w:szCs w:val="24"/>
        </w:rPr>
      </w:pPr>
      <w:r>
        <w:rPr>
          <w:color w:val="000000"/>
        </w:rPr>
        <w:t>Inwieweit setzen die Inhaber von Daten aus IoT-Produkten und -Dienstleistungen die in Artikel 3 des Data Act vorgesehenen Verpflichtungen zur Transparenz und zur Bereitstellung von Daten tatsächlich um, insbesondere in der vorvertraglichen Phase?</w:t>
      </w:r>
    </w:p>
    <w:p w14:paraId="4826009A" w14:textId="0421DF58" w:rsidR="00C01674" w:rsidRPr="00C01674" w:rsidRDefault="00C01674" w:rsidP="00C01674">
      <w:pPr>
        <w:spacing w:before="240" w:after="240"/>
        <w:rPr>
          <w:rFonts w:ascii="Times New Roman" w:eastAsia="Times New Roman" w:hAnsi="Times New Roman" w:cs="Times New Roman"/>
          <w:color w:val="000000"/>
          <w:sz w:val="24"/>
          <w:szCs w:val="24"/>
        </w:rPr>
      </w:pPr>
      <w:bookmarkStart w:id="4" w:name="_Toc232151331"/>
      <w:bookmarkEnd w:id="3"/>
      <w:r w:rsidRPr="00C01674">
        <w:rPr>
          <w:rFonts w:eastAsia="Times New Roman"/>
          <w:color w:val="000000"/>
        </w:rPr>
        <w:t>Um diese Frage zu beantworten, verfolgt die Arbeit ein doppeltes Ziel. Auf rechtlicher Ebene geht es zunächst darum, den „Soll-Zustand”, d. h. den Rechtszustand, wie er sich aus Artikel 3 des Data Act ergibt: Es muss ermittelt werden, wer zu welchen Informationspflichten verpflichtet ist, in welchem Umfang, nach welchen Form- und Inhaltsanforderungen und wie diese Pflichten mit anderen europäischen Instrumenten (insbesondere der DSGVO) zusammenhängen. Auf empirisch-technischer Ebene geht es dann darum, die aktuelle Praxis bestimmter Akteure der IoT-Ökosysteme zu beobachten und zu analysieren, indem sowohl die Vertragsdokumente als auch die den Nutzern zur Verfügung gestellten technischen Schnittstellen untersucht werden.</w:t>
      </w:r>
    </w:p>
    <w:p w14:paraId="74F2011D" w14:textId="77777777" w:rsidR="00C01674" w:rsidRPr="00C01674" w:rsidRDefault="00C01674" w:rsidP="00C01674">
      <w:pPr>
        <w:spacing w:before="240" w:after="240"/>
        <w:rPr>
          <w:rFonts w:ascii="Times New Roman" w:eastAsia="Times New Roman" w:hAnsi="Times New Roman" w:cs="Times New Roman"/>
          <w:color w:val="000000"/>
          <w:sz w:val="24"/>
          <w:szCs w:val="24"/>
        </w:rPr>
      </w:pPr>
      <w:r w:rsidRPr="00C01674">
        <w:rPr>
          <w:rFonts w:eastAsia="Times New Roman"/>
          <w:color w:val="000000"/>
        </w:rPr>
        <w:lastRenderedPageBreak/>
        <w:t>Zu diesem Zweck verfolgt die Arbeit einen zweigleisigen Ansatz. In einem ersten Schritt werden anhand einer detaillierten rechtlichen Analyse von Artikel 3 des Data Act eine Reihe von normativen Kriterien abgeleitet, die als Referenz dienen. In einem zweiten Schritt werden diese Kriterien in einem Konformitätsraster (Bewertungsraster) übersetzt, der auf konkrete Fälle von vernetzten Produkten und Dienstleistungen angewendet wird. Dieser kombinierte Ansatz soll es ermöglichen, die Diskrepanz zwischen Recht und Praxis aufzuzeigen, die wichtigsten Umsetzungsdefizite und Hindernisse für die Nutzer zu identifizieren, aber auch bewährte Verfahren herauszuarbeiten und Empfehlungen für Hersteller, Dienstleister und ganz allgemein für Entwickler von IoT-Ökosystemen zu formulieren.</w:t>
      </w:r>
    </w:p>
    <w:p w14:paraId="5C3FBCD7" w14:textId="0CC17ECD" w:rsidR="00C01674" w:rsidRPr="00C01674" w:rsidRDefault="00C01674" w:rsidP="00C01674">
      <w:pPr>
        <w:spacing w:before="240" w:after="240"/>
        <w:rPr>
          <w:rFonts w:ascii="Times New Roman" w:eastAsia="Times New Roman" w:hAnsi="Times New Roman" w:cs="Times New Roman"/>
          <w:color w:val="000000"/>
          <w:sz w:val="24"/>
          <w:szCs w:val="24"/>
        </w:rPr>
      </w:pPr>
      <w:r w:rsidRPr="00C01674">
        <w:rPr>
          <w:rFonts w:eastAsia="Times New Roman"/>
          <w:color w:val="000000"/>
        </w:rPr>
        <w:t>Die Studie konzentriert sich bewusst auf Artikel 3 des Data Act, insbesondere auf die vorvertraglichen Transparenzpflichten und die auf den Datenzugang ausgerichtete Gestaltung. Die übrigen Bestimmungen der Verordnung sowie die damit verbundenen europäischen Instrumente werden nur zum Zwecke der Kontextualisierung herangezogen, um den Umfang und die Grenzen des analysierten Rahmens zu verdeutlichen. Diese Abgrenzung ermöglicht es, den Forschungsbereich klar zu definieren und eine eingehende Analyse eines zentralen Knotenpunkts der europäischen Datenregulierung in IoT-Umgebungen vorzuschlagen.</w:t>
      </w:r>
    </w:p>
    <w:bookmarkEnd w:id="4"/>
    <w:p w14:paraId="181EDBA2" w14:textId="77777777" w:rsidR="003E5E7F" w:rsidRDefault="003E5E7F">
      <w:pPr>
        <w:pageBreakBefore/>
      </w:pPr>
    </w:p>
    <w:p w14:paraId="72DC9E28" w14:textId="040526AB" w:rsidR="003E5E7F" w:rsidRDefault="00000000" w:rsidP="00C01674">
      <w:pPr>
        <w:pStyle w:val="berschrift1"/>
        <w:numPr>
          <w:ilvl w:val="0"/>
          <w:numId w:val="4"/>
        </w:numPr>
      </w:pPr>
      <w:bookmarkStart w:id="5" w:name="_Toc232151333"/>
      <w:r>
        <w:t>Theoretische Grundlagen und rechtlicher Rahmen</w:t>
      </w:r>
      <w:bookmarkEnd w:id="5"/>
    </w:p>
    <w:p w14:paraId="461ACA8C" w14:textId="77777777" w:rsidR="00C01674" w:rsidRPr="00C01674" w:rsidRDefault="00C01674" w:rsidP="00C01674">
      <w:pPr>
        <w:spacing w:before="100" w:beforeAutospacing="1" w:after="100" w:afterAutospacing="1"/>
        <w:rPr>
          <w:rFonts w:eastAsia="Times New Roman"/>
          <w:color w:val="000000"/>
        </w:rPr>
      </w:pPr>
      <w:bookmarkStart w:id="6" w:name="_Toc232151334"/>
      <w:r w:rsidRPr="00C01674">
        <w:rPr>
          <w:rFonts w:eastAsia="Times New Roman"/>
          <w:color w:val="000000"/>
        </w:rPr>
        <w:t>Am Ende dieses Kapitels sollte der Leser in der Lage sein, die empirische Analyse zu verstehen. Er sollte wissen, was der EU Data Act ist, welche Ziele damit verfolgt werden und welche Erwartungen an Unternehmen formuliert sind.</w:t>
      </w:r>
    </w:p>
    <w:p w14:paraId="0AA212A7" w14:textId="6A404562" w:rsidR="00C01674" w:rsidRPr="00C01674" w:rsidRDefault="00C01674" w:rsidP="00C01674">
      <w:pPr>
        <w:spacing w:before="100" w:beforeAutospacing="1" w:after="100" w:afterAutospacing="1"/>
        <w:rPr>
          <w:rFonts w:eastAsia="Times New Roman"/>
          <w:color w:val="000000"/>
        </w:rPr>
      </w:pPr>
      <w:r w:rsidRPr="00C01674">
        <w:rPr>
          <w:rFonts w:eastAsia="Times New Roman"/>
          <w:color w:val="000000"/>
        </w:rPr>
        <w:t>Die vorliegende Untersuchung fokussiert sich auf die Einordnung des EU Data Act in das europäische Datenrecht, seine juristische Bedeutung sowie die daraus resultierenden Anforderungen an Unternehmen. Auf diese rechtlichen Anforderungen wird im empirischen Teil der Arbeit Bezug genommen.</w:t>
      </w:r>
    </w:p>
    <w:p w14:paraId="14AC493D" w14:textId="77777777" w:rsidR="003E5E7F" w:rsidRDefault="00000000">
      <w:pPr>
        <w:pStyle w:val="berschrift2"/>
      </w:pPr>
      <w:r>
        <w:t>2.1 Der EU Data Act im europäischen Datenrecht</w:t>
      </w:r>
      <w:bookmarkEnd w:id="6"/>
    </w:p>
    <w:p w14:paraId="176901EC" w14:textId="77777777" w:rsidR="00C01674" w:rsidRDefault="00C01674" w:rsidP="00C01674">
      <w:pPr>
        <w:pStyle w:val="StandardWeb"/>
        <w:rPr>
          <w:color w:val="000000"/>
        </w:rPr>
      </w:pPr>
      <w:bookmarkStart w:id="7" w:name="_Toc232151335"/>
      <w:r>
        <w:rPr>
          <w:rFonts w:ascii="Arial" w:hAnsi="Arial" w:cs="Arial"/>
          <w:color w:val="000000"/>
          <w:sz w:val="22"/>
          <w:szCs w:val="22"/>
        </w:rPr>
        <w:t xml:space="preserve">Die europäische Datenstrategie ist eine politische Leitinitiative der Europäischen Kommission aus dem Jahr 2020. Sie soll einen einheitlichen europäischen Datenraum (Common European Data Spaces) und einen wettbewerbsfähigen, wertebasierten Daten-Binnenmarkt </w:t>
      </w:r>
      <w:hyperlink r:id="rId7" w:history="1">
        <w:r>
          <w:rPr>
            <w:rStyle w:val="Hyperlink"/>
            <w:rFonts w:ascii="Arial" w:hAnsi="Arial" w:cs="Arial"/>
            <w:color w:val="000000"/>
            <w:sz w:val="22"/>
            <w:szCs w:val="22"/>
            <w:u w:val="none"/>
          </w:rPr>
          <w:t>[1]</w:t>
        </w:r>
      </w:hyperlink>
      <w:r>
        <w:rPr>
          <w:rFonts w:ascii="Arial" w:hAnsi="Arial" w:cs="Arial"/>
          <w:color w:val="000000"/>
          <w:sz w:val="22"/>
          <w:szCs w:val="22"/>
        </w:rPr>
        <w:t xml:space="preserve"> schaffen, in dem Daten frei, aber sicher und grundrechtskonform fließen.</w:t>
      </w:r>
    </w:p>
    <w:p w14:paraId="327B6C6A" w14:textId="77777777" w:rsidR="00C01674" w:rsidRDefault="00C01674" w:rsidP="00C01674">
      <w:pPr>
        <w:pStyle w:val="StandardWeb"/>
        <w:rPr>
          <w:color w:val="000000"/>
        </w:rPr>
      </w:pPr>
      <w:r>
        <w:rPr>
          <w:rFonts w:ascii="Arial" w:hAnsi="Arial" w:cs="Arial"/>
          <w:color w:val="000000"/>
          <w:sz w:val="22"/>
          <w:szCs w:val="22"/>
        </w:rPr>
        <w:t>Die Strategie reagiert auf den starken Anstieg datengetriebener Geschäftsmodelle und den Wunsch der EU nach technologischer Souveränität. Kernziele sind: mehr hochwertige Daten verfügbar machen, faire Datenzugänge für Unternehmen schaffen, Innovation fördern und zugleich Grundrechte, Datenschutz und Wettbewerb schützen. </w:t>
      </w:r>
    </w:p>
    <w:p w14:paraId="43FAE265" w14:textId="77777777" w:rsidR="00C01674" w:rsidRDefault="00C01674" w:rsidP="00C01674">
      <w:pPr>
        <w:spacing w:after="240"/>
        <w:rPr>
          <w:color w:val="000000"/>
        </w:rPr>
      </w:pPr>
    </w:p>
    <w:p w14:paraId="0ACC05E6" w14:textId="701CA56B" w:rsidR="00C01674" w:rsidRDefault="00C01674" w:rsidP="00C01674">
      <w:pPr>
        <w:pStyle w:val="StandardWeb"/>
        <w:rPr>
          <w:color w:val="000000"/>
        </w:rPr>
      </w:pPr>
      <w:r w:rsidRPr="00C01674">
        <w:rPr>
          <w:rFonts w:ascii="Arial" w:hAnsi="Arial" w:cs="Arial"/>
          <w:b/>
          <w:bCs/>
          <w:color w:val="000000"/>
          <w:sz w:val="28"/>
          <w:szCs w:val="28"/>
        </w:rPr>
        <w:t>Abbildung X</w:t>
      </w:r>
      <w:r w:rsidRPr="00C01674">
        <w:rPr>
          <w:rFonts w:ascii="Arial" w:hAnsi="Arial" w:cs="Arial"/>
          <w:color w:val="000000"/>
          <w:sz w:val="28"/>
          <w:szCs w:val="28"/>
        </w:rPr>
        <w:t xml:space="preserve"> </w:t>
      </w:r>
      <w:r>
        <w:rPr>
          <w:rFonts w:ascii="Arial" w:hAnsi="Arial" w:cs="Arial"/>
          <w:color w:val="000000"/>
          <w:sz w:val="22"/>
          <w:szCs w:val="22"/>
        </w:rPr>
        <w:t xml:space="preserve">zeigt den übergeordneten Rahmen der europäischen Datenpolitik. Auf strategischer Ebene definiert die europäische Datenstrategie die langfristige Vision für die Entwicklung einer europäischen Datenökonomie. Diese strategische Orientierung wird durch den Digital Compass 2030 konkretisiert, </w:t>
      </w:r>
      <w:r>
        <w:rPr>
          <w:rFonts w:ascii="Arial" w:hAnsi="Arial" w:cs="Arial"/>
          <w:color w:val="000000"/>
          <w:sz w:val="22"/>
          <w:szCs w:val="22"/>
        </w:rPr>
        <w:t>die zentralen Ziele</w:t>
      </w:r>
      <w:r>
        <w:rPr>
          <w:rFonts w:ascii="Arial" w:hAnsi="Arial" w:cs="Arial"/>
          <w:color w:val="000000"/>
          <w:sz w:val="22"/>
          <w:szCs w:val="22"/>
        </w:rPr>
        <w:t xml:space="preserve"> der digitalen Transformation der Europäischen Union festlegt.</w:t>
      </w:r>
    </w:p>
    <w:p w14:paraId="500B0DCA" w14:textId="77777777" w:rsidR="00C01674" w:rsidRDefault="00C01674" w:rsidP="00C01674">
      <w:pPr>
        <w:pStyle w:val="StandardWeb"/>
        <w:rPr>
          <w:color w:val="000000"/>
        </w:rPr>
      </w:pPr>
      <w:r>
        <w:rPr>
          <w:rFonts w:ascii="Arial" w:hAnsi="Arial" w:cs="Arial"/>
          <w:color w:val="000000"/>
          <w:sz w:val="22"/>
          <w:szCs w:val="22"/>
        </w:rPr>
        <w:t>Aufbauend auf dieser Vision bildet der Digitale Binnenmarkt die wirtschaftspolitische Grundlage, die einen integrierten europäischen Markt für digitale Dienstleistungen und Daten ermöglichen soll.</w:t>
      </w:r>
    </w:p>
    <w:p w14:paraId="531CD1ED" w14:textId="046D840F" w:rsidR="00C01674" w:rsidRPr="00C01674" w:rsidRDefault="00C01674" w:rsidP="00C01674">
      <w:pPr>
        <w:spacing w:before="100" w:beforeAutospacing="1" w:after="100" w:afterAutospacing="1"/>
        <w:rPr>
          <w:rFonts w:ascii="Times New Roman" w:eastAsia="Times New Roman" w:hAnsi="Times New Roman" w:cs="Times New Roman"/>
          <w:color w:val="000000"/>
          <w:sz w:val="24"/>
          <w:szCs w:val="24"/>
        </w:rPr>
      </w:pPr>
      <w:r>
        <w:rPr>
          <w:color w:val="000000"/>
        </w:rPr>
        <w:t>Auf regulatorischer Ebene wird diese Strategie durch mehrere zentrale Rechtsinstrumente umgesetzt, insbesondere durch die bereits in Kraft getretenen Datenschutz-Grundverordnung (</w:t>
      </w:r>
      <w:r>
        <w:t>DSGVO</w:t>
      </w:r>
      <w:r>
        <w:rPr>
          <w:rStyle w:val="Funotenzeichen"/>
        </w:rPr>
        <w:footnoteReference w:id="2"/>
      </w:r>
      <w:r>
        <w:rPr>
          <w:color w:val="000000"/>
        </w:rPr>
        <w:t>), den Data Governance Act sowie den Data Act.</w:t>
      </w:r>
    </w:p>
    <w:p w14:paraId="13AE5F3F" w14:textId="77777777" w:rsidR="00C01674" w:rsidRDefault="00C01674" w:rsidP="00C01674">
      <w:pPr>
        <w:pStyle w:val="StandardWeb"/>
        <w:spacing w:before="240" w:after="240"/>
        <w:rPr>
          <w:color w:val="000000"/>
        </w:rPr>
      </w:pPr>
      <w:r>
        <w:rPr>
          <w:rFonts w:ascii="Arial" w:hAnsi="Arial" w:cs="Arial"/>
          <w:color w:val="000000"/>
          <w:sz w:val="22"/>
          <w:szCs w:val="22"/>
        </w:rPr>
        <w:t>Während frühere Instrumente des europäischen Datenrechts, insbesondere der Data Governance Act primär auf die Schaffung institutioneller und organisatorischer Rahmenbedingungen für eine vertrauensbasierte Datenteilung abzielen, konkretisiert der Data Act die Datenstrategie durch verbindliche materielle Regeln. Er legt fest, unter welchen Voraussetzungen Daten genutzt, weitergegeben oder zugänglich gemacht werden müssen, und adressiert damit unmittelbar bestehende Macht- und Informationsasymmetrien auf Datenmärkten.</w:t>
      </w:r>
    </w:p>
    <w:p w14:paraId="2388A7D0" w14:textId="04B9CC50" w:rsidR="00C01674" w:rsidRPr="00C01674" w:rsidRDefault="00C01674" w:rsidP="00C01674">
      <w:pPr>
        <w:pStyle w:val="StandardWeb"/>
        <w:spacing w:before="240" w:after="240"/>
        <w:rPr>
          <w:rFonts w:ascii="Arial" w:hAnsi="Arial" w:cs="Arial"/>
          <w:color w:val="000000"/>
          <w:sz w:val="22"/>
          <w:szCs w:val="22"/>
        </w:rPr>
      </w:pPr>
      <w:r>
        <w:rPr>
          <w:rFonts w:ascii="Arial" w:hAnsi="Arial" w:cs="Arial"/>
          <w:color w:val="000000"/>
          <w:sz w:val="22"/>
          <w:szCs w:val="22"/>
        </w:rPr>
        <w:t xml:space="preserve">Systematisch ist der Data Act als horizontale Regelung angelegt, die unabhängig von einzelnen Wirtschaftssektoren Anwendung findet. Er ergänzt bestehende Regelwerke wie </w:t>
      </w:r>
      <w:r>
        <w:rPr>
          <w:rFonts w:ascii="Arial" w:hAnsi="Arial" w:cs="Arial"/>
          <w:color w:val="000000"/>
          <w:sz w:val="22"/>
          <w:szCs w:val="22"/>
        </w:rPr>
        <w:lastRenderedPageBreak/>
        <w:t>das Datenschutzrecht, insbesondere die Datenschutz-Grundverordnung, ohne diese zu ersetzen. Während die DSGVO personenbezogene Daten schützt und deren Verarbeitung begrenzt, konzentriert sich der Data Act vornehmlich auf nicht-personenbezogene sowie gemischte Datensätze und regelt Fragen des Zugangs, der Nutzung und der Weitergabe von Daten im wirtschaftlichen Kontext. Damit bewegt sich der Data Act an der Schnittstelle von Datenschutzrecht, Vertragsrecht, Wettbewerbsrecht und Regulierungsrecht.</w:t>
      </w:r>
    </w:p>
    <w:p w14:paraId="4C9AABAE" w14:textId="77777777" w:rsidR="00C01674" w:rsidRDefault="00C01674" w:rsidP="00C01674">
      <w:pPr>
        <w:pStyle w:val="StandardWeb"/>
        <w:spacing w:before="240" w:after="240"/>
        <w:rPr>
          <w:color w:val="000000"/>
        </w:rPr>
      </w:pPr>
      <w:r>
        <w:rPr>
          <w:rFonts w:ascii="Arial" w:hAnsi="Arial" w:cs="Arial"/>
          <w:color w:val="000000"/>
          <w:sz w:val="22"/>
          <w:szCs w:val="22"/>
        </w:rPr>
        <w:t>Inhaltlich zielt der Data Act darauf ab, die wirtschaftliche Nutzung von Daten zu fördern, ohne die Kontrolle der Datenerzeuger vollständig aufzugeben. Nutzer von datenverarbeitenden Produkten und Diensten sollen grundsätzlich bestimmen können, wer auf die von ihnen generierten Daten zugreift. Zugleich enthält die Verordnung Schutzmechanismen gegen missbräuchliche Vertragsklauseln sowie Regelungen zum Datenzugang für öffentliche Stellen in außergewöhnlichen Situationen. Ergänzend werden Vorgaben zur Interoperabilität und zum Wechsel zwischen Daten- und Cloud-Anbietern eingeführt, um Lock-in-Effekte zu reduzieren und den Wettbewerb zu stärken.</w:t>
      </w:r>
    </w:p>
    <w:p w14:paraId="182068D7" w14:textId="577B70FD" w:rsidR="00C01674" w:rsidRDefault="00C01674" w:rsidP="00C01674">
      <w:pPr>
        <w:pStyle w:val="StandardWeb"/>
        <w:spacing w:before="240" w:after="240"/>
        <w:rPr>
          <w:rFonts w:ascii="Arial" w:hAnsi="Arial" w:cs="Arial"/>
          <w:color w:val="000000"/>
          <w:sz w:val="22"/>
          <w:szCs w:val="22"/>
        </w:rPr>
      </w:pPr>
      <w:r>
        <w:rPr>
          <w:rFonts w:ascii="Arial" w:hAnsi="Arial" w:cs="Arial"/>
          <w:color w:val="000000"/>
          <w:sz w:val="22"/>
          <w:szCs w:val="22"/>
        </w:rPr>
        <w:t>Der EU Data Act ist damit nicht als isoliertes Einzelinstrument, sondern als integraler Bestandteil eines kohärenten europäischen Datenrechtsrahmens zu verstehen. Er setzt die politischen Zielvorgaben der europäischen Datenstrategie in rechtlich verbindliche Normen um und trägt zur Herausbildung eines eigenständigen europäischen Ordnungsmodells für Daten bei, das auf Verfügbarkeit, Fairness und Kontrolle gleichermaßen ausgerichtet ist.</w:t>
      </w:r>
    </w:p>
    <w:p w14:paraId="5292CFF7" w14:textId="77777777" w:rsidR="00C01674" w:rsidRPr="00C01674" w:rsidRDefault="00C01674" w:rsidP="00C01674">
      <w:pPr>
        <w:pStyle w:val="StandardWeb"/>
        <w:spacing w:before="240" w:after="240"/>
        <w:rPr>
          <w:color w:val="000000"/>
        </w:rPr>
      </w:pPr>
    </w:p>
    <w:p w14:paraId="14E0A29D" w14:textId="77777777" w:rsidR="003E5E7F" w:rsidRDefault="00000000">
      <w:pPr>
        <w:pStyle w:val="berschrift2"/>
      </w:pPr>
      <w:r>
        <w:t>2.2 Rechtlicher Hintergrund zu Datenzugangsrechten (Art. 3–5)</w:t>
      </w:r>
      <w:bookmarkEnd w:id="7"/>
    </w:p>
    <w:p w14:paraId="7D04A6BA" w14:textId="77777777" w:rsidR="00C01674" w:rsidRPr="00C01674" w:rsidRDefault="00C01674" w:rsidP="00C01674">
      <w:pPr>
        <w:rPr>
          <w:rFonts w:ascii="Times New Roman" w:eastAsia="Times New Roman" w:hAnsi="Times New Roman" w:cs="Times New Roman"/>
          <w:color w:val="000000"/>
          <w:sz w:val="24"/>
          <w:szCs w:val="24"/>
        </w:rPr>
      </w:pPr>
      <w:r w:rsidRPr="00C01674">
        <w:rPr>
          <w:rFonts w:eastAsia="Times New Roman"/>
          <w:color w:val="000000"/>
        </w:rPr>
        <w:t>Mit dem EU Data Act (Verordnung (EU) 2023/2854) verfolgt die Europäische Union sein Ziel, soll insbesondere sicherstellen, dass Daten aus vernetzten Produkten und damit verbundenen Diensten nicht ausschließlich von Herstellern kontrolliert werden, sondern auch von Nutzern genutzt werden können (European Commission, 2023).</w:t>
      </w:r>
    </w:p>
    <w:p w14:paraId="367D1AAB" w14:textId="77777777" w:rsidR="00C01674" w:rsidRPr="00C01674" w:rsidRDefault="00C01674" w:rsidP="00C01674">
      <w:pPr>
        <w:rPr>
          <w:rFonts w:ascii="Times New Roman" w:eastAsia="Times New Roman" w:hAnsi="Times New Roman" w:cs="Times New Roman"/>
          <w:color w:val="000000"/>
          <w:sz w:val="24"/>
          <w:szCs w:val="24"/>
        </w:rPr>
      </w:pPr>
    </w:p>
    <w:p w14:paraId="7874D794" w14:textId="1B0239D1" w:rsidR="00C01674" w:rsidRPr="00C01674" w:rsidRDefault="00C01674" w:rsidP="00C01674">
      <w:pPr>
        <w:rPr>
          <w:rFonts w:ascii="Times New Roman" w:eastAsia="Times New Roman" w:hAnsi="Times New Roman" w:cs="Times New Roman"/>
          <w:color w:val="000000"/>
          <w:sz w:val="24"/>
          <w:szCs w:val="24"/>
        </w:rPr>
      </w:pPr>
      <w:r w:rsidRPr="00C01674">
        <w:rPr>
          <w:rFonts w:eastAsia="Times New Roman"/>
          <w:color w:val="000000"/>
        </w:rPr>
        <w:t xml:space="preserve">Eine zentrale Rolle spielen dabei die </w:t>
      </w:r>
      <w:r w:rsidRPr="00C01674">
        <w:rPr>
          <w:rFonts w:eastAsia="Times New Roman"/>
          <w:color w:val="000000"/>
        </w:rPr>
        <w:t>Artikel</w:t>
      </w:r>
      <w:r>
        <w:rPr>
          <w:rFonts w:eastAsia="Times New Roman"/>
          <w:color w:val="000000"/>
        </w:rPr>
        <w:t xml:space="preserve"> </w:t>
      </w:r>
      <w:r w:rsidRPr="00C01674">
        <w:rPr>
          <w:rFonts w:eastAsia="Times New Roman"/>
          <w:color w:val="000000"/>
        </w:rPr>
        <w:t>3</w:t>
      </w:r>
      <w:r w:rsidRPr="00C01674">
        <w:rPr>
          <w:rFonts w:eastAsia="Times New Roman"/>
          <w:color w:val="000000"/>
        </w:rPr>
        <w:t xml:space="preserve"> bis 5 des Data Act, </w:t>
      </w:r>
      <w:r w:rsidRPr="00C01674">
        <w:rPr>
          <w:rFonts w:eastAsia="Times New Roman"/>
          <w:color w:val="000000"/>
        </w:rPr>
        <w:t>die grundlegenden Regeln</w:t>
      </w:r>
      <w:r w:rsidRPr="00C01674">
        <w:rPr>
          <w:rFonts w:eastAsia="Times New Roman"/>
          <w:color w:val="000000"/>
        </w:rPr>
        <w:t xml:space="preserve"> für den Zugang zu Produkt- und Dienstdaten festlegen.</w:t>
      </w:r>
    </w:p>
    <w:p w14:paraId="357F3137" w14:textId="17ED4451" w:rsidR="00C01674" w:rsidRPr="00C01674" w:rsidRDefault="00C01674" w:rsidP="00C01674">
      <w:pPr>
        <w:rPr>
          <w:rFonts w:ascii="Times New Roman" w:eastAsia="Times New Roman" w:hAnsi="Times New Roman" w:cs="Times New Roman"/>
          <w:color w:val="000000"/>
          <w:sz w:val="24"/>
          <w:szCs w:val="24"/>
        </w:rPr>
      </w:pPr>
      <w:r w:rsidRPr="00C01674">
        <w:rPr>
          <w:rFonts w:eastAsia="Times New Roman"/>
          <w:color w:val="000000"/>
        </w:rPr>
        <w:t xml:space="preserve">Artikel 3 verpflichtet Hersteller vernetzter Produkte sowie Anbieter verbundener Dienste dazu, Produkte so zu gestalten, dass Daten, die während der Nutzung generiert werden, grundsätzlich für den Nutzer zugänglich sind. Dies umfasst insbesondere Anforderungen an die technische Gestaltung von Produkten und digitalen Diensten, damit Daten standardmäßig leicht, sicher und gegebenenfalls in Echtzeit zugänglich gemacht werden können (European </w:t>
      </w:r>
      <w:r w:rsidRPr="00C01674">
        <w:rPr>
          <w:rFonts w:eastAsia="Times New Roman"/>
          <w:color w:val="000000"/>
        </w:rPr>
        <w:t>Parlament</w:t>
      </w:r>
      <w:r w:rsidRPr="00C01674">
        <w:rPr>
          <w:rFonts w:eastAsia="Times New Roman"/>
          <w:color w:val="000000"/>
        </w:rPr>
        <w:t xml:space="preserve"> &amp; Council, 2023). Ziel dieser Regelung ist es, Nutzern eine größere Kontrolle über die durch ihre Nutzung entstehenden Daten zu ermöglichen und gleichzeitig Wettbewerbsbarrieren zu reduzieren, die durch exklusive Datenkontrolle von Herstellern entstehen können.</w:t>
      </w:r>
    </w:p>
    <w:p w14:paraId="6B8FECC2" w14:textId="77777777" w:rsidR="00C01674" w:rsidRPr="00C01674" w:rsidRDefault="00C01674" w:rsidP="00C01674">
      <w:pPr>
        <w:rPr>
          <w:rFonts w:ascii="Times New Roman" w:eastAsia="Times New Roman" w:hAnsi="Times New Roman" w:cs="Times New Roman"/>
          <w:color w:val="000000"/>
          <w:sz w:val="24"/>
          <w:szCs w:val="24"/>
        </w:rPr>
      </w:pPr>
      <w:r w:rsidRPr="00C01674">
        <w:rPr>
          <w:rFonts w:eastAsia="Times New Roman"/>
          <w:color w:val="000000"/>
        </w:rPr>
        <w:t>Ergänzend dazu regelt Artikel 4 des Data Act das konkrete Recht der Nutzer, auf die durch ihre Nutzung erzeugten Daten zuzugreifen. Nutzer müssen die Möglichkeit erhalten, diese Daten ohne unangemessene Verzögerung zu erhalten. Zudem müssen Daten in einem strukturierten, gängigen und maschinenlesbaren Format bereitgestellt werden, um eine einfache Weiterverarbeitung zu ermöglichen (European Parliament &amp; Council, 2023).</w:t>
      </w:r>
    </w:p>
    <w:p w14:paraId="0B7AD042" w14:textId="77777777" w:rsidR="00C01674" w:rsidRPr="00C01674" w:rsidRDefault="00C01674" w:rsidP="00C01674">
      <w:pPr>
        <w:rPr>
          <w:rFonts w:ascii="Times New Roman" w:eastAsia="Times New Roman" w:hAnsi="Times New Roman" w:cs="Times New Roman"/>
          <w:color w:val="000000"/>
          <w:sz w:val="24"/>
          <w:szCs w:val="24"/>
        </w:rPr>
      </w:pPr>
      <w:r w:rsidRPr="00C01674">
        <w:rPr>
          <w:rFonts w:eastAsia="Times New Roman"/>
          <w:color w:val="000000"/>
        </w:rPr>
        <w:t>Artikel 5 erweitert dieses Recht, indem es Nutzern erlaubt, die Weitergabe ihrer Daten an Dritte zu verlangen. Dateninhaber müssen auf Anfrage des Nutzers die entsprechenden Daten direkt an einen vom Nutzer benannten Dritten übermitteln, sofern dies technisch möglich ist. Diese Regelung zielt darauf ab, Datenportabilität zu fördern und den Wettbewerb zwischen datenbasierten Diensten zu stärken (European Parliament &amp; Council, 2023).</w:t>
      </w:r>
    </w:p>
    <w:p w14:paraId="0194182C" w14:textId="77777777" w:rsidR="00C01674" w:rsidRPr="00C01674" w:rsidRDefault="00C01674" w:rsidP="00C01674">
      <w:pPr>
        <w:rPr>
          <w:rFonts w:ascii="Times New Roman" w:eastAsia="Times New Roman" w:hAnsi="Times New Roman" w:cs="Times New Roman"/>
          <w:color w:val="000000"/>
          <w:sz w:val="24"/>
          <w:szCs w:val="24"/>
        </w:rPr>
      </w:pPr>
      <w:r w:rsidRPr="00C01674">
        <w:rPr>
          <w:rFonts w:eastAsia="Times New Roman"/>
          <w:color w:val="000000"/>
        </w:rPr>
        <w:t>Insgesamt schaffen die Artikel 3 bis 5 damit einen rechtlichen Rahmen, der sowohl den Zugang zu Daten für Nutzer verbessert als auch neue Möglichkeiten für datengetriebene Innovation und Wettbewerb innerhalb der europäischen Datenwirtschaft eröffnet.</w:t>
      </w:r>
    </w:p>
    <w:p w14:paraId="296FF932" w14:textId="77777777" w:rsidR="00C01674" w:rsidRPr="00C01674" w:rsidRDefault="00C01674" w:rsidP="00C01674">
      <w:pPr>
        <w:rPr>
          <w:rFonts w:ascii="Times New Roman" w:eastAsia="Times New Roman" w:hAnsi="Times New Roman" w:cs="Times New Roman"/>
          <w:color w:val="000000"/>
          <w:sz w:val="24"/>
          <w:szCs w:val="24"/>
        </w:rPr>
      </w:pPr>
    </w:p>
    <w:p w14:paraId="47B7C942" w14:textId="77777777" w:rsidR="00C01674" w:rsidRPr="00C01674" w:rsidRDefault="00C01674" w:rsidP="00C01674">
      <w:pPr>
        <w:rPr>
          <w:rFonts w:ascii="Times New Roman" w:eastAsia="Times New Roman" w:hAnsi="Times New Roman" w:cs="Times New Roman"/>
          <w:color w:val="000000"/>
          <w:sz w:val="24"/>
          <w:szCs w:val="24"/>
        </w:rPr>
      </w:pPr>
      <w:r w:rsidRPr="00C01674">
        <w:rPr>
          <w:rFonts w:eastAsia="Times New Roman"/>
          <w:color w:val="000000"/>
        </w:rPr>
        <w:t xml:space="preserve">Im Kontext des Internet </w:t>
      </w:r>
      <w:proofErr w:type="spellStart"/>
      <w:r w:rsidRPr="00C01674">
        <w:rPr>
          <w:rFonts w:eastAsia="Times New Roman"/>
          <w:color w:val="000000"/>
        </w:rPr>
        <w:t>of</w:t>
      </w:r>
      <w:proofErr w:type="spellEnd"/>
      <w:r w:rsidRPr="00C01674">
        <w:rPr>
          <w:rFonts w:eastAsia="Times New Roman"/>
          <w:color w:val="000000"/>
        </w:rPr>
        <w:t xml:space="preserve"> Things (IoT) spielt die Generierung und Nutzung von Daten eine zentrale Rolle. Vernetzte Geräte wie Smartwatches, Sprachassistenten oder drahtlose Audiogeräte erzeugen kontinuierlich Daten über ihre Nutzung, ihren Betriebszustand und Interaktionen mit Nutzern. Diese Daten können sowohl technische Informationen über das Gerät als auch nutzungsbezogene oder personenbezogene Daten enthalten (European Commission, 2020).</w:t>
      </w:r>
    </w:p>
    <w:p w14:paraId="70B0C300" w14:textId="77777777" w:rsidR="00C01674" w:rsidRPr="00C01674" w:rsidRDefault="00C01674" w:rsidP="00C01674">
      <w:pPr>
        <w:rPr>
          <w:rFonts w:ascii="Times New Roman" w:eastAsia="Times New Roman" w:hAnsi="Times New Roman" w:cs="Times New Roman"/>
          <w:color w:val="000000"/>
          <w:sz w:val="24"/>
          <w:szCs w:val="24"/>
        </w:rPr>
      </w:pPr>
      <w:r w:rsidRPr="00C01674">
        <w:rPr>
          <w:rFonts w:eastAsia="Times New Roman"/>
          <w:color w:val="000000"/>
        </w:rPr>
        <w:t>Der Data Act unterscheidet hierbei zwischen Produktdaten und Dienstdaten. Produktdaten entstehen unmittelbar durch die Nutzung eines vernetzten Produkts, beispielsweise durch Sensoren oder interne Systemprozesse. Dienstdaten entstehen hingegen im Zusammenhang mit digitalen Diensten, die mit dem Produkt verbunden sind, etwa Cloud-basierte Analysefunktionen oder Plattformdienste, die auf die Nutzung des Geräts aufbauen (European Parliament &amp; Council, 2023).</w:t>
      </w:r>
    </w:p>
    <w:p w14:paraId="4835CD50" w14:textId="77777777" w:rsidR="00C01674" w:rsidRPr="00C01674" w:rsidRDefault="00C01674" w:rsidP="00C01674">
      <w:pPr>
        <w:rPr>
          <w:rFonts w:ascii="Times New Roman" w:eastAsia="Times New Roman" w:hAnsi="Times New Roman" w:cs="Times New Roman"/>
          <w:color w:val="000000"/>
          <w:sz w:val="24"/>
          <w:szCs w:val="24"/>
        </w:rPr>
      </w:pPr>
      <w:r w:rsidRPr="00C01674">
        <w:rPr>
          <w:rFonts w:eastAsia="Times New Roman"/>
          <w:color w:val="000000"/>
        </w:rPr>
        <w:t>Im IoT-Ökosystem werden solche Daten häufig zunächst vom Hersteller oder vom Anbieter eines digitalen Dienstes erhoben und verarbeitet. Ohne regulatorische Vorgaben verbleibt die Kontrolle über diese Daten daher häufig bei den Herstellern oder Plattformbetreibern. Der Data Act adressiert dieses Ungleichgewicht, indem er Nutzern stärkere Rechte auf Zugang und Nutzung der durch ihre Geräte erzeugten Daten einräumt (European Commission, 2023).</w:t>
      </w:r>
    </w:p>
    <w:p w14:paraId="531248B5" w14:textId="77777777" w:rsidR="00C01674" w:rsidRPr="00C01674" w:rsidRDefault="00C01674" w:rsidP="00C01674">
      <w:pPr>
        <w:rPr>
          <w:rFonts w:ascii="Times New Roman" w:eastAsia="Times New Roman" w:hAnsi="Times New Roman" w:cs="Times New Roman"/>
          <w:color w:val="000000"/>
          <w:sz w:val="24"/>
          <w:szCs w:val="24"/>
        </w:rPr>
      </w:pPr>
      <w:r w:rsidRPr="00C01674">
        <w:rPr>
          <w:rFonts w:eastAsia="Times New Roman"/>
          <w:color w:val="000000"/>
        </w:rPr>
        <w:t>Gerade bei IoT-Geräten wie Smartwatches, Sprachassistenten oder kabellosen Kopfhörern entstehen große Mengen nutzergenerierter Daten, etwa Gesundheitsdaten, Nutzungsstatistiken, Sprachinteraktionen oder Gerätestatusinformationen. Die praktische Umsetzung der im Data Act vorgesehenen Datenzugangsrechte hängt daher maßgeblich davon ab, wie Hersteller Daten erzeugen, speichern, strukturieren und technisch zugänglich machen.</w:t>
      </w:r>
    </w:p>
    <w:p w14:paraId="7F7C2F00" w14:textId="77777777" w:rsidR="00C01674" w:rsidRPr="00C01674" w:rsidRDefault="00C01674" w:rsidP="00C01674">
      <w:pPr>
        <w:rPr>
          <w:rFonts w:ascii="Times New Roman" w:eastAsia="Times New Roman" w:hAnsi="Times New Roman" w:cs="Times New Roman"/>
          <w:color w:val="000000"/>
          <w:sz w:val="24"/>
          <w:szCs w:val="24"/>
        </w:rPr>
      </w:pPr>
    </w:p>
    <w:p w14:paraId="5A241EBD" w14:textId="77777777" w:rsidR="00C01674" w:rsidRDefault="00C01674" w:rsidP="00C01674">
      <w:pPr>
        <w:rPr>
          <w:rFonts w:eastAsia="Times New Roman"/>
          <w:color w:val="000000"/>
        </w:rPr>
      </w:pPr>
      <w:r w:rsidRPr="00C01674">
        <w:rPr>
          <w:rFonts w:eastAsia="Times New Roman"/>
          <w:color w:val="000000"/>
        </w:rPr>
        <w:t>Vor diesem Hintergrund bildet insbesondere Artikel 3 des Data Acts eine zentrale Grundlage für die vorliegende Untersuchung, da er Anforderungen an die technische Gestaltung von Produkten und Diensten hinsichtlich der Zugänglichkeit von Daten definiert. Diese Anforderungen werden im folgenden Kapitel detaillierter analysiert, um anschließend ihre praktische Umsetzung anhand ausgewählter IoT-Produkte zu untersuchen.</w:t>
      </w:r>
    </w:p>
    <w:p w14:paraId="26E40552" w14:textId="77777777" w:rsidR="00C01674" w:rsidRPr="00C01674" w:rsidRDefault="00C01674" w:rsidP="00C01674">
      <w:pPr>
        <w:rPr>
          <w:rFonts w:ascii="Times New Roman" w:eastAsia="Times New Roman" w:hAnsi="Times New Roman" w:cs="Times New Roman"/>
          <w:color w:val="000000"/>
          <w:sz w:val="24"/>
          <w:szCs w:val="24"/>
        </w:rPr>
      </w:pPr>
    </w:p>
    <w:p w14:paraId="72856FC2" w14:textId="77777777" w:rsidR="003E5E7F" w:rsidRDefault="00000000">
      <w:pPr>
        <w:pStyle w:val="berschrift2"/>
      </w:pPr>
      <w:bookmarkStart w:id="8" w:name="_Toc232151336"/>
      <w:r>
        <w:t>2.3 Artikel 3 EU Data Act: Transparenzpflichten vor Vertragsschluss</w:t>
      </w:r>
      <w:bookmarkEnd w:id="8"/>
    </w:p>
    <w:p w14:paraId="472250BF" w14:textId="3833D597" w:rsidR="00C01674" w:rsidRPr="00C01674" w:rsidRDefault="00C01674">
      <w:pPr>
        <w:pStyle w:val="berschrift3"/>
        <w:rPr>
          <w:b w:val="0"/>
          <w:bCs w:val="0"/>
        </w:rPr>
      </w:pPr>
      <w:bookmarkStart w:id="9" w:name="_Toc232151337"/>
      <w:r w:rsidRPr="00C01674">
        <w:rPr>
          <w:b w:val="0"/>
          <w:bCs w:val="0"/>
          <w:color w:val="000000"/>
          <w:sz w:val="22"/>
          <w:szCs w:val="22"/>
        </w:rPr>
        <w:t xml:space="preserve">Artikel 3 des Data Act bildet den zentralen Anknüpfungspunkt für die vorliegende Arbeit. Die Norm regelt zum einen die technische Ausgestaltung vernetzter Produkte und verbundener Dienste im Hinblick auf den Zugang zu Nutzungsdaten (Abs. 1). Zum anderen legt sie umfassende präkontraktuelle Transparenzpflichten für Hersteller, Verkäufer, Vermieter bzw. Leasinggeber sowie Anbieter verbundener Dienste fest (Abs. 2 und 3). Ziel ist es, die bislang bestehenden </w:t>
      </w:r>
      <w:proofErr w:type="spellStart"/>
      <w:r w:rsidRPr="00C01674">
        <w:rPr>
          <w:b w:val="0"/>
          <w:bCs w:val="0"/>
          <w:color w:val="000000"/>
          <w:sz w:val="22"/>
          <w:szCs w:val="22"/>
        </w:rPr>
        <w:t>Informations</w:t>
      </w:r>
      <w:proofErr w:type="spellEnd"/>
      <w:r w:rsidRPr="00C01674">
        <w:rPr>
          <w:b w:val="0"/>
          <w:bCs w:val="0"/>
          <w:color w:val="000000"/>
          <w:sz w:val="22"/>
          <w:szCs w:val="22"/>
        </w:rPr>
        <w:noBreakHyphen/>
        <w:t xml:space="preserve"> und Machtasymmetrien zwischen datenhaltenden Unternehmen und Nutzern zu reduzieren und diesen eine informierte Entscheidung über die Nutzung von IoT</w:t>
      </w:r>
      <w:r w:rsidRPr="00C01674">
        <w:rPr>
          <w:b w:val="0"/>
          <w:bCs w:val="0"/>
          <w:color w:val="000000"/>
          <w:sz w:val="22"/>
          <w:szCs w:val="22"/>
        </w:rPr>
        <w:noBreakHyphen/>
        <w:t xml:space="preserve">Produkten und </w:t>
      </w:r>
      <w:r w:rsidRPr="00C01674">
        <w:rPr>
          <w:b w:val="0"/>
          <w:bCs w:val="0"/>
          <w:color w:val="000000"/>
          <w:sz w:val="22"/>
          <w:szCs w:val="22"/>
        </w:rPr>
        <w:noBreakHyphen/>
        <w:t>Diensten zu ermöglichen.</w:t>
      </w:r>
    </w:p>
    <w:p w14:paraId="041D5C64" w14:textId="0883E62F" w:rsidR="003E5E7F" w:rsidRDefault="00000000">
      <w:pPr>
        <w:pStyle w:val="berschrift3"/>
      </w:pPr>
      <w:r>
        <w:t>2.3.1 Wortlaut und Zielsetzung von Art. 3 Abs. 1–3</w:t>
      </w:r>
      <w:bookmarkEnd w:id="9"/>
    </w:p>
    <w:p w14:paraId="17F61ABC" w14:textId="77777777" w:rsidR="00C01674" w:rsidRDefault="00000000" w:rsidP="00C01674">
      <w:pPr>
        <w:spacing w:after="140" w:line="276" w:lineRule="auto"/>
        <w:rPr>
          <w:color w:val="000000"/>
        </w:rPr>
      </w:pPr>
      <w:r>
        <w:t xml:space="preserve">Art. 3 Abs. 1 verpflichtet Hersteller und Anbieter verbundener Dienste, Produkte und Dienste so zu konzipieren, dass die Produkt- und verbundenen Dienstdaten standardmäßig einfach, sicher, unentgeltlich und in einem umfassenden, strukturierten, gängigen und maschinenlesbaren Format </w:t>
      </w:r>
      <w:r w:rsidR="00C01674">
        <w:rPr>
          <w:color w:val="000000"/>
        </w:rPr>
        <w:t>gemacht werden können. Diese „</w:t>
      </w:r>
      <w:proofErr w:type="spellStart"/>
      <w:r w:rsidR="00C01674">
        <w:rPr>
          <w:color w:val="000000"/>
        </w:rPr>
        <w:t>access</w:t>
      </w:r>
      <w:proofErr w:type="spellEnd"/>
      <w:r w:rsidR="00C01674">
        <w:rPr>
          <w:color w:val="000000"/>
        </w:rPr>
        <w:t xml:space="preserve"> </w:t>
      </w:r>
      <w:proofErr w:type="spellStart"/>
      <w:r w:rsidR="00C01674">
        <w:rPr>
          <w:color w:val="000000"/>
        </w:rPr>
        <w:t>by</w:t>
      </w:r>
      <w:proofErr w:type="spellEnd"/>
      <w:r w:rsidR="00C01674">
        <w:rPr>
          <w:color w:val="000000"/>
        </w:rPr>
        <w:t xml:space="preserve"> </w:t>
      </w:r>
      <w:proofErr w:type="spellStart"/>
      <w:r w:rsidR="00C01674">
        <w:rPr>
          <w:color w:val="000000"/>
        </w:rPr>
        <w:t>design</w:t>
      </w:r>
      <w:proofErr w:type="spellEnd"/>
      <w:r w:rsidR="00C01674">
        <w:rPr>
          <w:color w:val="000000"/>
        </w:rPr>
        <w:t>“-Pflicht betrifft die technische Architektur der Produkte und Dienste und zielt auf eine strukturelle Öffnung bislang geschlossener Datensilos.</w:t>
      </w:r>
    </w:p>
    <w:p w14:paraId="0FA38C19" w14:textId="3EB7459B" w:rsidR="00C01674" w:rsidRPr="00C01674" w:rsidRDefault="00C01674" w:rsidP="00C01674">
      <w:pPr>
        <w:spacing w:after="140" w:line="276" w:lineRule="auto"/>
        <w:rPr>
          <w:rFonts w:ascii="Times New Roman" w:eastAsia="Times New Roman" w:hAnsi="Times New Roman" w:cs="Times New Roman"/>
          <w:color w:val="000000"/>
          <w:sz w:val="24"/>
          <w:szCs w:val="24"/>
        </w:rPr>
      </w:pPr>
      <w:r w:rsidRPr="00C01674">
        <w:rPr>
          <w:rFonts w:eastAsia="Times New Roman"/>
          <w:color w:val="000000"/>
        </w:rPr>
        <w:t xml:space="preserve">Art. 3 Abs. 2 und 3 konkretisieren darüber hinaus </w:t>
      </w:r>
      <w:r w:rsidRPr="00C01674">
        <w:rPr>
          <w:rFonts w:eastAsia="Times New Roman"/>
          <w:b/>
          <w:bCs/>
          <w:color w:val="000000"/>
        </w:rPr>
        <w:t>Transparenzpflichten vor Vertragsschluss</w:t>
      </w:r>
      <w:r w:rsidRPr="00C01674">
        <w:rPr>
          <w:rFonts w:eastAsia="Times New Roman"/>
          <w:color w:val="000000"/>
        </w:rPr>
        <w:t>.</w:t>
      </w:r>
    </w:p>
    <w:p w14:paraId="1042626B" w14:textId="77777777" w:rsidR="00C01674" w:rsidRPr="00C01674" w:rsidRDefault="00C01674" w:rsidP="00C01674">
      <w:pPr>
        <w:numPr>
          <w:ilvl w:val="0"/>
          <w:numId w:val="6"/>
        </w:numPr>
        <w:spacing w:before="240"/>
        <w:textAlignment w:val="baseline"/>
        <w:rPr>
          <w:rFonts w:eastAsia="Times New Roman"/>
          <w:color w:val="000000"/>
        </w:rPr>
      </w:pPr>
      <w:r w:rsidRPr="00C01674">
        <w:rPr>
          <w:rFonts w:eastAsia="Times New Roman"/>
          <w:color w:val="000000"/>
        </w:rPr>
        <w:lastRenderedPageBreak/>
        <w:t>Abs. 2 richtet sich an Hersteller, Verkäufer, Vermieter und Leasinggeber von vernetzten Produkten und verpflichtet diese, den Nutzern vor Abschluss des Vertrags bestimmte Mindestinformationen zu den durch das Produkt generierten Daten bereitzustellen.</w:t>
      </w:r>
    </w:p>
    <w:p w14:paraId="5DC65359" w14:textId="77777777" w:rsidR="00C01674" w:rsidRPr="00C01674" w:rsidRDefault="00C01674" w:rsidP="00C01674">
      <w:pPr>
        <w:numPr>
          <w:ilvl w:val="0"/>
          <w:numId w:val="6"/>
        </w:numPr>
        <w:spacing w:after="240"/>
        <w:textAlignment w:val="baseline"/>
        <w:rPr>
          <w:rFonts w:eastAsia="Times New Roman"/>
          <w:color w:val="000000"/>
        </w:rPr>
      </w:pPr>
      <w:r w:rsidRPr="00C01674">
        <w:rPr>
          <w:rFonts w:eastAsia="Times New Roman"/>
          <w:color w:val="000000"/>
        </w:rPr>
        <w:t xml:space="preserve">Abs. 3 adressiert Anbieter verbundener Dienste und erweitert den Informationskatalog insbesondere um Aspekte der Datennutzung und </w:t>
      </w:r>
      <w:r w:rsidRPr="00C01674">
        <w:rPr>
          <w:rFonts w:eastAsia="Times New Roman"/>
          <w:color w:val="000000"/>
        </w:rPr>
        <w:noBreakHyphen/>
      </w:r>
      <w:proofErr w:type="spellStart"/>
      <w:r w:rsidRPr="00C01674">
        <w:rPr>
          <w:rFonts w:eastAsia="Times New Roman"/>
          <w:color w:val="000000"/>
        </w:rPr>
        <w:t>weitergabe</w:t>
      </w:r>
      <w:proofErr w:type="spellEnd"/>
      <w:r w:rsidRPr="00C01674">
        <w:rPr>
          <w:rFonts w:eastAsia="Times New Roman"/>
          <w:color w:val="000000"/>
        </w:rPr>
        <w:t xml:space="preserve"> sowie um Angaben zur Identität und Erreichbarkeit des Dateninhabers.</w:t>
      </w:r>
    </w:p>
    <w:p w14:paraId="1C786B2E" w14:textId="77777777" w:rsidR="00C01674" w:rsidRPr="00C01674" w:rsidRDefault="00C01674" w:rsidP="00C01674">
      <w:pPr>
        <w:spacing w:before="240" w:after="240"/>
        <w:rPr>
          <w:rFonts w:ascii="Times New Roman" w:eastAsia="Times New Roman" w:hAnsi="Times New Roman" w:cs="Times New Roman"/>
          <w:color w:val="000000"/>
          <w:sz w:val="24"/>
          <w:szCs w:val="24"/>
        </w:rPr>
      </w:pPr>
      <w:r w:rsidRPr="00C01674">
        <w:rPr>
          <w:rFonts w:eastAsia="Times New Roman"/>
          <w:color w:val="000000"/>
        </w:rPr>
        <w:t>Teleologisch verfolgt Art. 3 damit drei Kernziele:</w:t>
      </w:r>
    </w:p>
    <w:p w14:paraId="52B48220" w14:textId="77777777" w:rsidR="00C01674" w:rsidRPr="00C01674" w:rsidRDefault="00C01674" w:rsidP="00C01674">
      <w:pPr>
        <w:numPr>
          <w:ilvl w:val="0"/>
          <w:numId w:val="7"/>
        </w:numPr>
        <w:spacing w:before="240"/>
        <w:textAlignment w:val="baseline"/>
        <w:rPr>
          <w:rFonts w:eastAsia="Times New Roman"/>
          <w:color w:val="000000"/>
        </w:rPr>
      </w:pPr>
      <w:r w:rsidRPr="00C01674">
        <w:rPr>
          <w:rFonts w:eastAsia="Times New Roman"/>
          <w:b/>
          <w:bCs/>
          <w:color w:val="000000"/>
        </w:rPr>
        <w:t xml:space="preserve">Stärkung der </w:t>
      </w:r>
      <w:proofErr w:type="spellStart"/>
      <w:r w:rsidRPr="00C01674">
        <w:rPr>
          <w:rFonts w:eastAsia="Times New Roman"/>
          <w:b/>
          <w:bCs/>
          <w:color w:val="000000"/>
        </w:rPr>
        <w:t>Entscheidungs</w:t>
      </w:r>
      <w:proofErr w:type="spellEnd"/>
      <w:r w:rsidRPr="00C01674">
        <w:rPr>
          <w:rFonts w:eastAsia="Times New Roman"/>
          <w:b/>
          <w:bCs/>
          <w:color w:val="000000"/>
        </w:rPr>
        <w:noBreakHyphen/>
        <w:t xml:space="preserve"> und Verhandlungsmacht der Nutzer</w:t>
      </w:r>
      <w:r w:rsidRPr="00C01674">
        <w:rPr>
          <w:rFonts w:eastAsia="Times New Roman"/>
          <w:color w:val="000000"/>
        </w:rPr>
        <w:t>, indem sie rechtzeitig und verständlich über Datenflüsse, Datenarten und Zugangsmöglichkeiten informiert werden;</w:t>
      </w:r>
    </w:p>
    <w:p w14:paraId="71F0EB3A" w14:textId="77777777" w:rsidR="00C01674" w:rsidRPr="00C01674" w:rsidRDefault="00C01674" w:rsidP="00C01674">
      <w:pPr>
        <w:numPr>
          <w:ilvl w:val="0"/>
          <w:numId w:val="7"/>
        </w:numPr>
        <w:spacing w:after="240"/>
        <w:textAlignment w:val="baseline"/>
        <w:rPr>
          <w:rFonts w:eastAsia="Times New Roman"/>
          <w:color w:val="000000"/>
        </w:rPr>
      </w:pPr>
      <w:r w:rsidRPr="00C01674">
        <w:rPr>
          <w:rFonts w:eastAsia="Times New Roman"/>
          <w:b/>
          <w:bCs/>
          <w:color w:val="000000"/>
        </w:rPr>
        <w:t>Schaffung von Anreizen für datengerechte Produkt</w:t>
      </w:r>
      <w:r w:rsidRPr="00C01674">
        <w:rPr>
          <w:rFonts w:eastAsia="Times New Roman"/>
          <w:b/>
          <w:bCs/>
          <w:color w:val="000000"/>
        </w:rPr>
        <w:noBreakHyphen/>
        <w:t xml:space="preserve"> und Servicegestaltung</w:t>
      </w:r>
      <w:r w:rsidRPr="00C01674">
        <w:rPr>
          <w:rFonts w:eastAsia="Times New Roman"/>
          <w:color w:val="000000"/>
        </w:rPr>
        <w:t>, indem Zugangspflichten in die technische Konzeption integriert werden müssen;</w:t>
      </w:r>
    </w:p>
    <w:p w14:paraId="427CF599" w14:textId="77777777" w:rsidR="00C01674" w:rsidRPr="00C01674" w:rsidRDefault="00C01674" w:rsidP="00C01674">
      <w:pPr>
        <w:numPr>
          <w:ilvl w:val="0"/>
          <w:numId w:val="7"/>
        </w:numPr>
        <w:spacing w:before="240" w:after="240"/>
        <w:textAlignment w:val="baseline"/>
        <w:rPr>
          <w:rFonts w:eastAsia="Times New Roman"/>
          <w:color w:val="000000"/>
        </w:rPr>
      </w:pPr>
      <w:r w:rsidRPr="00C01674">
        <w:rPr>
          <w:rFonts w:eastAsia="Times New Roman"/>
          <w:b/>
          <w:bCs/>
          <w:color w:val="000000"/>
        </w:rPr>
        <w:t>Förderung eines wettbewerblichen europäischen Datenmarktes</w:t>
      </w:r>
      <w:r w:rsidRPr="00C01674">
        <w:rPr>
          <w:rFonts w:eastAsia="Times New Roman"/>
          <w:color w:val="000000"/>
        </w:rPr>
        <w:t>, in dem Daten nicht allein im Machtbereich der Hersteller verbleiben, sondern auch von Nutzern und Dritten (z. B. unabhängigen Serviceanbietern) genutzt werden können.</w:t>
      </w:r>
    </w:p>
    <w:p w14:paraId="6DC1624F" w14:textId="77777777" w:rsidR="00C01674" w:rsidRDefault="00C01674">
      <w:pPr>
        <w:spacing w:after="140" w:line="276" w:lineRule="auto"/>
      </w:pPr>
    </w:p>
    <w:p w14:paraId="1DB46DEC" w14:textId="77777777" w:rsidR="003E5E7F" w:rsidRDefault="00000000">
      <w:pPr>
        <w:pStyle w:val="berschrift3"/>
      </w:pPr>
      <w:bookmarkStart w:id="10" w:name="_Toc232151338"/>
      <w:r>
        <w:t xml:space="preserve">2.3.2 Pflicht zur Bereitstellung </w:t>
      </w:r>
      <w:proofErr w:type="spellStart"/>
      <w:r>
        <w:t>präkontraktueller</w:t>
      </w:r>
      <w:proofErr w:type="spellEnd"/>
      <w:r>
        <w:t xml:space="preserve"> Informationen</w:t>
      </w:r>
      <w:bookmarkEnd w:id="10"/>
    </w:p>
    <w:p w14:paraId="5124E25B" w14:textId="25B550FD" w:rsidR="00C01674" w:rsidRDefault="00C01674">
      <w:pPr>
        <w:spacing w:after="140" w:line="276" w:lineRule="auto"/>
        <w:rPr>
          <w:color w:val="000000"/>
        </w:rPr>
      </w:pPr>
      <w:r>
        <w:rPr>
          <w:color w:val="000000"/>
        </w:rPr>
        <w:t xml:space="preserve">Kernstück der Transparenzanforderungen ist die Pflicht zur Bereitstellung </w:t>
      </w:r>
      <w:proofErr w:type="spellStart"/>
      <w:r>
        <w:rPr>
          <w:b/>
          <w:bCs/>
          <w:color w:val="000000"/>
        </w:rPr>
        <w:t>präkontraktueller</w:t>
      </w:r>
      <w:proofErr w:type="spellEnd"/>
      <w:r>
        <w:rPr>
          <w:b/>
          <w:bCs/>
          <w:color w:val="000000"/>
        </w:rPr>
        <w:t xml:space="preserve"> Informationen</w:t>
      </w:r>
      <w:r>
        <w:rPr>
          <w:color w:val="000000"/>
        </w:rPr>
        <w:t xml:space="preserve"> über den Umgang mit den durch das Produkt bzw. den Dienst generierten Daten. Der Begriff „</w:t>
      </w:r>
      <w:proofErr w:type="spellStart"/>
      <w:r>
        <w:rPr>
          <w:color w:val="000000"/>
        </w:rPr>
        <w:t>präkontraktuell</w:t>
      </w:r>
      <w:proofErr w:type="spellEnd"/>
      <w:r>
        <w:rPr>
          <w:color w:val="000000"/>
        </w:rPr>
        <w:t>“ meint dabei nicht nur den zeitlichen Aspekt (vor Vertragsschluss), sondern auch die Funktion der Information als Grundlage für die autonome Entscheidung des Nutzers.</w:t>
      </w:r>
    </w:p>
    <w:p w14:paraId="799359A0" w14:textId="77777777" w:rsidR="00C01674" w:rsidRDefault="00C01674">
      <w:pPr>
        <w:spacing w:after="140" w:line="276" w:lineRule="auto"/>
        <w:rPr>
          <w:b/>
          <w:bCs/>
        </w:rPr>
      </w:pPr>
    </w:p>
    <w:p w14:paraId="2DE9B8BF" w14:textId="236ABEC2" w:rsidR="003E5E7F" w:rsidRDefault="00000000">
      <w:pPr>
        <w:spacing w:after="140" w:line="276" w:lineRule="auto"/>
      </w:pPr>
      <w:r>
        <w:rPr>
          <w:b/>
          <w:bCs/>
        </w:rPr>
        <w:t xml:space="preserve">a) Informationen zu Produktdaten (Art. 3 Abs. 2 </w:t>
      </w:r>
      <w:proofErr w:type="spellStart"/>
      <w:r>
        <w:rPr>
          <w:b/>
          <w:bCs/>
        </w:rPr>
        <w:t>lit</w:t>
      </w:r>
      <w:proofErr w:type="spellEnd"/>
      <w:r>
        <w:rPr>
          <w:b/>
          <w:bCs/>
        </w:rPr>
        <w:t>. a–d):</w:t>
      </w:r>
      <w:r>
        <w:rPr>
          <w:rStyle w:val="Funotenzeichen"/>
        </w:rPr>
        <w:footnoteReference w:id="3"/>
      </w:r>
    </w:p>
    <w:p w14:paraId="7A615232" w14:textId="77777777" w:rsidR="003E5E7F" w:rsidRDefault="00000000">
      <w:pPr>
        <w:pStyle w:val="Listenabsatz"/>
        <w:numPr>
          <w:ilvl w:val="0"/>
          <w:numId w:val="2"/>
        </w:numPr>
        <w:spacing w:after="60"/>
      </w:pPr>
      <w:r w:rsidRPr="00C01674">
        <w:rPr>
          <w:b/>
          <w:bCs/>
        </w:rPr>
        <w:t>Art, Format</w:t>
      </w:r>
      <w:r>
        <w:t xml:space="preserve"> und geschätzter </w:t>
      </w:r>
      <w:r w:rsidRPr="00C01674">
        <w:rPr>
          <w:b/>
          <w:bCs/>
        </w:rPr>
        <w:t xml:space="preserve">Umfang </w:t>
      </w:r>
      <w:r>
        <w:t>der Produktdaten, die das vernetzte Produkt generieren kann (</w:t>
      </w:r>
      <w:proofErr w:type="spellStart"/>
      <w:r>
        <w:t>lit</w:t>
      </w:r>
      <w:proofErr w:type="spellEnd"/>
      <w:r>
        <w:t>. a)</w:t>
      </w:r>
    </w:p>
    <w:p w14:paraId="029B4E11" w14:textId="77777777" w:rsidR="003E5E7F" w:rsidRDefault="00000000">
      <w:pPr>
        <w:pStyle w:val="Listenabsatz"/>
        <w:numPr>
          <w:ilvl w:val="0"/>
          <w:numId w:val="2"/>
        </w:numPr>
        <w:spacing w:after="60"/>
      </w:pPr>
      <w:r>
        <w:t xml:space="preserve">Angabe, ob das Produkt </w:t>
      </w:r>
      <w:r w:rsidRPr="00C01674">
        <w:rPr>
          <w:b/>
          <w:bCs/>
        </w:rPr>
        <w:t xml:space="preserve">Daten </w:t>
      </w:r>
      <w:r>
        <w:t xml:space="preserve">kontinuierlich und in Echtzeit </w:t>
      </w:r>
      <w:r w:rsidRPr="00C01674">
        <w:rPr>
          <w:b/>
          <w:bCs/>
        </w:rPr>
        <w:t>generiert (</w:t>
      </w:r>
      <w:proofErr w:type="spellStart"/>
      <w:r>
        <w:t>lit</w:t>
      </w:r>
      <w:proofErr w:type="spellEnd"/>
      <w:r>
        <w:t>. b)</w:t>
      </w:r>
    </w:p>
    <w:p w14:paraId="1B0E8612" w14:textId="77777777" w:rsidR="003E5E7F" w:rsidRDefault="00000000">
      <w:pPr>
        <w:pStyle w:val="Listenabsatz"/>
        <w:numPr>
          <w:ilvl w:val="0"/>
          <w:numId w:val="2"/>
        </w:numPr>
        <w:spacing w:after="60"/>
      </w:pPr>
      <w:r>
        <w:t xml:space="preserve">Angabe zur </w:t>
      </w:r>
      <w:r w:rsidRPr="00C01674">
        <w:rPr>
          <w:b/>
          <w:bCs/>
        </w:rPr>
        <w:t>Speicherung (</w:t>
      </w:r>
      <w:r>
        <w:t>On-Device/entfernter Server) einschließlich vorgesehener Speicherdauer (</w:t>
      </w:r>
      <w:proofErr w:type="spellStart"/>
      <w:r>
        <w:t>lit</w:t>
      </w:r>
      <w:proofErr w:type="spellEnd"/>
      <w:r>
        <w:t>. c)</w:t>
      </w:r>
    </w:p>
    <w:p w14:paraId="173A143F" w14:textId="77777777" w:rsidR="003E5E7F" w:rsidRDefault="00000000">
      <w:pPr>
        <w:pStyle w:val="Listenabsatz"/>
        <w:numPr>
          <w:ilvl w:val="0"/>
          <w:numId w:val="2"/>
        </w:numPr>
        <w:spacing w:after="60"/>
      </w:pPr>
      <w:r>
        <w:t xml:space="preserve">Angabe, wie der Nutzer auf die </w:t>
      </w:r>
      <w:r w:rsidRPr="00C01674">
        <w:rPr>
          <w:b/>
          <w:bCs/>
        </w:rPr>
        <w:t>Daten zugreifen</w:t>
      </w:r>
      <w:r>
        <w:t>, sie abrufen oder löschen kann, samt technischer Mittel, Nutzungsbedingungen und Dienstqualität (</w:t>
      </w:r>
      <w:proofErr w:type="spellStart"/>
      <w:r>
        <w:t>lit</w:t>
      </w:r>
      <w:proofErr w:type="spellEnd"/>
      <w:r>
        <w:t>. d)</w:t>
      </w:r>
    </w:p>
    <w:p w14:paraId="627D50E9" w14:textId="77777777" w:rsidR="00C01674" w:rsidRDefault="00C01674" w:rsidP="00C01674">
      <w:pPr>
        <w:spacing w:after="60"/>
      </w:pPr>
    </w:p>
    <w:p w14:paraId="1E3B719D" w14:textId="0437591E" w:rsidR="00C01674" w:rsidRDefault="00C01674" w:rsidP="00C01674">
      <w:pPr>
        <w:spacing w:after="60"/>
        <w:rPr>
          <w:color w:val="000000"/>
        </w:rPr>
      </w:pPr>
      <w:r>
        <w:rPr>
          <w:color w:val="000000"/>
        </w:rPr>
        <w:t>Diese Informationen sollen es dem Nutzer ermöglichen, bereits vor Vertragsschluss abzuschätzen, in welchem Umfang „seine“ Nutzungsdaten entstehen, wie stark er von der Infrastruktur des Herstellers abhängig ist und ob der versprochene Datenzugang seinen eigenen Nutzungsinteressen (z. B. Weitergabe an Dritte, Eigenanalyse) entspricht.</w:t>
      </w:r>
    </w:p>
    <w:p w14:paraId="1E76AE94" w14:textId="77777777" w:rsidR="00C01674" w:rsidRDefault="00C01674" w:rsidP="00C01674">
      <w:pPr>
        <w:spacing w:after="60"/>
      </w:pPr>
    </w:p>
    <w:p w14:paraId="2A2765BE" w14:textId="77777777" w:rsidR="003E5E7F" w:rsidRDefault="00000000">
      <w:pPr>
        <w:spacing w:after="140" w:line="276" w:lineRule="auto"/>
      </w:pPr>
      <w:r>
        <w:rPr>
          <w:b/>
          <w:bCs/>
        </w:rPr>
        <w:t xml:space="preserve">b) Informationen zu verbundenen Diensten (Art. 3 Abs. 3 </w:t>
      </w:r>
      <w:proofErr w:type="spellStart"/>
      <w:r>
        <w:rPr>
          <w:b/>
          <w:bCs/>
        </w:rPr>
        <w:t>lit</w:t>
      </w:r>
      <w:proofErr w:type="spellEnd"/>
      <w:r>
        <w:rPr>
          <w:b/>
          <w:bCs/>
        </w:rPr>
        <w:t>. a–i):</w:t>
      </w:r>
      <w:r>
        <w:rPr>
          <w:rStyle w:val="Funotenzeichen"/>
        </w:rPr>
        <w:footnoteReference w:id="4"/>
      </w:r>
    </w:p>
    <w:p w14:paraId="68798ED6" w14:textId="3EE8DDB2" w:rsidR="00C01674" w:rsidRDefault="00C01674" w:rsidP="00C01674">
      <w:pPr>
        <w:spacing w:after="60"/>
      </w:pPr>
      <w:r>
        <w:rPr>
          <w:color w:val="000000"/>
        </w:rPr>
        <w:t>Für verbundene Dienste konkretisiert Art. 3 Abs. 3 den Informationsumfang weiter. Zusätzlich zu den oben genannten Punkten sind u. a. bereitzustellen:</w:t>
      </w:r>
    </w:p>
    <w:p w14:paraId="4476EDFC" w14:textId="09179346" w:rsidR="003E5E7F" w:rsidRDefault="00000000">
      <w:pPr>
        <w:pStyle w:val="Listenabsatz"/>
        <w:numPr>
          <w:ilvl w:val="0"/>
          <w:numId w:val="2"/>
        </w:numPr>
        <w:spacing w:after="60"/>
      </w:pPr>
      <w:r>
        <w:lastRenderedPageBreak/>
        <w:t>Art, geschätzter Umfang und Häufigkeit der Erhebung der Produktdaten sowie Zugriffs-/Speichermodalitäten (</w:t>
      </w:r>
      <w:proofErr w:type="spellStart"/>
      <w:r>
        <w:t>lit</w:t>
      </w:r>
      <w:proofErr w:type="spellEnd"/>
      <w:r>
        <w:t>. a)</w:t>
      </w:r>
    </w:p>
    <w:p w14:paraId="2194ACB9" w14:textId="77777777" w:rsidR="003E5E7F" w:rsidRDefault="00000000">
      <w:pPr>
        <w:pStyle w:val="Listenabsatz"/>
        <w:numPr>
          <w:ilvl w:val="0"/>
          <w:numId w:val="2"/>
        </w:numPr>
        <w:spacing w:after="60"/>
      </w:pPr>
      <w:r>
        <w:t>Art und geschätzter Umfang der verbundenen Dienstdaten sowie Zugriffs-/Speichermodalitäten (</w:t>
      </w:r>
      <w:proofErr w:type="spellStart"/>
      <w:r>
        <w:t>lit</w:t>
      </w:r>
      <w:proofErr w:type="spellEnd"/>
      <w:r>
        <w:t>. b)</w:t>
      </w:r>
    </w:p>
    <w:p w14:paraId="5FB2F651" w14:textId="77777777" w:rsidR="003E5E7F" w:rsidRDefault="00000000">
      <w:pPr>
        <w:pStyle w:val="Listenabsatz"/>
        <w:numPr>
          <w:ilvl w:val="0"/>
          <w:numId w:val="2"/>
        </w:numPr>
        <w:spacing w:after="60"/>
      </w:pPr>
      <w:r>
        <w:t>Eigennutzung durch den Dateninhaber und Zwecke sowie etwaige Gestattung der Nutzung durch Dritte (</w:t>
      </w:r>
      <w:proofErr w:type="spellStart"/>
      <w:r>
        <w:t>lit</w:t>
      </w:r>
      <w:proofErr w:type="spellEnd"/>
      <w:r>
        <w:t>. c)</w:t>
      </w:r>
    </w:p>
    <w:p w14:paraId="6FA07BB5" w14:textId="77777777" w:rsidR="003E5E7F" w:rsidRDefault="00000000">
      <w:pPr>
        <w:pStyle w:val="Listenabsatz"/>
        <w:numPr>
          <w:ilvl w:val="0"/>
          <w:numId w:val="2"/>
        </w:numPr>
        <w:spacing w:after="60"/>
      </w:pPr>
      <w:r>
        <w:t>Identität des potenziellen Dateninhabers (Handelsname, Anschrift) und ggf. weiterer Parteien (</w:t>
      </w:r>
      <w:proofErr w:type="spellStart"/>
      <w:r>
        <w:t>lit</w:t>
      </w:r>
      <w:proofErr w:type="spellEnd"/>
      <w:r>
        <w:t>. d)</w:t>
      </w:r>
    </w:p>
    <w:p w14:paraId="7AB6B960" w14:textId="77777777" w:rsidR="003E5E7F" w:rsidRDefault="00000000">
      <w:pPr>
        <w:pStyle w:val="Listenabsatz"/>
        <w:numPr>
          <w:ilvl w:val="0"/>
          <w:numId w:val="2"/>
        </w:numPr>
        <w:spacing w:after="60"/>
      </w:pPr>
      <w:r>
        <w:t>Kommunikationsmittel zur schnellen Kontaktaufnahme (</w:t>
      </w:r>
      <w:proofErr w:type="spellStart"/>
      <w:r>
        <w:t>lit</w:t>
      </w:r>
      <w:proofErr w:type="spellEnd"/>
      <w:r>
        <w:t>. e)</w:t>
      </w:r>
    </w:p>
    <w:p w14:paraId="4EF283FF" w14:textId="77777777" w:rsidR="003E5E7F" w:rsidRDefault="00000000">
      <w:pPr>
        <w:pStyle w:val="Listenabsatz"/>
        <w:numPr>
          <w:ilvl w:val="0"/>
          <w:numId w:val="2"/>
        </w:numPr>
        <w:spacing w:after="60"/>
      </w:pPr>
      <w:r>
        <w:t>Verfahren zur Datenweitergabe an Dritte und zu deren Beendigung (</w:t>
      </w:r>
      <w:proofErr w:type="spellStart"/>
      <w:r>
        <w:t>lit</w:t>
      </w:r>
      <w:proofErr w:type="spellEnd"/>
      <w:r>
        <w:t>. f)</w:t>
      </w:r>
    </w:p>
    <w:p w14:paraId="48BEABAC" w14:textId="77777777" w:rsidR="003E5E7F" w:rsidRDefault="00000000">
      <w:pPr>
        <w:pStyle w:val="Listenabsatz"/>
        <w:numPr>
          <w:ilvl w:val="0"/>
          <w:numId w:val="2"/>
        </w:numPr>
        <w:spacing w:after="60"/>
      </w:pPr>
      <w:r>
        <w:t>Hinweis auf das Beschwerderecht bei der zuständigen Behörde, Art. 37 (</w:t>
      </w:r>
      <w:proofErr w:type="spellStart"/>
      <w:r>
        <w:t>lit</w:t>
      </w:r>
      <w:proofErr w:type="spellEnd"/>
      <w:r>
        <w:t>. g)</w:t>
      </w:r>
    </w:p>
    <w:p w14:paraId="55CCBDC0" w14:textId="77777777" w:rsidR="003E5E7F" w:rsidRDefault="00000000">
      <w:pPr>
        <w:pStyle w:val="Listenabsatz"/>
        <w:numPr>
          <w:ilvl w:val="0"/>
          <w:numId w:val="2"/>
        </w:numPr>
        <w:spacing w:after="60"/>
      </w:pPr>
      <w:r>
        <w:t>Angaben zu Geschäftsgeheimnissen in den zugänglichen Daten (</w:t>
      </w:r>
      <w:proofErr w:type="spellStart"/>
      <w:r>
        <w:t>lit</w:t>
      </w:r>
      <w:proofErr w:type="spellEnd"/>
      <w:r>
        <w:t>. h)</w:t>
      </w:r>
    </w:p>
    <w:p w14:paraId="2A98478B" w14:textId="77777777" w:rsidR="003E5E7F" w:rsidRDefault="00000000">
      <w:pPr>
        <w:pStyle w:val="Listenabsatz"/>
        <w:numPr>
          <w:ilvl w:val="0"/>
          <w:numId w:val="2"/>
        </w:numPr>
        <w:spacing w:after="60"/>
      </w:pPr>
      <w:r>
        <w:t>Vertragsdauer und Modalitäten der vorzeitigen Beendigung (</w:t>
      </w:r>
      <w:proofErr w:type="spellStart"/>
      <w:r>
        <w:t>lit</w:t>
      </w:r>
      <w:proofErr w:type="spellEnd"/>
      <w:r>
        <w:t>. i)</w:t>
      </w:r>
    </w:p>
    <w:p w14:paraId="169FFB9A" w14:textId="77777777" w:rsidR="00C01674" w:rsidRDefault="00C01674" w:rsidP="00C01674">
      <w:pPr>
        <w:spacing w:after="60"/>
      </w:pPr>
    </w:p>
    <w:p w14:paraId="7EC613BD" w14:textId="694D20FC" w:rsidR="00C01674" w:rsidRDefault="00C01674" w:rsidP="00C01674">
      <w:pPr>
        <w:spacing w:after="60"/>
        <w:rPr>
          <w:color w:val="000000"/>
        </w:rPr>
      </w:pPr>
      <w:r>
        <w:rPr>
          <w:color w:val="000000"/>
        </w:rPr>
        <w:t xml:space="preserve">Damit werden die Nutzer nicht nur über die bloße Existenz von Datenflüssen informiert, sondern erhalten auch Einblick in die ökonomische und technische Nutzung dieser Daten. Die präkontraktuelle Information erfüllt somit eine </w:t>
      </w:r>
      <w:r>
        <w:rPr>
          <w:b/>
          <w:bCs/>
          <w:color w:val="000000"/>
        </w:rPr>
        <w:t>Doppelfunktion</w:t>
      </w:r>
      <w:r>
        <w:rPr>
          <w:color w:val="000000"/>
        </w:rPr>
        <w:t>: Sie dient einerseits der individuellen Entscheidungsautonomie, andererseits der strukturellen Transparenz der Datenwertschöpfungsketten.</w:t>
      </w:r>
    </w:p>
    <w:p w14:paraId="3E71ED14" w14:textId="77777777" w:rsidR="00C01674" w:rsidRDefault="00C01674" w:rsidP="00C01674">
      <w:pPr>
        <w:spacing w:after="60"/>
      </w:pPr>
    </w:p>
    <w:p w14:paraId="2EFD5C57" w14:textId="77777777" w:rsidR="003E5E7F" w:rsidRDefault="00000000">
      <w:pPr>
        <w:pStyle w:val="berschrift3"/>
      </w:pPr>
      <w:bookmarkStart w:id="11" w:name="_Toc232151339"/>
      <w:r>
        <w:t>2.3.3 Anforderungen an Verständlichkeit, Umfang und Zeitpunkt</w:t>
      </w:r>
      <w:bookmarkEnd w:id="11"/>
    </w:p>
    <w:p w14:paraId="2CA0A6E2" w14:textId="77777777" w:rsidR="00C01674" w:rsidRPr="00C01674" w:rsidRDefault="00C01674" w:rsidP="00C01674">
      <w:pPr>
        <w:spacing w:before="240" w:after="240"/>
        <w:rPr>
          <w:rFonts w:ascii="Times New Roman" w:eastAsia="Times New Roman" w:hAnsi="Times New Roman" w:cs="Times New Roman"/>
          <w:color w:val="000000"/>
          <w:sz w:val="24"/>
          <w:szCs w:val="24"/>
        </w:rPr>
      </w:pPr>
      <w:r w:rsidRPr="00C01674">
        <w:rPr>
          <w:rFonts w:eastAsia="Times New Roman"/>
          <w:color w:val="000000"/>
        </w:rPr>
        <w:t xml:space="preserve">Art. 3 stellt nicht nur fest, </w:t>
      </w:r>
      <w:r w:rsidRPr="00C01674">
        <w:rPr>
          <w:rFonts w:eastAsia="Times New Roman"/>
          <w:b/>
          <w:bCs/>
          <w:color w:val="000000"/>
        </w:rPr>
        <w:t>dass</w:t>
      </w:r>
      <w:r w:rsidRPr="00C01674">
        <w:rPr>
          <w:rFonts w:eastAsia="Times New Roman"/>
          <w:color w:val="000000"/>
        </w:rPr>
        <w:t xml:space="preserve"> zu informieren ist, sondern enthält implizit auch qualitative Anforderungen </w:t>
      </w:r>
      <w:r w:rsidRPr="00C01674">
        <w:rPr>
          <w:rFonts w:eastAsia="Times New Roman"/>
          <w:b/>
          <w:bCs/>
          <w:color w:val="000000"/>
        </w:rPr>
        <w:t>wie</w:t>
      </w:r>
      <w:r w:rsidRPr="00C01674">
        <w:rPr>
          <w:rFonts w:eastAsia="Times New Roman"/>
          <w:color w:val="000000"/>
        </w:rPr>
        <w:t xml:space="preserve"> zu informieren ist.</w:t>
      </w:r>
    </w:p>
    <w:p w14:paraId="2A2EF921" w14:textId="7D3FED75" w:rsidR="00C01674" w:rsidRPr="00C01674" w:rsidRDefault="00C01674" w:rsidP="00C01674">
      <w:pPr>
        <w:numPr>
          <w:ilvl w:val="0"/>
          <w:numId w:val="8"/>
        </w:numPr>
        <w:spacing w:before="240"/>
        <w:textAlignment w:val="baseline"/>
        <w:rPr>
          <w:rFonts w:eastAsia="Times New Roman"/>
          <w:color w:val="000000"/>
        </w:rPr>
      </w:pPr>
      <w:r w:rsidRPr="00C01674">
        <w:rPr>
          <w:rFonts w:eastAsia="Times New Roman"/>
          <w:b/>
          <w:bCs/>
          <w:color w:val="000000"/>
        </w:rPr>
        <w:t>Verständlichkeit und Zugänglichkeit</w:t>
      </w:r>
      <w:r w:rsidRPr="00C01674">
        <w:rPr>
          <w:rFonts w:eastAsia="Times New Roman"/>
          <w:b/>
          <w:bCs/>
          <w:color w:val="000000"/>
        </w:rPr>
        <w:br/>
      </w:r>
      <w:r w:rsidRPr="00C01674">
        <w:rPr>
          <w:rFonts w:eastAsia="Times New Roman"/>
          <w:color w:val="000000"/>
        </w:rPr>
        <w:t xml:space="preserve"> Die bereitgestellten Informationen müssen in klarer und </w:t>
      </w:r>
      <w:r w:rsidRPr="00C01674">
        <w:rPr>
          <w:rFonts w:eastAsia="Times New Roman"/>
          <w:color w:val="000000"/>
        </w:rPr>
        <w:t>verständlicherweise</w:t>
      </w:r>
      <w:r w:rsidRPr="00C01674">
        <w:rPr>
          <w:rFonts w:eastAsia="Times New Roman"/>
          <w:color w:val="000000"/>
        </w:rPr>
        <w:t xml:space="preserve"> erfolgen. Daraus folgt:</w:t>
      </w:r>
      <w:r w:rsidRPr="00C01674">
        <w:rPr>
          <w:rFonts w:eastAsia="Times New Roman"/>
          <w:color w:val="000000"/>
        </w:rPr>
        <w:br/>
      </w:r>
    </w:p>
    <w:p w14:paraId="67183656" w14:textId="77777777" w:rsidR="00C01674" w:rsidRPr="00C01674" w:rsidRDefault="00C01674" w:rsidP="00C01674">
      <w:pPr>
        <w:numPr>
          <w:ilvl w:val="1"/>
          <w:numId w:val="8"/>
        </w:numPr>
        <w:textAlignment w:val="baseline"/>
        <w:rPr>
          <w:rFonts w:eastAsia="Times New Roman"/>
          <w:color w:val="000000"/>
        </w:rPr>
      </w:pPr>
      <w:r w:rsidRPr="00C01674">
        <w:rPr>
          <w:rFonts w:eastAsia="Times New Roman"/>
          <w:color w:val="000000"/>
        </w:rPr>
        <w:t>Vermeidung ausschließlich technischer oder rechtlich stark verklausulierter Beschreibungen,</w:t>
      </w:r>
    </w:p>
    <w:p w14:paraId="26E968CC" w14:textId="77777777" w:rsidR="00C01674" w:rsidRPr="00C01674" w:rsidRDefault="00C01674" w:rsidP="00C01674">
      <w:pPr>
        <w:numPr>
          <w:ilvl w:val="1"/>
          <w:numId w:val="8"/>
        </w:numPr>
        <w:textAlignment w:val="baseline"/>
        <w:rPr>
          <w:rFonts w:eastAsia="Times New Roman"/>
          <w:color w:val="000000"/>
        </w:rPr>
      </w:pPr>
      <w:r w:rsidRPr="00C01674">
        <w:rPr>
          <w:rFonts w:eastAsia="Times New Roman"/>
          <w:color w:val="000000"/>
        </w:rPr>
        <w:t>ggf. Einsatz von mehrstufigen Informationsformaten (z. B. Kurzüberblick + Detaildokumentation),</w:t>
      </w:r>
    </w:p>
    <w:p w14:paraId="63660EA2" w14:textId="462315D2" w:rsidR="00C01674" w:rsidRDefault="00C01674" w:rsidP="00C01674">
      <w:pPr>
        <w:numPr>
          <w:ilvl w:val="1"/>
          <w:numId w:val="8"/>
        </w:numPr>
        <w:textAlignment w:val="baseline"/>
        <w:rPr>
          <w:rFonts w:eastAsia="Times New Roman"/>
          <w:color w:val="000000"/>
        </w:rPr>
      </w:pPr>
      <w:r w:rsidRPr="00C01674">
        <w:rPr>
          <w:rFonts w:eastAsia="Times New Roman"/>
          <w:color w:val="000000"/>
        </w:rPr>
        <w:t xml:space="preserve">Bereitstellung in einer Form, die Nutzer dauerhaft speichern und leicht wiederauffinden können </w:t>
      </w:r>
      <w:r>
        <w:t xml:space="preserve">z. B. Download, </w:t>
      </w:r>
      <w:r w:rsidRPr="00C01674">
        <w:rPr>
          <w:rFonts w:eastAsia="Times New Roman"/>
          <w:color w:val="000000"/>
        </w:rPr>
        <w:t>E</w:t>
      </w:r>
      <w:r w:rsidRPr="00C01674">
        <w:rPr>
          <w:rFonts w:eastAsia="Times New Roman"/>
          <w:color w:val="000000"/>
        </w:rPr>
        <w:noBreakHyphen/>
        <w:t>Mail, QR</w:t>
      </w:r>
      <w:r w:rsidRPr="00C01674">
        <w:rPr>
          <w:rFonts w:eastAsia="Times New Roman"/>
          <w:color w:val="000000"/>
        </w:rPr>
        <w:noBreakHyphen/>
        <w:t xml:space="preserve">Code </w:t>
      </w:r>
      <w:proofErr w:type="gramStart"/>
      <w:r w:rsidRPr="00C01674">
        <w:rPr>
          <w:rFonts w:eastAsia="Times New Roman"/>
          <w:color w:val="000000"/>
        </w:rPr>
        <w:t xml:space="preserve">mit </w:t>
      </w:r>
      <w:r>
        <w:t>stabiler Link</w:t>
      </w:r>
      <w:proofErr w:type="gramEnd"/>
      <w:r>
        <w:t>).</w:t>
      </w:r>
      <w:r>
        <w:rPr>
          <w:rStyle w:val="Funotenzeichen"/>
        </w:rPr>
        <w:footnoteReference w:id="5"/>
      </w:r>
    </w:p>
    <w:p w14:paraId="5A8AE3A3" w14:textId="77777777" w:rsidR="00C01674" w:rsidRPr="00C01674" w:rsidRDefault="00C01674" w:rsidP="00C01674">
      <w:pPr>
        <w:textAlignment w:val="baseline"/>
        <w:rPr>
          <w:rFonts w:eastAsia="Times New Roman"/>
          <w:color w:val="000000"/>
        </w:rPr>
      </w:pPr>
    </w:p>
    <w:p w14:paraId="5D4C435A" w14:textId="3D018EE8" w:rsidR="00C01674" w:rsidRPr="00C01674" w:rsidRDefault="00C01674" w:rsidP="00C01674">
      <w:pPr>
        <w:numPr>
          <w:ilvl w:val="0"/>
          <w:numId w:val="8"/>
        </w:numPr>
        <w:textAlignment w:val="baseline"/>
        <w:rPr>
          <w:rFonts w:eastAsia="Times New Roman"/>
          <w:color w:val="000000"/>
        </w:rPr>
      </w:pPr>
      <w:r w:rsidRPr="00C01674">
        <w:rPr>
          <w:rFonts w:eastAsia="Times New Roman"/>
          <w:b/>
          <w:bCs/>
          <w:color w:val="000000"/>
        </w:rPr>
        <w:t>Umfang und inhaltliche Vollständigkeit</w:t>
      </w:r>
      <w:r w:rsidRPr="00C01674">
        <w:rPr>
          <w:rFonts w:eastAsia="Times New Roman"/>
          <w:b/>
          <w:bCs/>
          <w:color w:val="000000"/>
        </w:rPr>
        <w:br/>
      </w:r>
      <w:r w:rsidRPr="00C01674">
        <w:rPr>
          <w:rFonts w:eastAsia="Times New Roman"/>
          <w:color w:val="000000"/>
        </w:rPr>
        <w:t xml:space="preserve"> Der Informationsumfang ist durch den Katalog in Art. 3 Abs. 2 und 3 vorstrukturiert. Unternehmen sind gehalten,</w:t>
      </w:r>
      <w:r w:rsidRPr="00C01674">
        <w:rPr>
          <w:rFonts w:eastAsia="Times New Roman"/>
          <w:color w:val="000000"/>
        </w:rPr>
        <w:br/>
      </w:r>
    </w:p>
    <w:p w14:paraId="51C0C01E" w14:textId="77777777" w:rsidR="00C01674" w:rsidRPr="00C01674" w:rsidRDefault="00C01674" w:rsidP="00C01674">
      <w:pPr>
        <w:numPr>
          <w:ilvl w:val="1"/>
          <w:numId w:val="8"/>
        </w:numPr>
        <w:textAlignment w:val="baseline"/>
        <w:rPr>
          <w:rFonts w:eastAsia="Times New Roman"/>
          <w:color w:val="000000"/>
        </w:rPr>
      </w:pPr>
      <w:r w:rsidRPr="00C01674">
        <w:rPr>
          <w:rFonts w:eastAsia="Times New Roman"/>
          <w:color w:val="000000"/>
        </w:rPr>
        <w:t>alle dort genannten Punkte abzudecken,</w:t>
      </w:r>
    </w:p>
    <w:p w14:paraId="6A97125E" w14:textId="77777777" w:rsidR="00C01674" w:rsidRDefault="00C01674" w:rsidP="00C01674">
      <w:pPr>
        <w:numPr>
          <w:ilvl w:val="1"/>
          <w:numId w:val="8"/>
        </w:numPr>
        <w:textAlignment w:val="baseline"/>
        <w:rPr>
          <w:rFonts w:eastAsia="Times New Roman"/>
          <w:color w:val="000000"/>
        </w:rPr>
      </w:pPr>
      <w:r w:rsidRPr="00C01674">
        <w:rPr>
          <w:rFonts w:eastAsia="Times New Roman"/>
          <w:color w:val="000000"/>
        </w:rPr>
        <w:t>sowie produktspezifische Besonderheiten transparent zu machen (z. B. spezielle Kategorien sensibler Daten oder besondere technische Beschränkungen beim Datenzugang).</w:t>
      </w:r>
      <w:r w:rsidRPr="00C01674">
        <w:rPr>
          <w:rFonts w:eastAsia="Times New Roman"/>
          <w:color w:val="000000"/>
        </w:rPr>
        <w:br/>
        <w:t xml:space="preserve"> Eine bloße pauschale oder allgemein gehaltene Datenschutzerklärung wird diesen Anforderungen regelmäßig nicht genügen.</w:t>
      </w:r>
    </w:p>
    <w:p w14:paraId="0C44CAE7" w14:textId="77777777" w:rsidR="00C01674" w:rsidRPr="00C01674" w:rsidRDefault="00C01674" w:rsidP="00C01674">
      <w:pPr>
        <w:textAlignment w:val="baseline"/>
        <w:rPr>
          <w:rFonts w:eastAsia="Times New Roman"/>
          <w:color w:val="000000"/>
        </w:rPr>
      </w:pPr>
    </w:p>
    <w:p w14:paraId="40A88753" w14:textId="4CC2DE85" w:rsidR="00C01674" w:rsidRPr="00C01674" w:rsidRDefault="00C01674" w:rsidP="00C01674">
      <w:pPr>
        <w:numPr>
          <w:ilvl w:val="0"/>
          <w:numId w:val="8"/>
        </w:numPr>
        <w:textAlignment w:val="baseline"/>
        <w:rPr>
          <w:rFonts w:eastAsia="Times New Roman"/>
          <w:color w:val="000000"/>
        </w:rPr>
      </w:pPr>
      <w:r w:rsidRPr="00C01674">
        <w:rPr>
          <w:rFonts w:eastAsia="Times New Roman"/>
          <w:b/>
          <w:bCs/>
          <w:color w:val="000000"/>
        </w:rPr>
        <w:t>Zeitpunkt der Information</w:t>
      </w:r>
      <w:r w:rsidRPr="00C01674">
        <w:rPr>
          <w:rFonts w:eastAsia="Times New Roman"/>
          <w:b/>
          <w:bCs/>
          <w:color w:val="000000"/>
        </w:rPr>
        <w:br/>
      </w:r>
      <w:r w:rsidRPr="00C01674">
        <w:rPr>
          <w:rFonts w:eastAsia="Times New Roman"/>
          <w:color w:val="000000"/>
        </w:rPr>
        <w:t xml:space="preserve"> </w:t>
      </w:r>
      <w:r w:rsidRPr="00C01674">
        <w:rPr>
          <w:rFonts w:eastAsia="Times New Roman"/>
          <w:color w:val="000000"/>
        </w:rPr>
        <w:t>zentral</w:t>
      </w:r>
      <w:r w:rsidRPr="00C01674">
        <w:rPr>
          <w:rFonts w:eastAsia="Times New Roman"/>
          <w:color w:val="000000"/>
        </w:rPr>
        <w:t xml:space="preserve"> ist, dass sämtliche Informationen </w:t>
      </w:r>
      <w:r w:rsidRPr="00C01674">
        <w:rPr>
          <w:rFonts w:eastAsia="Times New Roman"/>
          <w:b/>
          <w:bCs/>
          <w:color w:val="000000"/>
        </w:rPr>
        <w:t>vor Vertragsschluss</w:t>
      </w:r>
      <w:r w:rsidRPr="00C01674">
        <w:rPr>
          <w:rFonts w:eastAsia="Times New Roman"/>
          <w:color w:val="000000"/>
        </w:rPr>
        <w:t xml:space="preserve"> bereitgestellt werden. </w:t>
      </w:r>
      <w:r w:rsidRPr="00C01674">
        <w:rPr>
          <w:rFonts w:eastAsia="Times New Roman"/>
          <w:color w:val="000000"/>
        </w:rPr>
        <w:lastRenderedPageBreak/>
        <w:t>Das bedeutet:</w:t>
      </w:r>
      <w:r w:rsidRPr="00C01674">
        <w:rPr>
          <w:rFonts w:eastAsia="Times New Roman"/>
          <w:color w:val="000000"/>
        </w:rPr>
        <w:br/>
      </w:r>
      <w:r w:rsidRPr="00C01674">
        <w:rPr>
          <w:rFonts w:eastAsia="Times New Roman"/>
          <w:color w:val="000000"/>
        </w:rPr>
        <w:br/>
      </w:r>
    </w:p>
    <w:p w14:paraId="1C5C5991" w14:textId="77777777" w:rsidR="00C01674" w:rsidRPr="00C01674" w:rsidRDefault="00C01674" w:rsidP="00C01674">
      <w:pPr>
        <w:numPr>
          <w:ilvl w:val="1"/>
          <w:numId w:val="8"/>
        </w:numPr>
        <w:textAlignment w:val="baseline"/>
        <w:rPr>
          <w:rFonts w:eastAsia="Times New Roman"/>
          <w:color w:val="000000"/>
        </w:rPr>
      </w:pPr>
      <w:r w:rsidRPr="00C01674">
        <w:rPr>
          <w:rFonts w:eastAsia="Times New Roman"/>
          <w:color w:val="000000"/>
        </w:rPr>
        <w:t>Die Informationen müssen dem Nutzer in dem Moment vorliegen, in dem er seine Entscheidung über den Erwerb oder die Nutzung des Produkts bzw. Dienstes trifft.</w:t>
      </w:r>
    </w:p>
    <w:p w14:paraId="1DE4BE0F" w14:textId="77777777" w:rsidR="00C01674" w:rsidRPr="00C01674" w:rsidRDefault="00C01674" w:rsidP="00C01674">
      <w:pPr>
        <w:numPr>
          <w:ilvl w:val="1"/>
          <w:numId w:val="8"/>
        </w:numPr>
        <w:textAlignment w:val="baseline"/>
        <w:rPr>
          <w:rFonts w:eastAsia="Times New Roman"/>
          <w:color w:val="000000"/>
        </w:rPr>
      </w:pPr>
      <w:r w:rsidRPr="00C01674">
        <w:rPr>
          <w:rFonts w:eastAsia="Times New Roman"/>
          <w:color w:val="000000"/>
        </w:rPr>
        <w:t xml:space="preserve">Eine nachträgliche Bereitstellung (z. B. erst nach Registrierung im Nutzerkonto) erfüllt die </w:t>
      </w:r>
      <w:proofErr w:type="spellStart"/>
      <w:r w:rsidRPr="00C01674">
        <w:rPr>
          <w:rFonts w:eastAsia="Times New Roman"/>
          <w:color w:val="000000"/>
        </w:rPr>
        <w:t>Präkontraktualität</w:t>
      </w:r>
      <w:proofErr w:type="spellEnd"/>
      <w:r w:rsidRPr="00C01674">
        <w:rPr>
          <w:rFonts w:eastAsia="Times New Roman"/>
          <w:color w:val="000000"/>
        </w:rPr>
        <w:t xml:space="preserve"> nicht.</w:t>
      </w:r>
    </w:p>
    <w:p w14:paraId="6B5C09A2" w14:textId="77777777" w:rsidR="00C01674" w:rsidRPr="00C01674" w:rsidRDefault="00C01674" w:rsidP="00C01674">
      <w:pPr>
        <w:numPr>
          <w:ilvl w:val="1"/>
          <w:numId w:val="8"/>
        </w:numPr>
        <w:spacing w:after="240"/>
        <w:textAlignment w:val="baseline"/>
        <w:rPr>
          <w:rFonts w:eastAsia="Times New Roman"/>
          <w:color w:val="000000"/>
        </w:rPr>
      </w:pPr>
      <w:r w:rsidRPr="00C01674">
        <w:rPr>
          <w:rFonts w:eastAsia="Times New Roman"/>
          <w:color w:val="000000"/>
        </w:rPr>
        <w:t xml:space="preserve">Änderungen relevanter Datenpraktiken (z. B. neue Nutzungszwecke oder zusätzliche Datenkategorien) lösen zudem eine </w:t>
      </w:r>
      <w:r w:rsidRPr="00C01674">
        <w:rPr>
          <w:rFonts w:eastAsia="Times New Roman"/>
          <w:b/>
          <w:bCs/>
          <w:color w:val="000000"/>
        </w:rPr>
        <w:t>Aktualisierungspflicht</w:t>
      </w:r>
      <w:r w:rsidRPr="00C01674">
        <w:rPr>
          <w:rFonts w:eastAsia="Times New Roman"/>
          <w:color w:val="000000"/>
        </w:rPr>
        <w:t xml:space="preserve"> aus, um die Transparenz auch im laufenden Vertragsverhältnis zu gewährleisten.</w:t>
      </w:r>
    </w:p>
    <w:p w14:paraId="44EA70EE" w14:textId="19BCB8C2" w:rsidR="00C01674" w:rsidRPr="00C01674" w:rsidRDefault="00C01674" w:rsidP="00C01674">
      <w:pPr>
        <w:spacing w:before="240" w:after="240"/>
        <w:rPr>
          <w:rFonts w:ascii="Times New Roman" w:eastAsia="Times New Roman" w:hAnsi="Times New Roman" w:cs="Times New Roman"/>
          <w:color w:val="000000"/>
          <w:sz w:val="24"/>
          <w:szCs w:val="24"/>
        </w:rPr>
      </w:pPr>
      <w:r w:rsidRPr="00C01674">
        <w:rPr>
          <w:rFonts w:eastAsia="Times New Roman"/>
          <w:color w:val="000000"/>
        </w:rPr>
        <w:t xml:space="preserve">Diese Anforderungen bilden zusammen </w:t>
      </w:r>
      <w:r w:rsidRPr="00C01674">
        <w:rPr>
          <w:rFonts w:eastAsia="Times New Roman"/>
          <w:color w:val="000000"/>
        </w:rPr>
        <w:t>einen</w:t>
      </w:r>
      <w:r w:rsidRPr="00C01674">
        <w:rPr>
          <w:rFonts w:eastAsia="Times New Roman"/>
          <w:color w:val="000000"/>
        </w:rPr>
        <w:t xml:space="preserve"> hohen Standard an </w:t>
      </w:r>
      <w:r w:rsidRPr="00C01674">
        <w:rPr>
          <w:rFonts w:eastAsia="Times New Roman"/>
          <w:b/>
          <w:bCs/>
          <w:color w:val="000000"/>
        </w:rPr>
        <w:t>qualitativer Transparenz</w:t>
      </w:r>
      <w:r w:rsidRPr="00C01674">
        <w:rPr>
          <w:rFonts w:eastAsia="Times New Roman"/>
          <w:color w:val="000000"/>
        </w:rPr>
        <w:t>, der über klassische informationspflichten im Verbraucherschutzrecht hinausgeht, weil er explizit auf die Besonderheiten datengetriebener IoT</w:t>
      </w:r>
      <w:r w:rsidRPr="00C01674">
        <w:rPr>
          <w:rFonts w:eastAsia="Times New Roman"/>
          <w:color w:val="000000"/>
        </w:rPr>
        <w:noBreakHyphen/>
        <w:t>Ökosysteme zugeschnitten ist.</w:t>
      </w:r>
    </w:p>
    <w:p w14:paraId="20B7682F" w14:textId="77777777" w:rsidR="00C01674" w:rsidRDefault="00C01674">
      <w:pPr>
        <w:pStyle w:val="berschrift2"/>
      </w:pPr>
      <w:bookmarkStart w:id="12" w:name="_Toc232151340"/>
    </w:p>
    <w:p w14:paraId="5E253BB6" w14:textId="5283AE02" w:rsidR="003E5E7F" w:rsidRDefault="00000000">
      <w:pPr>
        <w:pStyle w:val="berschrift2"/>
      </w:pPr>
      <w:r>
        <w:t>2.4 Zwischenfazit: Rechtlicher Soll-Zustand und Compliance-Kriterien</w:t>
      </w:r>
      <w:bookmarkEnd w:id="12"/>
    </w:p>
    <w:p w14:paraId="72D51485" w14:textId="77777777" w:rsidR="00C01674" w:rsidRDefault="00C01674" w:rsidP="00C01674">
      <w:pPr>
        <w:pStyle w:val="StandardWeb"/>
        <w:spacing w:before="240" w:after="240"/>
        <w:rPr>
          <w:color w:val="000000"/>
        </w:rPr>
      </w:pPr>
      <w:r>
        <w:rPr>
          <w:rFonts w:ascii="Arial" w:hAnsi="Arial" w:cs="Arial"/>
          <w:color w:val="000000"/>
          <w:sz w:val="22"/>
          <w:szCs w:val="22"/>
        </w:rPr>
        <w:t xml:space="preserve">Vor dem Hintergrund der vorangegangenen Ausführungen lässt sich der durch Art. 3 Data Act normierte </w:t>
      </w:r>
      <w:r>
        <w:rPr>
          <w:rFonts w:ascii="Arial" w:hAnsi="Arial" w:cs="Arial"/>
          <w:b/>
          <w:bCs/>
          <w:color w:val="000000"/>
          <w:sz w:val="22"/>
          <w:szCs w:val="22"/>
        </w:rPr>
        <w:t>rechtliche Soll</w:t>
      </w:r>
      <w:r>
        <w:rPr>
          <w:rFonts w:ascii="Arial" w:hAnsi="Arial" w:cs="Arial"/>
          <w:b/>
          <w:bCs/>
          <w:color w:val="000000"/>
          <w:sz w:val="22"/>
          <w:szCs w:val="22"/>
        </w:rPr>
        <w:noBreakHyphen/>
        <w:t>Zustand</w:t>
      </w:r>
      <w:r>
        <w:rPr>
          <w:rFonts w:ascii="Arial" w:hAnsi="Arial" w:cs="Arial"/>
          <w:color w:val="000000"/>
          <w:sz w:val="22"/>
          <w:szCs w:val="22"/>
        </w:rPr>
        <w:t xml:space="preserve"> wie folgt zusammenfassen.</w:t>
      </w:r>
    </w:p>
    <w:p w14:paraId="738138A9" w14:textId="77777777" w:rsidR="00C01674" w:rsidRDefault="00C01674" w:rsidP="00C01674">
      <w:pPr>
        <w:pStyle w:val="berschrift4"/>
        <w:spacing w:before="240" w:after="40"/>
        <w:rPr>
          <w:color w:val="000000"/>
        </w:rPr>
      </w:pPr>
      <w:r>
        <w:rPr>
          <w:color w:val="000000"/>
        </w:rPr>
        <w:t>2.4.1 Zusammenfassung der juristischen Anforderungen an Unternehmen</w:t>
      </w:r>
    </w:p>
    <w:p w14:paraId="3F679F75" w14:textId="77777777" w:rsidR="00C01674" w:rsidRDefault="00C01674" w:rsidP="00C01674">
      <w:pPr>
        <w:pStyle w:val="StandardWeb"/>
        <w:spacing w:before="240" w:after="240"/>
        <w:rPr>
          <w:color w:val="000000"/>
        </w:rPr>
      </w:pPr>
      <w:r>
        <w:rPr>
          <w:rFonts w:ascii="Arial" w:hAnsi="Arial" w:cs="Arial"/>
          <w:color w:val="000000"/>
          <w:sz w:val="22"/>
          <w:szCs w:val="22"/>
        </w:rPr>
        <w:t>Unternehmen, die vernetzte Produkte auf den Markt bringen oder verbundene Dienste anbieten, unterliegen nach Art. 3 insbesondere folgenden Pflichten:</w:t>
      </w:r>
    </w:p>
    <w:p w14:paraId="055D3349" w14:textId="77777777" w:rsidR="00C01674" w:rsidRDefault="00C01674" w:rsidP="00C01674">
      <w:pPr>
        <w:pStyle w:val="StandardWeb"/>
        <w:numPr>
          <w:ilvl w:val="0"/>
          <w:numId w:val="9"/>
        </w:numPr>
        <w:spacing w:before="240"/>
        <w:textAlignment w:val="baseline"/>
        <w:rPr>
          <w:rFonts w:ascii="Arial" w:hAnsi="Arial" w:cs="Arial"/>
          <w:color w:val="000000"/>
          <w:sz w:val="22"/>
          <w:szCs w:val="22"/>
        </w:rPr>
      </w:pPr>
      <w:r>
        <w:rPr>
          <w:rFonts w:ascii="Arial" w:hAnsi="Arial" w:cs="Arial"/>
          <w:b/>
          <w:bCs/>
          <w:color w:val="FF0000"/>
          <w:sz w:val="22"/>
          <w:szCs w:val="22"/>
        </w:rPr>
        <w:t>Access</w:t>
      </w:r>
      <w:r>
        <w:rPr>
          <w:rFonts w:ascii="Arial" w:hAnsi="Arial" w:cs="Arial"/>
          <w:b/>
          <w:bCs/>
          <w:color w:val="FF0000"/>
          <w:sz w:val="22"/>
          <w:szCs w:val="22"/>
        </w:rPr>
        <w:noBreakHyphen/>
      </w:r>
      <w:proofErr w:type="spellStart"/>
      <w:r>
        <w:rPr>
          <w:rFonts w:ascii="Arial" w:hAnsi="Arial" w:cs="Arial"/>
          <w:b/>
          <w:bCs/>
          <w:color w:val="FF0000"/>
          <w:sz w:val="22"/>
          <w:szCs w:val="22"/>
        </w:rPr>
        <w:t>by</w:t>
      </w:r>
      <w:proofErr w:type="spellEnd"/>
      <w:r>
        <w:rPr>
          <w:rFonts w:ascii="Arial" w:hAnsi="Arial" w:cs="Arial"/>
          <w:b/>
          <w:bCs/>
          <w:color w:val="FF0000"/>
          <w:sz w:val="22"/>
          <w:szCs w:val="22"/>
        </w:rPr>
        <w:noBreakHyphen/>
        <w:t>Design</w:t>
      </w:r>
      <w:r>
        <w:rPr>
          <w:rFonts w:ascii="Arial" w:hAnsi="Arial" w:cs="Arial"/>
          <w:b/>
          <w:bCs/>
          <w:color w:val="FF0000"/>
          <w:sz w:val="22"/>
          <w:szCs w:val="22"/>
        </w:rPr>
        <w:noBreakHyphen/>
        <w:t>Pflicht</w:t>
      </w:r>
      <w:r>
        <w:rPr>
          <w:rFonts w:ascii="Arial" w:hAnsi="Arial" w:cs="Arial"/>
          <w:b/>
          <w:bCs/>
          <w:color w:val="000000"/>
          <w:sz w:val="22"/>
          <w:szCs w:val="22"/>
        </w:rPr>
        <w:t xml:space="preserve"> (Art. 3 Abs. 1)</w:t>
      </w:r>
      <w:r>
        <w:rPr>
          <w:rFonts w:ascii="Arial" w:hAnsi="Arial" w:cs="Arial"/>
          <w:b/>
          <w:bCs/>
          <w:color w:val="000000"/>
          <w:sz w:val="22"/>
          <w:szCs w:val="22"/>
        </w:rPr>
        <w:br/>
      </w:r>
      <w:r>
        <w:rPr>
          <w:rFonts w:ascii="Arial" w:hAnsi="Arial" w:cs="Arial"/>
          <w:color w:val="000000"/>
          <w:sz w:val="22"/>
          <w:szCs w:val="22"/>
        </w:rPr>
        <w:t xml:space="preserve"> Produkte und Dienste sind technisch so auszugestalten, dass Nutzungsdaten standardmäßig leicht, sicher, kostenfrei und in einem strukturierten, gängigen und maschinenlesbaren Format zugänglich sind. Dies impliziert u. a.:</w:t>
      </w:r>
      <w:r>
        <w:rPr>
          <w:rFonts w:ascii="Arial" w:hAnsi="Arial" w:cs="Arial"/>
          <w:color w:val="000000"/>
          <w:sz w:val="22"/>
          <w:szCs w:val="22"/>
        </w:rPr>
        <w:br/>
      </w:r>
      <w:r>
        <w:rPr>
          <w:rFonts w:ascii="Arial" w:hAnsi="Arial" w:cs="Arial"/>
          <w:color w:val="000000"/>
          <w:sz w:val="22"/>
          <w:szCs w:val="22"/>
        </w:rPr>
        <w:br/>
      </w:r>
    </w:p>
    <w:p w14:paraId="63851A96" w14:textId="77777777" w:rsidR="00C01674" w:rsidRDefault="00C01674" w:rsidP="00C01674">
      <w:pPr>
        <w:pStyle w:val="StandardWeb"/>
        <w:numPr>
          <w:ilvl w:val="1"/>
          <w:numId w:val="9"/>
        </w:numPr>
        <w:textAlignment w:val="baseline"/>
        <w:rPr>
          <w:rFonts w:ascii="Arial" w:hAnsi="Arial" w:cs="Arial"/>
          <w:color w:val="000000"/>
          <w:sz w:val="22"/>
          <w:szCs w:val="22"/>
        </w:rPr>
      </w:pPr>
      <w:r>
        <w:rPr>
          <w:rFonts w:ascii="Arial" w:hAnsi="Arial" w:cs="Arial"/>
          <w:color w:val="000000"/>
          <w:sz w:val="22"/>
          <w:szCs w:val="22"/>
        </w:rPr>
        <w:t>vorhandene technische Schnittstellen (z. B. APIs, Exportfunktionen),</w:t>
      </w:r>
    </w:p>
    <w:p w14:paraId="0459C6A3" w14:textId="77777777" w:rsidR="00C01674" w:rsidRDefault="00C01674" w:rsidP="00C01674">
      <w:pPr>
        <w:pStyle w:val="StandardWeb"/>
        <w:numPr>
          <w:ilvl w:val="1"/>
          <w:numId w:val="9"/>
        </w:numPr>
        <w:textAlignment w:val="baseline"/>
        <w:rPr>
          <w:rFonts w:ascii="Arial" w:hAnsi="Arial" w:cs="Arial"/>
          <w:color w:val="000000"/>
          <w:sz w:val="22"/>
          <w:szCs w:val="22"/>
        </w:rPr>
      </w:pPr>
      <w:r>
        <w:rPr>
          <w:rFonts w:ascii="Arial" w:hAnsi="Arial" w:cs="Arial"/>
          <w:color w:val="000000"/>
          <w:sz w:val="22"/>
          <w:szCs w:val="22"/>
        </w:rPr>
        <w:t>eine Datenarchitektur, die eine Auskunft nicht nur theoretisch, sondern auch praktisch ermöglicht.</w:t>
      </w:r>
    </w:p>
    <w:p w14:paraId="0325FC0A" w14:textId="77777777" w:rsidR="00C01674" w:rsidRDefault="00C01674" w:rsidP="00C01674">
      <w:pPr>
        <w:pStyle w:val="StandardWeb"/>
        <w:numPr>
          <w:ilvl w:val="0"/>
          <w:numId w:val="9"/>
        </w:numPr>
        <w:textAlignment w:val="baseline"/>
        <w:rPr>
          <w:rFonts w:ascii="Arial" w:hAnsi="Arial" w:cs="Arial"/>
          <w:color w:val="000000"/>
          <w:sz w:val="22"/>
          <w:szCs w:val="22"/>
        </w:rPr>
      </w:pPr>
      <w:r>
        <w:rPr>
          <w:rFonts w:ascii="Arial" w:hAnsi="Arial" w:cs="Arial"/>
          <w:b/>
          <w:bCs/>
          <w:color w:val="000000"/>
          <w:sz w:val="22"/>
          <w:szCs w:val="22"/>
        </w:rPr>
        <w:t>Umfassende präkontraktuelle Informationspflichten (Art. 3 Abs. 2 und 3)</w:t>
      </w:r>
      <w:r>
        <w:rPr>
          <w:rFonts w:ascii="Arial" w:hAnsi="Arial" w:cs="Arial"/>
          <w:b/>
          <w:bCs/>
          <w:color w:val="000000"/>
          <w:sz w:val="22"/>
          <w:szCs w:val="22"/>
        </w:rPr>
        <w:br/>
      </w:r>
      <w:r>
        <w:rPr>
          <w:rFonts w:ascii="Arial" w:hAnsi="Arial" w:cs="Arial"/>
          <w:color w:val="000000"/>
          <w:sz w:val="22"/>
          <w:szCs w:val="22"/>
        </w:rPr>
        <w:t xml:space="preserve"> Unternehmen müssen vor Vertragsschluss:</w:t>
      </w:r>
      <w:r>
        <w:rPr>
          <w:rFonts w:ascii="Arial" w:hAnsi="Arial" w:cs="Arial"/>
          <w:color w:val="000000"/>
          <w:sz w:val="22"/>
          <w:szCs w:val="22"/>
        </w:rPr>
        <w:br/>
      </w:r>
      <w:r>
        <w:rPr>
          <w:rFonts w:ascii="Arial" w:hAnsi="Arial" w:cs="Arial"/>
          <w:color w:val="000000"/>
          <w:sz w:val="22"/>
          <w:szCs w:val="22"/>
        </w:rPr>
        <w:br/>
      </w:r>
    </w:p>
    <w:p w14:paraId="6342AE2C" w14:textId="77777777" w:rsidR="00C01674" w:rsidRDefault="00C01674" w:rsidP="00C01674">
      <w:pPr>
        <w:pStyle w:val="StandardWeb"/>
        <w:numPr>
          <w:ilvl w:val="1"/>
          <w:numId w:val="9"/>
        </w:numPr>
        <w:textAlignment w:val="baseline"/>
        <w:rPr>
          <w:rFonts w:ascii="Arial" w:hAnsi="Arial" w:cs="Arial"/>
          <w:color w:val="000000"/>
          <w:sz w:val="22"/>
          <w:szCs w:val="22"/>
        </w:rPr>
      </w:pPr>
      <w:r>
        <w:rPr>
          <w:rFonts w:ascii="Arial" w:hAnsi="Arial" w:cs="Arial"/>
          <w:color w:val="000000"/>
          <w:sz w:val="22"/>
          <w:szCs w:val="22"/>
        </w:rPr>
        <w:t>die relevanten Datenkategorien, Formate, Volumina und Speicherorte offenlegen,</w:t>
      </w:r>
    </w:p>
    <w:p w14:paraId="1020C414" w14:textId="77777777" w:rsidR="00C01674" w:rsidRDefault="00C01674" w:rsidP="00C01674">
      <w:pPr>
        <w:pStyle w:val="StandardWeb"/>
        <w:numPr>
          <w:ilvl w:val="1"/>
          <w:numId w:val="9"/>
        </w:numPr>
        <w:textAlignment w:val="baseline"/>
        <w:rPr>
          <w:rFonts w:ascii="Arial" w:hAnsi="Arial" w:cs="Arial"/>
          <w:color w:val="000000"/>
          <w:sz w:val="22"/>
          <w:szCs w:val="22"/>
        </w:rPr>
      </w:pPr>
      <w:r>
        <w:rPr>
          <w:rFonts w:ascii="Arial" w:hAnsi="Arial" w:cs="Arial"/>
          <w:color w:val="000000"/>
          <w:sz w:val="22"/>
          <w:szCs w:val="22"/>
        </w:rPr>
        <w:t>die Zugangswege und Bedingungen für den Datenzugang durch den Nutzer erläutern,</w:t>
      </w:r>
    </w:p>
    <w:p w14:paraId="540EE192" w14:textId="77777777" w:rsidR="00C01674" w:rsidRDefault="00C01674" w:rsidP="00C01674">
      <w:pPr>
        <w:pStyle w:val="StandardWeb"/>
        <w:numPr>
          <w:ilvl w:val="1"/>
          <w:numId w:val="9"/>
        </w:numPr>
        <w:textAlignment w:val="baseline"/>
        <w:rPr>
          <w:rFonts w:ascii="Arial" w:hAnsi="Arial" w:cs="Arial"/>
          <w:color w:val="000000"/>
          <w:sz w:val="22"/>
          <w:szCs w:val="22"/>
        </w:rPr>
      </w:pPr>
      <w:r>
        <w:rPr>
          <w:rFonts w:ascii="Arial" w:hAnsi="Arial" w:cs="Arial"/>
          <w:color w:val="000000"/>
          <w:sz w:val="22"/>
          <w:szCs w:val="22"/>
        </w:rPr>
        <w:t>die eigenen Nutzungszwecke und mögliche Datenweitergaben transparent machen,</w:t>
      </w:r>
    </w:p>
    <w:p w14:paraId="59F0819E" w14:textId="77777777" w:rsidR="00C01674" w:rsidRDefault="00C01674" w:rsidP="00C01674">
      <w:pPr>
        <w:pStyle w:val="StandardWeb"/>
        <w:numPr>
          <w:ilvl w:val="1"/>
          <w:numId w:val="9"/>
        </w:numPr>
        <w:textAlignment w:val="baseline"/>
        <w:rPr>
          <w:rFonts w:ascii="Arial" w:hAnsi="Arial" w:cs="Arial"/>
          <w:color w:val="000000"/>
          <w:sz w:val="22"/>
          <w:szCs w:val="22"/>
        </w:rPr>
      </w:pPr>
      <w:r>
        <w:rPr>
          <w:rFonts w:ascii="Arial" w:hAnsi="Arial" w:cs="Arial"/>
          <w:color w:val="000000"/>
          <w:sz w:val="22"/>
          <w:szCs w:val="22"/>
        </w:rPr>
        <w:t>ihre Rolle als Dateninhaber sowie Kontaktdaten klar benennen.</w:t>
      </w:r>
    </w:p>
    <w:p w14:paraId="7AA97398" w14:textId="77777777" w:rsidR="00C01674" w:rsidRDefault="00C01674" w:rsidP="00C01674">
      <w:pPr>
        <w:pStyle w:val="StandardWeb"/>
        <w:numPr>
          <w:ilvl w:val="0"/>
          <w:numId w:val="9"/>
        </w:numPr>
        <w:textAlignment w:val="baseline"/>
        <w:rPr>
          <w:rFonts w:ascii="Arial" w:hAnsi="Arial" w:cs="Arial"/>
          <w:color w:val="000000"/>
          <w:sz w:val="22"/>
          <w:szCs w:val="22"/>
        </w:rPr>
      </w:pPr>
      <w:r>
        <w:rPr>
          <w:rFonts w:ascii="Arial" w:hAnsi="Arial" w:cs="Arial"/>
          <w:b/>
          <w:bCs/>
          <w:color w:val="000000"/>
          <w:sz w:val="22"/>
          <w:szCs w:val="22"/>
        </w:rPr>
        <w:t>Qualitative Anforderungen an die Information</w:t>
      </w:r>
      <w:r>
        <w:rPr>
          <w:rFonts w:ascii="Arial" w:hAnsi="Arial" w:cs="Arial"/>
          <w:b/>
          <w:bCs/>
          <w:color w:val="000000"/>
          <w:sz w:val="22"/>
          <w:szCs w:val="22"/>
        </w:rPr>
        <w:br/>
      </w:r>
      <w:r>
        <w:rPr>
          <w:rFonts w:ascii="Arial" w:hAnsi="Arial" w:cs="Arial"/>
          <w:color w:val="000000"/>
          <w:sz w:val="22"/>
          <w:szCs w:val="22"/>
        </w:rPr>
        <w:t xml:space="preserve"> Die Informationen müssen:</w:t>
      </w:r>
      <w:r>
        <w:rPr>
          <w:rFonts w:ascii="Arial" w:hAnsi="Arial" w:cs="Arial"/>
          <w:color w:val="000000"/>
          <w:sz w:val="22"/>
          <w:szCs w:val="22"/>
        </w:rPr>
        <w:br/>
      </w:r>
      <w:r>
        <w:rPr>
          <w:rFonts w:ascii="Arial" w:hAnsi="Arial" w:cs="Arial"/>
          <w:color w:val="000000"/>
          <w:sz w:val="22"/>
          <w:szCs w:val="22"/>
        </w:rPr>
        <w:br/>
      </w:r>
    </w:p>
    <w:p w14:paraId="51C48F52" w14:textId="77777777" w:rsidR="00C01674" w:rsidRDefault="00C01674" w:rsidP="00C01674">
      <w:pPr>
        <w:pStyle w:val="StandardWeb"/>
        <w:numPr>
          <w:ilvl w:val="1"/>
          <w:numId w:val="9"/>
        </w:numPr>
        <w:textAlignment w:val="baseline"/>
        <w:rPr>
          <w:rFonts w:ascii="Arial" w:hAnsi="Arial" w:cs="Arial"/>
          <w:color w:val="000000"/>
          <w:sz w:val="22"/>
          <w:szCs w:val="22"/>
        </w:rPr>
      </w:pPr>
      <w:r>
        <w:rPr>
          <w:rFonts w:ascii="Arial" w:hAnsi="Arial" w:cs="Arial"/>
          <w:color w:val="000000"/>
          <w:sz w:val="22"/>
          <w:szCs w:val="22"/>
        </w:rPr>
        <w:t>klar und verständlich formuliert,</w:t>
      </w:r>
    </w:p>
    <w:p w14:paraId="7CBB156D" w14:textId="77777777" w:rsidR="00C01674" w:rsidRDefault="00C01674" w:rsidP="00C01674">
      <w:pPr>
        <w:pStyle w:val="StandardWeb"/>
        <w:numPr>
          <w:ilvl w:val="1"/>
          <w:numId w:val="9"/>
        </w:numPr>
        <w:textAlignment w:val="baseline"/>
        <w:rPr>
          <w:rFonts w:ascii="Arial" w:hAnsi="Arial" w:cs="Arial"/>
          <w:color w:val="000000"/>
          <w:sz w:val="22"/>
          <w:szCs w:val="22"/>
        </w:rPr>
      </w:pPr>
      <w:r>
        <w:rPr>
          <w:rFonts w:ascii="Arial" w:hAnsi="Arial" w:cs="Arial"/>
          <w:color w:val="000000"/>
          <w:sz w:val="22"/>
          <w:szCs w:val="22"/>
        </w:rPr>
        <w:t>hinreichend detailliert und vollständig,</w:t>
      </w:r>
    </w:p>
    <w:p w14:paraId="3031F23B" w14:textId="77777777" w:rsidR="00C01674" w:rsidRDefault="00C01674" w:rsidP="00C01674">
      <w:pPr>
        <w:pStyle w:val="StandardWeb"/>
        <w:numPr>
          <w:ilvl w:val="1"/>
          <w:numId w:val="9"/>
        </w:numPr>
        <w:textAlignment w:val="baseline"/>
        <w:rPr>
          <w:rFonts w:ascii="Arial" w:hAnsi="Arial" w:cs="Arial"/>
          <w:color w:val="000000"/>
          <w:sz w:val="22"/>
          <w:szCs w:val="22"/>
        </w:rPr>
      </w:pPr>
      <w:r>
        <w:rPr>
          <w:rFonts w:ascii="Arial" w:hAnsi="Arial" w:cs="Arial"/>
          <w:color w:val="000000"/>
          <w:sz w:val="22"/>
          <w:szCs w:val="22"/>
        </w:rPr>
        <w:t>leicht zugänglich und dauerhaft speicherbar,</w:t>
      </w:r>
    </w:p>
    <w:p w14:paraId="0726900A" w14:textId="77777777" w:rsidR="00C01674" w:rsidRDefault="00C01674" w:rsidP="00C01674">
      <w:pPr>
        <w:pStyle w:val="StandardWeb"/>
        <w:numPr>
          <w:ilvl w:val="1"/>
          <w:numId w:val="9"/>
        </w:numPr>
        <w:spacing w:after="240"/>
        <w:textAlignment w:val="baseline"/>
        <w:rPr>
          <w:rFonts w:ascii="Arial" w:hAnsi="Arial" w:cs="Arial"/>
          <w:color w:val="000000"/>
          <w:sz w:val="22"/>
          <w:szCs w:val="22"/>
        </w:rPr>
      </w:pPr>
      <w:r>
        <w:rPr>
          <w:rFonts w:ascii="Arial" w:hAnsi="Arial" w:cs="Arial"/>
          <w:color w:val="000000"/>
          <w:sz w:val="22"/>
          <w:szCs w:val="22"/>
        </w:rPr>
        <w:lastRenderedPageBreak/>
        <w:t>rechtzeitig, nämlich vor Abschluss des jeweiligen Vertrags, bereitgestellt werden.</w:t>
      </w:r>
    </w:p>
    <w:p w14:paraId="6D70717F" w14:textId="77777777" w:rsidR="00C01674" w:rsidRDefault="00C01674" w:rsidP="00C01674">
      <w:pPr>
        <w:pStyle w:val="StandardWeb"/>
        <w:spacing w:before="240" w:after="240"/>
        <w:rPr>
          <w:color w:val="000000"/>
        </w:rPr>
      </w:pPr>
      <w:r>
        <w:rPr>
          <w:rFonts w:ascii="Arial" w:hAnsi="Arial" w:cs="Arial"/>
          <w:color w:val="000000"/>
          <w:sz w:val="22"/>
          <w:szCs w:val="22"/>
        </w:rPr>
        <w:t xml:space="preserve">In der Summe ergibt sich ein Bild, in dem der Nutzer aus rechtlicher Sicht zu einem </w:t>
      </w:r>
      <w:r>
        <w:rPr>
          <w:rFonts w:ascii="Arial" w:hAnsi="Arial" w:cs="Arial"/>
          <w:b/>
          <w:bCs/>
          <w:color w:val="000000"/>
          <w:sz w:val="22"/>
          <w:szCs w:val="22"/>
        </w:rPr>
        <w:t>aktiven Akteur in der Datenökonomie</w:t>
      </w:r>
      <w:r>
        <w:rPr>
          <w:rFonts w:ascii="Arial" w:hAnsi="Arial" w:cs="Arial"/>
          <w:color w:val="000000"/>
          <w:sz w:val="22"/>
          <w:szCs w:val="22"/>
        </w:rPr>
        <w:t xml:space="preserve"> werden soll: Er soll wissen, welche Daten aus seiner Nutzung entstehen, wer darüber verfügt und wie er selbst Zugang zu diesen Daten erlangen kann.</w:t>
      </w:r>
    </w:p>
    <w:p w14:paraId="0DBF193D" w14:textId="77777777" w:rsidR="00C01674" w:rsidRDefault="00C01674" w:rsidP="00C01674">
      <w:pPr>
        <w:pStyle w:val="berschrift4"/>
        <w:spacing w:before="240" w:after="40"/>
        <w:rPr>
          <w:color w:val="000000"/>
        </w:rPr>
      </w:pPr>
      <w:r>
        <w:rPr>
          <w:color w:val="000000"/>
        </w:rPr>
        <w:t>2.4.2 Ableitung von Compliance</w:t>
      </w:r>
      <w:r>
        <w:rPr>
          <w:color w:val="000000"/>
        </w:rPr>
        <w:noBreakHyphen/>
        <w:t>Kriterien für die empirische Analyse</w:t>
      </w:r>
    </w:p>
    <w:p w14:paraId="7737F5A0" w14:textId="77777777" w:rsidR="00C01674" w:rsidRDefault="00C01674" w:rsidP="00C01674">
      <w:pPr>
        <w:pStyle w:val="StandardWeb"/>
        <w:spacing w:before="240" w:after="240"/>
        <w:rPr>
          <w:color w:val="000000"/>
        </w:rPr>
      </w:pPr>
      <w:r>
        <w:rPr>
          <w:rFonts w:ascii="Arial" w:hAnsi="Arial" w:cs="Arial"/>
          <w:color w:val="000000"/>
          <w:sz w:val="22"/>
          <w:szCs w:val="22"/>
        </w:rPr>
        <w:t>Aus diesem rechtlichen Soll</w:t>
      </w:r>
      <w:r>
        <w:rPr>
          <w:rFonts w:ascii="Arial" w:hAnsi="Arial" w:cs="Arial"/>
          <w:color w:val="000000"/>
          <w:sz w:val="22"/>
          <w:szCs w:val="22"/>
        </w:rPr>
        <w:noBreakHyphen/>
        <w:t xml:space="preserve">Zustand lassen sich </w:t>
      </w:r>
      <w:r>
        <w:rPr>
          <w:rFonts w:ascii="Arial" w:hAnsi="Arial" w:cs="Arial"/>
          <w:b/>
          <w:bCs/>
          <w:color w:val="000000"/>
          <w:sz w:val="22"/>
          <w:szCs w:val="22"/>
        </w:rPr>
        <w:t>konkrete Compliance</w:t>
      </w:r>
      <w:r>
        <w:rPr>
          <w:rFonts w:ascii="Arial" w:hAnsi="Arial" w:cs="Arial"/>
          <w:b/>
          <w:bCs/>
          <w:color w:val="000000"/>
          <w:sz w:val="22"/>
          <w:szCs w:val="22"/>
        </w:rPr>
        <w:noBreakHyphen/>
        <w:t>Kriterien</w:t>
      </w:r>
      <w:r>
        <w:rPr>
          <w:rFonts w:ascii="Arial" w:hAnsi="Arial" w:cs="Arial"/>
          <w:color w:val="000000"/>
          <w:sz w:val="22"/>
          <w:szCs w:val="22"/>
        </w:rPr>
        <w:t xml:space="preserve"> ableiten, die die Grundlage für die spätere empirische Untersuchung bilden. Diese Kriterien können u. a. wie folgt strukturiert werden:</w:t>
      </w:r>
    </w:p>
    <w:p w14:paraId="38D6EB5E" w14:textId="79B1F127" w:rsidR="00C01674" w:rsidRDefault="00C01674" w:rsidP="00C01674">
      <w:pPr>
        <w:pStyle w:val="StandardWeb"/>
        <w:numPr>
          <w:ilvl w:val="0"/>
          <w:numId w:val="10"/>
        </w:numPr>
        <w:spacing w:before="240"/>
        <w:textAlignment w:val="baseline"/>
        <w:rPr>
          <w:rFonts w:ascii="Arial" w:hAnsi="Arial" w:cs="Arial"/>
          <w:color w:val="000000"/>
          <w:sz w:val="22"/>
          <w:szCs w:val="22"/>
        </w:rPr>
      </w:pPr>
      <w:r>
        <w:rPr>
          <w:rFonts w:ascii="Arial" w:hAnsi="Arial" w:cs="Arial"/>
          <w:b/>
          <w:bCs/>
          <w:color w:val="000000"/>
          <w:sz w:val="22"/>
          <w:szCs w:val="22"/>
        </w:rPr>
        <w:t>Adressaten</w:t>
      </w:r>
      <w:r>
        <w:rPr>
          <w:rFonts w:ascii="Arial" w:hAnsi="Arial" w:cs="Arial"/>
          <w:b/>
          <w:bCs/>
          <w:color w:val="000000"/>
          <w:sz w:val="22"/>
          <w:szCs w:val="22"/>
        </w:rPr>
        <w:noBreakHyphen/>
        <w:t xml:space="preserve"> und Anwendungsbereich</w:t>
      </w:r>
      <w:r>
        <w:rPr>
          <w:rFonts w:ascii="Arial" w:hAnsi="Arial" w:cs="Arial"/>
          <w:b/>
          <w:bCs/>
          <w:color w:val="000000"/>
          <w:sz w:val="22"/>
          <w:szCs w:val="22"/>
        </w:rPr>
        <w:br/>
      </w:r>
    </w:p>
    <w:p w14:paraId="281052BC" w14:textId="77777777" w:rsidR="00C01674" w:rsidRDefault="00C01674" w:rsidP="00C01674">
      <w:pPr>
        <w:pStyle w:val="StandardWeb"/>
        <w:numPr>
          <w:ilvl w:val="1"/>
          <w:numId w:val="10"/>
        </w:numPr>
        <w:textAlignment w:val="baseline"/>
        <w:rPr>
          <w:rFonts w:ascii="Arial" w:hAnsi="Arial" w:cs="Arial"/>
          <w:color w:val="000000"/>
          <w:sz w:val="22"/>
          <w:szCs w:val="22"/>
        </w:rPr>
      </w:pPr>
      <w:r>
        <w:rPr>
          <w:rFonts w:ascii="Arial" w:hAnsi="Arial" w:cs="Arial"/>
          <w:color w:val="000000"/>
          <w:sz w:val="22"/>
          <w:szCs w:val="22"/>
        </w:rPr>
        <w:t>Wird das untersuchte Produkt bzw. der Dienst vom persönlichen und sachlichen Anwendungsbereich des Data Act erfasst?</w:t>
      </w:r>
    </w:p>
    <w:p w14:paraId="1542CB1E" w14:textId="77777777" w:rsidR="00C01674" w:rsidRDefault="00C01674" w:rsidP="00C01674">
      <w:pPr>
        <w:pStyle w:val="StandardWeb"/>
        <w:numPr>
          <w:ilvl w:val="1"/>
          <w:numId w:val="10"/>
        </w:numPr>
        <w:textAlignment w:val="baseline"/>
        <w:rPr>
          <w:rFonts w:ascii="Arial" w:hAnsi="Arial" w:cs="Arial"/>
          <w:color w:val="000000"/>
          <w:sz w:val="22"/>
          <w:szCs w:val="22"/>
        </w:rPr>
      </w:pPr>
      <w:r>
        <w:rPr>
          <w:rFonts w:ascii="Arial" w:hAnsi="Arial" w:cs="Arial"/>
          <w:color w:val="000000"/>
          <w:sz w:val="22"/>
          <w:szCs w:val="22"/>
        </w:rPr>
        <w:t>Ist der betrachtete Anbieter Hersteller, Verkäufer/Vermieter oder Dienstanbieter im Sinne von Art. 3?</w:t>
      </w:r>
    </w:p>
    <w:p w14:paraId="54349789" w14:textId="77777777" w:rsidR="00C01674" w:rsidRDefault="00C01674" w:rsidP="00C01674">
      <w:pPr>
        <w:pStyle w:val="StandardWeb"/>
        <w:ind w:left="1440"/>
        <w:textAlignment w:val="baseline"/>
        <w:rPr>
          <w:rFonts w:ascii="Arial" w:hAnsi="Arial" w:cs="Arial"/>
          <w:color w:val="000000"/>
          <w:sz w:val="22"/>
          <w:szCs w:val="22"/>
        </w:rPr>
      </w:pPr>
    </w:p>
    <w:p w14:paraId="3E77090D" w14:textId="3A7D6512" w:rsidR="00C01674" w:rsidRDefault="00C01674" w:rsidP="00C01674">
      <w:pPr>
        <w:pStyle w:val="StandardWeb"/>
        <w:numPr>
          <w:ilvl w:val="0"/>
          <w:numId w:val="10"/>
        </w:numPr>
        <w:textAlignment w:val="baseline"/>
        <w:rPr>
          <w:rFonts w:ascii="Arial" w:hAnsi="Arial" w:cs="Arial"/>
          <w:color w:val="000000"/>
          <w:sz w:val="22"/>
          <w:szCs w:val="22"/>
        </w:rPr>
      </w:pPr>
      <w:r>
        <w:rPr>
          <w:rFonts w:ascii="Arial" w:hAnsi="Arial" w:cs="Arial"/>
          <w:b/>
          <w:bCs/>
          <w:color w:val="000000"/>
          <w:sz w:val="22"/>
          <w:szCs w:val="22"/>
        </w:rPr>
        <w:t xml:space="preserve">Inhaltliche Vollständigkeit der </w:t>
      </w:r>
      <w:proofErr w:type="spellStart"/>
      <w:r>
        <w:rPr>
          <w:rFonts w:ascii="Arial" w:hAnsi="Arial" w:cs="Arial"/>
          <w:b/>
          <w:bCs/>
          <w:color w:val="000000"/>
          <w:sz w:val="22"/>
          <w:szCs w:val="22"/>
        </w:rPr>
        <w:t>präkontraktuellen</w:t>
      </w:r>
      <w:proofErr w:type="spellEnd"/>
      <w:r>
        <w:rPr>
          <w:rFonts w:ascii="Arial" w:hAnsi="Arial" w:cs="Arial"/>
          <w:b/>
          <w:bCs/>
          <w:color w:val="000000"/>
          <w:sz w:val="22"/>
          <w:szCs w:val="22"/>
        </w:rPr>
        <w:t xml:space="preserve"> Information</w:t>
      </w:r>
      <w:r>
        <w:rPr>
          <w:rFonts w:ascii="Arial" w:hAnsi="Arial" w:cs="Arial"/>
          <w:b/>
          <w:bCs/>
          <w:color w:val="000000"/>
          <w:sz w:val="22"/>
          <w:szCs w:val="22"/>
        </w:rPr>
        <w:br/>
      </w:r>
    </w:p>
    <w:p w14:paraId="77A318AD" w14:textId="77777777" w:rsidR="00C01674" w:rsidRDefault="00C01674" w:rsidP="00C01674">
      <w:pPr>
        <w:pStyle w:val="StandardWeb"/>
        <w:numPr>
          <w:ilvl w:val="1"/>
          <w:numId w:val="10"/>
        </w:numPr>
        <w:textAlignment w:val="baseline"/>
        <w:rPr>
          <w:rFonts w:ascii="Arial" w:hAnsi="Arial" w:cs="Arial"/>
          <w:color w:val="000000"/>
          <w:sz w:val="22"/>
          <w:szCs w:val="22"/>
        </w:rPr>
      </w:pPr>
      <w:r>
        <w:rPr>
          <w:rFonts w:ascii="Arial" w:hAnsi="Arial" w:cs="Arial"/>
          <w:color w:val="000000"/>
          <w:sz w:val="22"/>
          <w:szCs w:val="22"/>
        </w:rPr>
        <w:t>Werden alle in Art. 3 Abs. 2 bzw. 3 genannten Informationspunkte (Datenarten, Formate, Speicherorte, Zwecke, Weitergaben, Identität des Dateninhabers etc.) abgedeckt?</w:t>
      </w:r>
    </w:p>
    <w:p w14:paraId="46F6A6B3" w14:textId="77777777" w:rsidR="00C01674" w:rsidRDefault="00C01674" w:rsidP="00C01674">
      <w:pPr>
        <w:pStyle w:val="StandardWeb"/>
        <w:numPr>
          <w:ilvl w:val="1"/>
          <w:numId w:val="10"/>
        </w:numPr>
        <w:textAlignment w:val="baseline"/>
        <w:rPr>
          <w:rFonts w:ascii="Arial" w:hAnsi="Arial" w:cs="Arial"/>
          <w:color w:val="000000"/>
          <w:sz w:val="22"/>
          <w:szCs w:val="22"/>
        </w:rPr>
      </w:pPr>
      <w:r>
        <w:rPr>
          <w:rFonts w:ascii="Arial" w:hAnsi="Arial" w:cs="Arial"/>
          <w:color w:val="000000"/>
          <w:sz w:val="22"/>
          <w:szCs w:val="22"/>
        </w:rPr>
        <w:t>Sind ggf. produktspezifische Besonderheiten explizit erwähnt?</w:t>
      </w:r>
    </w:p>
    <w:p w14:paraId="48D541BB" w14:textId="77777777" w:rsidR="00C01674" w:rsidRDefault="00C01674" w:rsidP="00C01674">
      <w:pPr>
        <w:pStyle w:val="StandardWeb"/>
        <w:ind w:left="1080"/>
        <w:textAlignment w:val="baseline"/>
        <w:rPr>
          <w:rFonts w:ascii="Arial" w:hAnsi="Arial" w:cs="Arial"/>
          <w:color w:val="000000"/>
          <w:sz w:val="22"/>
          <w:szCs w:val="22"/>
        </w:rPr>
      </w:pPr>
    </w:p>
    <w:p w14:paraId="7F65F29F" w14:textId="779B3FC6" w:rsidR="00C01674" w:rsidRDefault="00C01674" w:rsidP="00C01674">
      <w:pPr>
        <w:pStyle w:val="StandardWeb"/>
        <w:numPr>
          <w:ilvl w:val="0"/>
          <w:numId w:val="10"/>
        </w:numPr>
        <w:textAlignment w:val="baseline"/>
        <w:rPr>
          <w:rFonts w:ascii="Arial" w:hAnsi="Arial" w:cs="Arial"/>
          <w:color w:val="000000"/>
          <w:sz w:val="22"/>
          <w:szCs w:val="22"/>
        </w:rPr>
      </w:pPr>
      <w:r>
        <w:rPr>
          <w:rFonts w:ascii="Arial" w:hAnsi="Arial" w:cs="Arial"/>
          <w:b/>
          <w:bCs/>
          <w:color w:val="000000"/>
          <w:sz w:val="22"/>
          <w:szCs w:val="22"/>
        </w:rPr>
        <w:t>Form und Verständlichkeit</w:t>
      </w:r>
      <w:r>
        <w:rPr>
          <w:rFonts w:ascii="Arial" w:hAnsi="Arial" w:cs="Arial"/>
          <w:b/>
          <w:bCs/>
          <w:color w:val="000000"/>
          <w:sz w:val="22"/>
          <w:szCs w:val="22"/>
        </w:rPr>
        <w:br/>
      </w:r>
    </w:p>
    <w:p w14:paraId="0519B68D" w14:textId="77777777" w:rsidR="00C01674" w:rsidRDefault="00C01674" w:rsidP="00C01674">
      <w:pPr>
        <w:pStyle w:val="StandardWeb"/>
        <w:numPr>
          <w:ilvl w:val="1"/>
          <w:numId w:val="10"/>
        </w:numPr>
        <w:textAlignment w:val="baseline"/>
        <w:rPr>
          <w:rFonts w:ascii="Arial" w:hAnsi="Arial" w:cs="Arial"/>
          <w:color w:val="000000"/>
          <w:sz w:val="22"/>
          <w:szCs w:val="22"/>
        </w:rPr>
      </w:pPr>
      <w:r>
        <w:rPr>
          <w:rFonts w:ascii="Arial" w:hAnsi="Arial" w:cs="Arial"/>
          <w:color w:val="000000"/>
          <w:sz w:val="22"/>
          <w:szCs w:val="22"/>
        </w:rPr>
        <w:t>Sind die bereitgestellten Informationen sprachlich klar, verständlich und für Nicht</w:t>
      </w:r>
      <w:r>
        <w:rPr>
          <w:rFonts w:ascii="Arial" w:hAnsi="Arial" w:cs="Arial"/>
          <w:color w:val="000000"/>
          <w:sz w:val="22"/>
          <w:szCs w:val="22"/>
        </w:rPr>
        <w:noBreakHyphen/>
        <w:t>Experten nachvollziehbar?</w:t>
      </w:r>
    </w:p>
    <w:p w14:paraId="467CEB35" w14:textId="77777777" w:rsidR="00C01674" w:rsidRDefault="00C01674" w:rsidP="00C01674">
      <w:pPr>
        <w:pStyle w:val="StandardWeb"/>
        <w:numPr>
          <w:ilvl w:val="1"/>
          <w:numId w:val="10"/>
        </w:numPr>
        <w:textAlignment w:val="baseline"/>
        <w:rPr>
          <w:rFonts w:ascii="Arial" w:hAnsi="Arial" w:cs="Arial"/>
          <w:color w:val="000000"/>
          <w:sz w:val="22"/>
          <w:szCs w:val="22"/>
        </w:rPr>
      </w:pPr>
      <w:r>
        <w:rPr>
          <w:rFonts w:ascii="Arial" w:hAnsi="Arial" w:cs="Arial"/>
          <w:color w:val="000000"/>
          <w:sz w:val="22"/>
          <w:szCs w:val="22"/>
        </w:rPr>
        <w:t>Werden technische und rechtliche Details in geeigneter Form aufbereitet (z. B. Übersicht + vertiefende Dokumentation)?</w:t>
      </w:r>
    </w:p>
    <w:p w14:paraId="4A7D491B" w14:textId="77777777" w:rsidR="00C01674" w:rsidRDefault="00C01674" w:rsidP="00C01674">
      <w:pPr>
        <w:pStyle w:val="StandardWeb"/>
        <w:ind w:left="1440"/>
        <w:textAlignment w:val="baseline"/>
        <w:rPr>
          <w:rFonts w:ascii="Arial" w:hAnsi="Arial" w:cs="Arial"/>
          <w:color w:val="000000"/>
          <w:sz w:val="22"/>
          <w:szCs w:val="22"/>
        </w:rPr>
      </w:pPr>
    </w:p>
    <w:p w14:paraId="41581BA2" w14:textId="77777777" w:rsidR="00C01674" w:rsidRDefault="00C01674" w:rsidP="00C01674">
      <w:pPr>
        <w:pStyle w:val="StandardWeb"/>
        <w:numPr>
          <w:ilvl w:val="0"/>
          <w:numId w:val="10"/>
        </w:numPr>
        <w:textAlignment w:val="baseline"/>
        <w:rPr>
          <w:rFonts w:ascii="Arial" w:hAnsi="Arial" w:cs="Arial"/>
          <w:color w:val="000000"/>
          <w:sz w:val="22"/>
          <w:szCs w:val="22"/>
        </w:rPr>
      </w:pPr>
      <w:r>
        <w:rPr>
          <w:rFonts w:ascii="Arial" w:hAnsi="Arial" w:cs="Arial"/>
          <w:b/>
          <w:bCs/>
          <w:color w:val="000000"/>
          <w:sz w:val="22"/>
          <w:szCs w:val="22"/>
        </w:rPr>
        <w:t>Zeitpunkt und Zugang</w:t>
      </w:r>
      <w:r>
        <w:rPr>
          <w:rFonts w:ascii="Arial" w:hAnsi="Arial" w:cs="Arial"/>
          <w:b/>
          <w:bCs/>
          <w:color w:val="000000"/>
          <w:sz w:val="22"/>
          <w:szCs w:val="22"/>
        </w:rPr>
        <w:br/>
      </w:r>
      <w:r>
        <w:rPr>
          <w:rFonts w:ascii="Arial" w:hAnsi="Arial" w:cs="Arial"/>
          <w:b/>
          <w:bCs/>
          <w:color w:val="000000"/>
          <w:sz w:val="22"/>
          <w:szCs w:val="22"/>
        </w:rPr>
        <w:br/>
      </w:r>
    </w:p>
    <w:p w14:paraId="6C28E559" w14:textId="77777777" w:rsidR="00C01674" w:rsidRDefault="00C01674" w:rsidP="00C01674">
      <w:pPr>
        <w:pStyle w:val="StandardWeb"/>
        <w:numPr>
          <w:ilvl w:val="1"/>
          <w:numId w:val="10"/>
        </w:numPr>
        <w:textAlignment w:val="baseline"/>
        <w:rPr>
          <w:rFonts w:ascii="Arial" w:hAnsi="Arial" w:cs="Arial"/>
          <w:color w:val="000000"/>
          <w:sz w:val="22"/>
          <w:szCs w:val="22"/>
        </w:rPr>
      </w:pPr>
      <w:r>
        <w:rPr>
          <w:rFonts w:ascii="Arial" w:hAnsi="Arial" w:cs="Arial"/>
          <w:color w:val="000000"/>
          <w:sz w:val="22"/>
          <w:szCs w:val="22"/>
        </w:rPr>
        <w:t xml:space="preserve">Sind die Informationen tatsächlich </w:t>
      </w:r>
      <w:r>
        <w:rPr>
          <w:rFonts w:ascii="Arial" w:hAnsi="Arial" w:cs="Arial"/>
          <w:b/>
          <w:bCs/>
          <w:color w:val="000000"/>
          <w:sz w:val="22"/>
          <w:szCs w:val="22"/>
        </w:rPr>
        <w:t>vor</w:t>
      </w:r>
      <w:r>
        <w:rPr>
          <w:rFonts w:ascii="Arial" w:hAnsi="Arial" w:cs="Arial"/>
          <w:color w:val="000000"/>
          <w:sz w:val="22"/>
          <w:szCs w:val="22"/>
        </w:rPr>
        <w:t xml:space="preserve"> Vertragsschluss verfügbar (z. B. auf Produktseite, in vorvertraglichen Unterlagen, im </w:t>
      </w:r>
      <w:proofErr w:type="spellStart"/>
      <w:r>
        <w:rPr>
          <w:rFonts w:ascii="Arial" w:hAnsi="Arial" w:cs="Arial"/>
          <w:color w:val="000000"/>
          <w:sz w:val="22"/>
          <w:szCs w:val="22"/>
        </w:rPr>
        <w:t>Checkout</w:t>
      </w:r>
      <w:proofErr w:type="spellEnd"/>
      <w:r>
        <w:rPr>
          <w:rFonts w:ascii="Arial" w:hAnsi="Arial" w:cs="Arial"/>
          <w:color w:val="000000"/>
          <w:sz w:val="22"/>
          <w:szCs w:val="22"/>
        </w:rPr>
        <w:noBreakHyphen/>
        <w:t>Prozess)?</w:t>
      </w:r>
    </w:p>
    <w:p w14:paraId="77F37CD1" w14:textId="77777777" w:rsidR="00C01674" w:rsidRDefault="00C01674" w:rsidP="00C01674">
      <w:pPr>
        <w:pStyle w:val="StandardWeb"/>
        <w:numPr>
          <w:ilvl w:val="1"/>
          <w:numId w:val="10"/>
        </w:numPr>
        <w:textAlignment w:val="baseline"/>
        <w:rPr>
          <w:rFonts w:ascii="Arial" w:hAnsi="Arial" w:cs="Arial"/>
          <w:color w:val="000000"/>
          <w:sz w:val="22"/>
          <w:szCs w:val="22"/>
        </w:rPr>
      </w:pPr>
      <w:r>
        <w:rPr>
          <w:rFonts w:ascii="Arial" w:hAnsi="Arial" w:cs="Arial"/>
          <w:color w:val="000000"/>
          <w:sz w:val="22"/>
          <w:szCs w:val="22"/>
        </w:rPr>
        <w:t>Sind sie dauerhaft abrufbar und speicherbar (Download, Link, Dokumentation)?</w:t>
      </w:r>
    </w:p>
    <w:p w14:paraId="625F6CEF" w14:textId="77777777" w:rsidR="00C01674" w:rsidRDefault="00C01674" w:rsidP="00C01674">
      <w:pPr>
        <w:pStyle w:val="StandardWeb"/>
        <w:ind w:left="1080"/>
        <w:textAlignment w:val="baseline"/>
        <w:rPr>
          <w:rFonts w:ascii="Arial" w:hAnsi="Arial" w:cs="Arial"/>
          <w:color w:val="000000"/>
          <w:sz w:val="22"/>
          <w:szCs w:val="22"/>
        </w:rPr>
      </w:pPr>
    </w:p>
    <w:p w14:paraId="530856EF" w14:textId="77777777" w:rsidR="00C01674" w:rsidRDefault="00C01674" w:rsidP="00C01674">
      <w:pPr>
        <w:pStyle w:val="StandardWeb"/>
        <w:numPr>
          <w:ilvl w:val="0"/>
          <w:numId w:val="10"/>
        </w:numPr>
        <w:textAlignment w:val="baseline"/>
        <w:rPr>
          <w:rFonts w:ascii="Arial" w:hAnsi="Arial" w:cs="Arial"/>
          <w:color w:val="000000"/>
          <w:sz w:val="22"/>
          <w:szCs w:val="22"/>
        </w:rPr>
      </w:pPr>
      <w:r>
        <w:rPr>
          <w:rFonts w:ascii="Arial" w:hAnsi="Arial" w:cs="Arial"/>
          <w:b/>
          <w:bCs/>
          <w:color w:val="000000"/>
          <w:sz w:val="22"/>
          <w:szCs w:val="22"/>
        </w:rPr>
        <w:t>Technische Umsetzung des Datenzugangs</w:t>
      </w:r>
      <w:r>
        <w:rPr>
          <w:rFonts w:ascii="Arial" w:hAnsi="Arial" w:cs="Arial"/>
          <w:b/>
          <w:bCs/>
          <w:color w:val="000000"/>
          <w:sz w:val="22"/>
          <w:szCs w:val="22"/>
        </w:rPr>
        <w:br/>
      </w:r>
      <w:r>
        <w:rPr>
          <w:rFonts w:ascii="Arial" w:hAnsi="Arial" w:cs="Arial"/>
          <w:b/>
          <w:bCs/>
          <w:color w:val="000000"/>
          <w:sz w:val="22"/>
          <w:szCs w:val="22"/>
        </w:rPr>
        <w:br/>
      </w:r>
    </w:p>
    <w:p w14:paraId="01FBF628" w14:textId="77777777" w:rsidR="00C01674" w:rsidRDefault="00C01674" w:rsidP="00C01674">
      <w:pPr>
        <w:pStyle w:val="StandardWeb"/>
        <w:numPr>
          <w:ilvl w:val="1"/>
          <w:numId w:val="10"/>
        </w:numPr>
        <w:textAlignment w:val="baseline"/>
        <w:rPr>
          <w:rFonts w:ascii="Arial" w:hAnsi="Arial" w:cs="Arial"/>
          <w:color w:val="000000"/>
          <w:sz w:val="22"/>
          <w:szCs w:val="22"/>
        </w:rPr>
      </w:pPr>
      <w:r>
        <w:rPr>
          <w:rFonts w:ascii="Arial" w:hAnsi="Arial" w:cs="Arial"/>
          <w:color w:val="000000"/>
          <w:sz w:val="22"/>
          <w:szCs w:val="22"/>
        </w:rPr>
        <w:t>Existieren die in Art. 3 Abs. 1 geforderten technischen Zugangswege (z. B. API</w:t>
      </w:r>
      <w:r>
        <w:rPr>
          <w:rFonts w:ascii="Arial" w:hAnsi="Arial" w:cs="Arial"/>
          <w:color w:val="000000"/>
          <w:sz w:val="22"/>
          <w:szCs w:val="22"/>
        </w:rPr>
        <w:noBreakHyphen/>
        <w:t>Zugriff, Datenexport in gängigen Formaten)?</w:t>
      </w:r>
    </w:p>
    <w:p w14:paraId="3A1EFC27" w14:textId="77777777" w:rsidR="00C01674" w:rsidRDefault="00C01674" w:rsidP="00C01674">
      <w:pPr>
        <w:pStyle w:val="StandardWeb"/>
        <w:numPr>
          <w:ilvl w:val="1"/>
          <w:numId w:val="10"/>
        </w:numPr>
        <w:spacing w:after="240"/>
        <w:textAlignment w:val="baseline"/>
        <w:rPr>
          <w:rFonts w:ascii="Arial" w:hAnsi="Arial" w:cs="Arial"/>
          <w:color w:val="000000"/>
          <w:sz w:val="22"/>
          <w:szCs w:val="22"/>
        </w:rPr>
      </w:pPr>
      <w:r>
        <w:rPr>
          <w:rFonts w:ascii="Arial" w:hAnsi="Arial" w:cs="Arial"/>
          <w:color w:val="000000"/>
          <w:sz w:val="22"/>
          <w:szCs w:val="22"/>
        </w:rPr>
        <w:t>Entspricht die praktische Ausgestaltung dem Anspruch eines leichten, sicheren und kostenfreien Zugangs?</w:t>
      </w:r>
    </w:p>
    <w:p w14:paraId="51BC30AC" w14:textId="77777777" w:rsidR="00C01674" w:rsidRDefault="00C01674" w:rsidP="00C01674">
      <w:pPr>
        <w:pStyle w:val="StandardWeb"/>
        <w:spacing w:before="240" w:after="240"/>
        <w:rPr>
          <w:color w:val="000000"/>
        </w:rPr>
      </w:pPr>
      <w:r>
        <w:rPr>
          <w:rFonts w:ascii="Arial" w:hAnsi="Arial" w:cs="Arial"/>
          <w:color w:val="000000"/>
          <w:sz w:val="22"/>
          <w:szCs w:val="22"/>
        </w:rPr>
        <w:t xml:space="preserve">Diese Kriterien bilden den </w:t>
      </w:r>
      <w:r>
        <w:rPr>
          <w:rFonts w:ascii="Arial" w:hAnsi="Arial" w:cs="Arial"/>
          <w:b/>
          <w:bCs/>
          <w:color w:val="000000"/>
          <w:sz w:val="22"/>
          <w:szCs w:val="22"/>
        </w:rPr>
        <w:t>Bewertungsrahmen (Compliance</w:t>
      </w:r>
      <w:r>
        <w:rPr>
          <w:rFonts w:ascii="Arial" w:hAnsi="Arial" w:cs="Arial"/>
          <w:b/>
          <w:bCs/>
          <w:color w:val="000000"/>
          <w:sz w:val="22"/>
          <w:szCs w:val="22"/>
        </w:rPr>
        <w:noBreakHyphen/>
        <w:t>Raster)</w:t>
      </w:r>
      <w:r>
        <w:rPr>
          <w:rFonts w:ascii="Arial" w:hAnsi="Arial" w:cs="Arial"/>
          <w:color w:val="000000"/>
          <w:sz w:val="22"/>
          <w:szCs w:val="22"/>
        </w:rPr>
        <w:t>, mit dem in den empirischen Teilen der Arbeit überprüft werden soll, inwieweit die ausgewählten IoT</w:t>
      </w:r>
      <w:r>
        <w:rPr>
          <w:rFonts w:ascii="Arial" w:hAnsi="Arial" w:cs="Arial"/>
          <w:color w:val="000000"/>
          <w:sz w:val="22"/>
          <w:szCs w:val="22"/>
        </w:rPr>
        <w:noBreakHyphen/>
        <w:t>Akteure den rechtlichen Soll</w:t>
      </w:r>
      <w:r>
        <w:rPr>
          <w:rFonts w:ascii="Arial" w:hAnsi="Arial" w:cs="Arial"/>
          <w:color w:val="000000"/>
          <w:sz w:val="22"/>
          <w:szCs w:val="22"/>
        </w:rPr>
        <w:noBreakHyphen/>
        <w:t xml:space="preserve">Zustand nach Art. 3 Data Act erfüllen oder davon abweichen. Auf diese </w:t>
      </w:r>
      <w:r>
        <w:rPr>
          <w:rFonts w:ascii="Arial" w:hAnsi="Arial" w:cs="Arial"/>
          <w:color w:val="000000"/>
          <w:sz w:val="22"/>
          <w:szCs w:val="22"/>
        </w:rPr>
        <w:lastRenderedPageBreak/>
        <w:t>Weise wird eine systematische Gegenüberstellung von normativer Vorgabe und tatsächlicher Praxis ermöglicht.</w:t>
      </w:r>
    </w:p>
    <w:p w14:paraId="3BA4126C" w14:textId="77777777" w:rsidR="00C01674" w:rsidRDefault="00C01674" w:rsidP="00C01674">
      <w:pPr>
        <w:spacing w:after="240"/>
      </w:pPr>
    </w:p>
    <w:p w14:paraId="5EFD4CD4" w14:textId="77777777" w:rsidR="003E5E7F" w:rsidRDefault="00000000">
      <w:pPr>
        <w:pStyle w:val="berschrift1"/>
      </w:pPr>
      <w:bookmarkStart w:id="13" w:name="_Toc232151341"/>
      <w:r>
        <w:t>3. Methodik der empirischen Untersuchung</w:t>
      </w:r>
      <w:bookmarkEnd w:id="13"/>
    </w:p>
    <w:p w14:paraId="6396CEA5" w14:textId="77777777" w:rsidR="00C01674" w:rsidRPr="00C01674" w:rsidRDefault="00C01674" w:rsidP="00C01674">
      <w:pPr>
        <w:spacing w:before="240" w:after="240"/>
        <w:rPr>
          <w:rFonts w:ascii="Times New Roman" w:eastAsia="Times New Roman" w:hAnsi="Times New Roman" w:cs="Times New Roman"/>
          <w:color w:val="000000"/>
          <w:sz w:val="24"/>
          <w:szCs w:val="24"/>
        </w:rPr>
      </w:pPr>
      <w:bookmarkStart w:id="14" w:name="_Toc232151342"/>
      <w:r w:rsidRPr="00C01674">
        <w:rPr>
          <w:rFonts w:ascii="Calibri" w:eastAsia="Times New Roman" w:hAnsi="Calibri" w:cs="Calibri"/>
          <w:color w:val="000000"/>
        </w:rPr>
        <w:t>Diese Arbeit untersucht, inwieweit ausgewählte IoT-Gerätehersteller und zugehörige Dienstleister die Transparenz- und Zugangsanforderungen gemäß Art. 3 der EU Data Act umsetzen.</w:t>
      </w:r>
    </w:p>
    <w:p w14:paraId="7CDC89B4" w14:textId="3B166072" w:rsidR="00C01674" w:rsidRPr="00C01674" w:rsidRDefault="00C01674" w:rsidP="00C01674">
      <w:pPr>
        <w:spacing w:before="240" w:after="240"/>
        <w:rPr>
          <w:rFonts w:ascii="Times New Roman" w:eastAsia="Times New Roman" w:hAnsi="Times New Roman" w:cs="Times New Roman"/>
          <w:color w:val="000000"/>
          <w:sz w:val="24"/>
          <w:szCs w:val="24"/>
        </w:rPr>
      </w:pPr>
      <w:r w:rsidRPr="00C01674">
        <w:rPr>
          <w:rFonts w:ascii="Calibri" w:eastAsia="Times New Roman" w:hAnsi="Calibri" w:cs="Calibri"/>
          <w:color w:val="000000"/>
        </w:rPr>
        <w:t xml:space="preserve">Zur Beantwortung der Forschungsfrage wird ein empirischer Ansatz gewählt. Im Mittelpunkt steht die systematische Evaluation konkreter IoT-Geräte und ihrer zugehörigen Dienste hinsichtlich der praktischen Umsetzung der rechtlichen Anforderungen aus dem Data Act. Dadurch wird bewusst von einer rein theoretischen Analyse der Rechtslage abgesehen und stattdessen wird die tatsächliche Umsetzung aus einer </w:t>
      </w:r>
      <w:r w:rsidRPr="00C01674">
        <w:rPr>
          <w:rFonts w:ascii="Calibri" w:eastAsia="Times New Roman" w:hAnsi="Calibri" w:cs="Calibri"/>
          <w:b/>
          <w:bCs/>
          <w:color w:val="000000"/>
        </w:rPr>
        <w:t>nutzerorientierten Perspektive</w:t>
      </w:r>
      <w:r w:rsidRPr="00C01674">
        <w:rPr>
          <w:rFonts w:ascii="Calibri" w:eastAsia="Times New Roman" w:hAnsi="Calibri" w:cs="Calibri"/>
          <w:color w:val="000000"/>
        </w:rPr>
        <w:t xml:space="preserve"> untersucht.</w:t>
      </w:r>
    </w:p>
    <w:p w14:paraId="367945DF" w14:textId="01E30251" w:rsidR="003E5E7F" w:rsidRDefault="00000000">
      <w:pPr>
        <w:pStyle w:val="berschrift2"/>
      </w:pPr>
      <w:r>
        <w:t>3.1 Auswahl der Untersuchungsobjekte</w:t>
      </w:r>
      <w:bookmarkEnd w:id="14"/>
    </w:p>
    <w:p w14:paraId="658BC7E7" w14:textId="77777777" w:rsidR="00C01674" w:rsidRDefault="00C01674" w:rsidP="00C01674">
      <w:pPr>
        <w:spacing w:after="140" w:line="276" w:lineRule="auto"/>
        <w:rPr>
          <w:color w:val="000000"/>
        </w:rPr>
      </w:pPr>
      <w:r w:rsidRPr="00C01674">
        <w:rPr>
          <w:color w:val="000000"/>
        </w:rPr>
        <w:t>Für die empirische Untersuchung wurden insgesamt vier IoT-Unternehmen aus vier verschiedenen Ländern ausgewählt, die im Bereich Smart Home und vernetzter Dienste eine zentrale Rolle spielen. Die Auswahlkriterien umfassen:</w:t>
      </w:r>
    </w:p>
    <w:p w14:paraId="5DB7310C" w14:textId="77777777" w:rsidR="00C01674" w:rsidRPr="00C01674" w:rsidRDefault="00C01674" w:rsidP="00C01674">
      <w:pPr>
        <w:numPr>
          <w:ilvl w:val="0"/>
          <w:numId w:val="11"/>
        </w:numPr>
        <w:spacing w:after="140" w:line="276" w:lineRule="auto"/>
        <w:rPr>
          <w:b/>
          <w:bCs/>
          <w:color w:val="000000"/>
        </w:rPr>
      </w:pPr>
      <w:r w:rsidRPr="00C01674">
        <w:rPr>
          <w:b/>
          <w:bCs/>
          <w:color w:val="000000"/>
        </w:rPr>
        <w:t xml:space="preserve">Die Verfügbarkeit der Geräte in Tagesbasis </w:t>
      </w:r>
      <w:r w:rsidRPr="00C01674">
        <w:rPr>
          <w:b/>
          <w:bCs/>
          <w:color w:val="000000"/>
        </w:rPr>
        <w:br/>
      </w:r>
      <w:r w:rsidRPr="00C01674">
        <w:rPr>
          <w:color w:val="000000"/>
        </w:rPr>
        <w:t>Ein zentrales Kriterium für die Auswahl der Untersuchungsobjekte ist die Verfügbarkeit der Geräte innerhalb des Forschungsteams. Die untersuchten IoT-Geräte stehen den Forschenden während des gesamten Untersuchungszeitraums physisch und funktional zur Verfügung und werden aktiv im Alltag genutzt.</w:t>
      </w:r>
    </w:p>
    <w:p w14:paraId="0209DACD" w14:textId="6A356F33" w:rsidR="00C01674" w:rsidRPr="00C01674" w:rsidRDefault="00C01674" w:rsidP="00C01674">
      <w:pPr>
        <w:spacing w:after="140" w:line="276" w:lineRule="auto"/>
        <w:rPr>
          <w:color w:val="000000"/>
        </w:rPr>
      </w:pPr>
      <w:r w:rsidRPr="00C01674">
        <w:rPr>
          <w:color w:val="000000"/>
        </w:rPr>
        <w:t>Diese kontinuierliche Verfügbarkeit ist eine methodische Voraussetzung, da die empirische Analyse auf der Untersuchung tatsächlich generierter Daten sowie der dazugehörigen Zugangs- und Transparenzmechanismen basiert. Nur durch den direkten Zugriff des Forschungsteams auf die Geräte ist es möglich, reale Datenflüsse, Nutzeroberflächen und technische Zugriffsmöglichkeiten systematisch zu analysieren.</w:t>
      </w:r>
      <w:r w:rsidRPr="00C01674">
        <w:rPr>
          <w:color w:val="000000"/>
        </w:rPr>
        <w:br/>
      </w:r>
    </w:p>
    <w:p w14:paraId="4F1BADD5" w14:textId="77777777" w:rsidR="00C01674" w:rsidRPr="00C01674" w:rsidRDefault="00C01674" w:rsidP="00C01674">
      <w:pPr>
        <w:numPr>
          <w:ilvl w:val="0"/>
          <w:numId w:val="12"/>
        </w:numPr>
        <w:spacing w:after="140" w:line="276" w:lineRule="auto"/>
        <w:rPr>
          <w:b/>
          <w:bCs/>
          <w:color w:val="000000"/>
        </w:rPr>
      </w:pPr>
      <w:r w:rsidRPr="00C01674">
        <w:rPr>
          <w:b/>
          <w:bCs/>
          <w:color w:val="000000"/>
        </w:rPr>
        <w:t>Die Markgröße und Relevanz im IoT-Sektor: </w:t>
      </w:r>
    </w:p>
    <w:p w14:paraId="73E8A988" w14:textId="77777777" w:rsidR="00C01674" w:rsidRPr="00C01674" w:rsidRDefault="00C01674" w:rsidP="00C01674">
      <w:pPr>
        <w:spacing w:after="140" w:line="276" w:lineRule="auto"/>
        <w:rPr>
          <w:color w:val="000000"/>
        </w:rPr>
      </w:pPr>
      <w:r w:rsidRPr="00C01674">
        <w:rPr>
          <w:color w:val="000000"/>
        </w:rPr>
        <w:t>Aufgrund der begrenzten Stichprobengröße wurde eine gezielte qualitative Auswahl (</w:t>
      </w:r>
      <w:proofErr w:type="spellStart"/>
      <w:r w:rsidRPr="00C01674">
        <w:rPr>
          <w:color w:val="000000"/>
        </w:rPr>
        <w:t>purposeful</w:t>
      </w:r>
      <w:proofErr w:type="spellEnd"/>
      <w:r w:rsidRPr="00C01674">
        <w:rPr>
          <w:color w:val="000000"/>
        </w:rPr>
        <w:t xml:space="preserve"> </w:t>
      </w:r>
      <w:proofErr w:type="spellStart"/>
      <w:r w:rsidRPr="00C01674">
        <w:rPr>
          <w:color w:val="000000"/>
        </w:rPr>
        <w:t>sampling</w:t>
      </w:r>
      <w:proofErr w:type="spellEnd"/>
      <w:r w:rsidRPr="00C01674">
        <w:rPr>
          <w:color w:val="000000"/>
        </w:rPr>
        <w:t>) vorgenommen. Dabei wurden marktführende Unternehmen mit hoher Relevanz im IoT-Sektor berücksichtigt.</w:t>
      </w:r>
    </w:p>
    <w:p w14:paraId="3FBCBF7E" w14:textId="77777777" w:rsidR="00C01674" w:rsidRPr="00C01674" w:rsidRDefault="00C01674" w:rsidP="00C01674">
      <w:pPr>
        <w:spacing w:after="140" w:line="276" w:lineRule="auto"/>
        <w:rPr>
          <w:color w:val="000000"/>
        </w:rPr>
      </w:pPr>
      <w:r w:rsidRPr="00C01674">
        <w:rPr>
          <w:color w:val="000000"/>
        </w:rPr>
        <w:t>Große Anbieter zeichnen sich in der Regel durch eine hohe Marktdurchdringung, umfangreiche technische Infrastrukturen sowie etablierte organisatorische Strukturen aus. Es ist daher davon auszugehen, dass diese Unternehmen grundsätzlich über die notwendigen Ressourcen verfügen, um regulatorische Anforderungen wie jene des EU Data Act technisch und organisatorisch umzusetzen.</w:t>
      </w:r>
    </w:p>
    <w:p w14:paraId="470B0CA1" w14:textId="2A438E78" w:rsidR="00C01674" w:rsidRPr="00C01674" w:rsidRDefault="00C01674" w:rsidP="00C01674">
      <w:pPr>
        <w:spacing w:after="140" w:line="276" w:lineRule="auto"/>
        <w:rPr>
          <w:color w:val="000000"/>
        </w:rPr>
      </w:pPr>
      <w:r w:rsidRPr="00C01674">
        <w:rPr>
          <w:color w:val="000000"/>
        </w:rPr>
        <w:t>Die Auswahl solcher Anbieter dient nicht der Bewertung ihrer rechtlichen Konformität, sondern ermöglicht die Untersuchung der praktischen Umsetzung regulatorischer Anforderungen unter vergleichbaren und realistischen Rahmenbedingungen. Zudem erhöht die hohe Nutzerbasis die Relevanz der Ergebnisse im Hinblick auf potenziell betroffene Endnutzer.</w:t>
      </w:r>
    </w:p>
    <w:p w14:paraId="0DF05DC0" w14:textId="77777777" w:rsidR="00C01674" w:rsidRPr="00C01674" w:rsidRDefault="00C01674" w:rsidP="00C01674">
      <w:pPr>
        <w:numPr>
          <w:ilvl w:val="0"/>
          <w:numId w:val="13"/>
        </w:numPr>
        <w:spacing w:after="140" w:line="276" w:lineRule="auto"/>
        <w:rPr>
          <w:b/>
          <w:bCs/>
          <w:color w:val="000000"/>
        </w:rPr>
      </w:pPr>
      <w:r w:rsidRPr="00C01674">
        <w:rPr>
          <w:b/>
          <w:bCs/>
          <w:color w:val="000000"/>
        </w:rPr>
        <w:lastRenderedPageBreak/>
        <w:t>Die Datenintensität der Produkte/Dienste</w:t>
      </w:r>
    </w:p>
    <w:p w14:paraId="59493962" w14:textId="77777777" w:rsidR="00C01674" w:rsidRPr="00C01674" w:rsidRDefault="00C01674" w:rsidP="00C01674">
      <w:pPr>
        <w:spacing w:after="140" w:line="276" w:lineRule="auto"/>
        <w:rPr>
          <w:color w:val="000000"/>
        </w:rPr>
      </w:pPr>
      <w:r w:rsidRPr="00C01674">
        <w:rPr>
          <w:color w:val="000000"/>
        </w:rPr>
        <w:t>Die ausgewählten Smart-Home-Produkte sind auf tägliche Nutzung ausgelegt und erzeugen, abhängig vom Anwendungsfall, kontinuierlich große Mengen an Nutzungs-, Zustands- und Umgebungsdaten. Dazu zählen unter anderem Temperatur- und Bewegungsdaten, Audio- und Videodaten sowie Protokolldaten über Schalt- und Steuerungsvorgänge.</w:t>
      </w:r>
    </w:p>
    <w:p w14:paraId="692B4C00" w14:textId="77777777" w:rsidR="00C01674" w:rsidRDefault="00C01674" w:rsidP="00C01674">
      <w:pPr>
        <w:spacing w:after="140" w:line="276" w:lineRule="auto"/>
        <w:rPr>
          <w:color w:val="000000"/>
        </w:rPr>
      </w:pPr>
      <w:r w:rsidRPr="00C01674">
        <w:rPr>
          <w:color w:val="000000"/>
        </w:rPr>
        <w:t>Diese Daten sind sowohl technisch als auch ökonomisch besonders relevant, da sie einerseits die Grundlage datengetriebener Zusatzdienste (z. B. Sicherheitsfunktionen, Komfort-Automatisierung oder Energieoptimierung) bilden und andererseits ein erhebliches Informations- und Machtpotenzial für die jeweiligen Dateninhaber darstellen. Die gewählte Stichprobe ermöglicht es somit, die Transparenz- und Bereitstellungspflichten des Art. 3 EU Data Act in einem datenintensiven und wirtschaftlich relevanten Kontext zu analysieren.</w:t>
      </w:r>
    </w:p>
    <w:p w14:paraId="073A30BF" w14:textId="77777777" w:rsidR="00C01674" w:rsidRPr="00C01674" w:rsidRDefault="00C01674" w:rsidP="00C01674">
      <w:pPr>
        <w:spacing w:after="140" w:line="276" w:lineRule="auto"/>
        <w:rPr>
          <w:color w:val="000000"/>
        </w:rPr>
      </w:pPr>
    </w:p>
    <w:p w14:paraId="3D0F8F51" w14:textId="77777777" w:rsidR="00C01674" w:rsidRPr="00C01674" w:rsidRDefault="00C01674" w:rsidP="00C01674">
      <w:pPr>
        <w:numPr>
          <w:ilvl w:val="0"/>
          <w:numId w:val="14"/>
        </w:numPr>
        <w:spacing w:after="140" w:line="276" w:lineRule="auto"/>
        <w:rPr>
          <w:b/>
          <w:bCs/>
          <w:color w:val="000000"/>
        </w:rPr>
      </w:pPr>
      <w:r w:rsidRPr="00C01674">
        <w:rPr>
          <w:b/>
          <w:bCs/>
          <w:color w:val="000000"/>
        </w:rPr>
        <w:t>Die Notwendigkeit der Dienste für Nutzer</w:t>
      </w:r>
    </w:p>
    <w:p w14:paraId="18F9DECF" w14:textId="77777777" w:rsidR="00C01674" w:rsidRPr="00C01674" w:rsidRDefault="00C01674" w:rsidP="00C01674">
      <w:pPr>
        <w:spacing w:after="140" w:line="276" w:lineRule="auto"/>
        <w:rPr>
          <w:color w:val="000000"/>
        </w:rPr>
      </w:pPr>
      <w:r w:rsidRPr="00C01674">
        <w:rPr>
          <w:color w:val="000000"/>
        </w:rPr>
        <w:t xml:space="preserve">Die untersuchten Lösungen werden typischerweise im </w:t>
      </w:r>
      <w:r w:rsidRPr="00C01674">
        <w:rPr>
          <w:b/>
          <w:bCs/>
          <w:color w:val="000000"/>
        </w:rPr>
        <w:t>privaten Wohnumfeld</w:t>
      </w:r>
      <w:r w:rsidRPr="00C01674">
        <w:rPr>
          <w:color w:val="000000"/>
        </w:rPr>
        <w:t xml:space="preserve"> eingesetzt und sind dadurch eng mit der Lebensrealität der Nutzer verbunden. Nutzer erwarten von diesen Systemen eine einfache, schnelle und zuverlässige Inbetriebnahme sowie einen reibungslosen Alltagsbetrieb.</w:t>
      </w:r>
    </w:p>
    <w:p w14:paraId="169EEEA2" w14:textId="5E6CB72C" w:rsidR="00C01674" w:rsidRDefault="00C01674">
      <w:pPr>
        <w:spacing w:after="140" w:line="276" w:lineRule="auto"/>
        <w:rPr>
          <w:color w:val="000000"/>
        </w:rPr>
      </w:pPr>
      <w:r w:rsidRPr="00C01674">
        <w:rPr>
          <w:color w:val="000000"/>
        </w:rPr>
        <w:t>Gerade in solchen Nutzungsszenarien kommt der Transparenz über Datenerhebung, -verarbeitung und -zugang eine besondere Bedeutung zu, da Nutzer häufig keine tiefgehenden technischen Kenntnisse besitzen, aber dennoch unmittelbar von den erzeugten Daten betroffen sind. Die Analyse dieser Geräte ist daher besonders geeignet, um praktische Nutzerhürden im Sinne des EU Data Act sichtbar zu machen.</w:t>
      </w:r>
    </w:p>
    <w:p w14:paraId="73A03AEF" w14:textId="77777777" w:rsidR="00C01674" w:rsidRPr="00C01674" w:rsidRDefault="00C01674" w:rsidP="00C01674">
      <w:pPr>
        <w:spacing w:after="140" w:line="276" w:lineRule="auto"/>
      </w:pPr>
      <w:r w:rsidRPr="00C01674">
        <w:t>Die tatsächlich untersuchten Anbieter sind Bosch Smart Home (Deutschland), Philips Hue bzw. Signify (Niederlande), Somfy (Frankreich) und Gewiss (Italien). Die Auswahl folgt einem bewussten Sampling-Ansatz und orientiert sich an drei zentralen Kriterien: der Marktgröße beziehungsweise Marktrelevanz, der Datenintensität der angebotenen Produkte und Dienstleistungen sowie dem Nutzerbezug im Sinne einer breiten Verwendung durch private Endnutzer in Deutschland.</w:t>
      </w:r>
    </w:p>
    <w:p w14:paraId="6501C534" w14:textId="77777777" w:rsidR="00C01674" w:rsidRPr="00C01674" w:rsidRDefault="00C01674" w:rsidP="00C01674">
      <w:pPr>
        <w:spacing w:after="140" w:line="276" w:lineRule="auto"/>
      </w:pPr>
      <w:r w:rsidRPr="00C01674">
        <w:t>Erstens zählen alle vier Anbieter zu den marktprägenden Akteuren im Bereich vernetzter Produkte und Smart-Home-Lösungen.</w:t>
      </w:r>
    </w:p>
    <w:p w14:paraId="0FF748C4" w14:textId="77777777" w:rsidR="00C01674" w:rsidRPr="00C01674" w:rsidRDefault="00C01674" w:rsidP="00C01674">
      <w:pPr>
        <w:numPr>
          <w:ilvl w:val="0"/>
          <w:numId w:val="16"/>
        </w:numPr>
        <w:spacing w:after="140" w:line="276" w:lineRule="auto"/>
      </w:pPr>
      <w:r w:rsidRPr="00C01674">
        <w:rPr>
          <w:b/>
          <w:bCs/>
        </w:rPr>
        <w:t>Bosch Smart Home</w:t>
      </w:r>
      <w:r w:rsidRPr="00C01674">
        <w:t> ist als deutscher Anbieter sowohl im industriellen als auch im privaten Umfeld stark präsent und bietet mit seinem Smart-Home-Portfolio ein weitgehend geschlossenes IoT-Ökosystem an, das Sicherheits-, Energie- und Komfortanwendungen integriert.</w:t>
      </w:r>
    </w:p>
    <w:p w14:paraId="1CAF37C2" w14:textId="77777777" w:rsidR="00C01674" w:rsidRPr="00C01674" w:rsidRDefault="00C01674" w:rsidP="00C01674">
      <w:pPr>
        <w:numPr>
          <w:ilvl w:val="0"/>
          <w:numId w:val="16"/>
        </w:numPr>
        <w:spacing w:after="140" w:line="276" w:lineRule="auto"/>
      </w:pPr>
      <w:r w:rsidRPr="00C01674">
        <w:rPr>
          <w:b/>
          <w:bCs/>
        </w:rPr>
        <w:t>Philips Hue (Signify)</w:t>
      </w:r>
      <w:r w:rsidRPr="00C01674">
        <w:t> gehört zu den weltweit führenden Anbietern intelligenter Beleuchtungssysteme. Die Produkte sind in zahlreichen Haushalten verbreitet und erzeugen durch App-Steuerung, Automatisierungsfunktionen und Cloud-Anbindungen eine hohe Relevanz für die Analyse datenbezogener Prozesse.</w:t>
      </w:r>
    </w:p>
    <w:p w14:paraId="08FADBEE" w14:textId="77777777" w:rsidR="00C01674" w:rsidRPr="00C01674" w:rsidRDefault="00C01674" w:rsidP="00C01674">
      <w:pPr>
        <w:numPr>
          <w:ilvl w:val="0"/>
          <w:numId w:val="16"/>
        </w:numPr>
        <w:spacing w:after="140" w:line="276" w:lineRule="auto"/>
      </w:pPr>
      <w:r w:rsidRPr="00C01674">
        <w:rPr>
          <w:b/>
          <w:bCs/>
        </w:rPr>
        <w:t>Somfy</w:t>
      </w:r>
      <w:r w:rsidRPr="00C01674">
        <w:t> zählt zu den führenden europäischen Herstellern im Bereich der Gebäudeautomation. Das Unternehmen bietet vernetzte Lösungen für Rollläden, Markisen, Tore und Sicherheitsanwendungen an und verarbeitet dabei umfangreiche Nutzungs- und Steuerungsdaten innerhalb seines Smart-Home-Ökosystems.</w:t>
      </w:r>
    </w:p>
    <w:p w14:paraId="1AD3F3C2" w14:textId="77777777" w:rsidR="00C01674" w:rsidRPr="00C01674" w:rsidRDefault="00C01674" w:rsidP="00C01674">
      <w:pPr>
        <w:numPr>
          <w:ilvl w:val="0"/>
          <w:numId w:val="16"/>
        </w:numPr>
        <w:spacing w:after="140" w:line="276" w:lineRule="auto"/>
      </w:pPr>
      <w:r w:rsidRPr="00C01674">
        <w:rPr>
          <w:b/>
          <w:bCs/>
        </w:rPr>
        <w:lastRenderedPageBreak/>
        <w:t>Gewiss</w:t>
      </w:r>
      <w:r w:rsidRPr="00C01674">
        <w:t> ist ein italienischer Anbieter von Elektro- und Gebäudeautomationstechnik. Mit seinen Smart-Building- und Smart-Home-Lösungen adressiert das Unternehmen sowohl private als auch gewerbliche Nutzer und stellt damit einen relevanten Vertreter des südeuropäischen Marktes dar.</w:t>
      </w:r>
    </w:p>
    <w:p w14:paraId="503B1917" w14:textId="77777777" w:rsidR="00C01674" w:rsidRPr="00C01674" w:rsidRDefault="00C01674" w:rsidP="00C01674">
      <w:pPr>
        <w:spacing w:after="140" w:line="276" w:lineRule="auto"/>
      </w:pPr>
      <w:r w:rsidRPr="00C01674">
        <w:t>Zweitens weisen die ausgewählten Anbieter eine hohe Datenintensität auf. Die angebotenen Systeme erfassen, verarbeiten und speichern regelmäßig Informationen über Nutzungsverhalten, Gerätestatus, Automatisierungen sowie teilweise Standort- und Sensordaten. Dadurch eignen sie sich besonders für die Untersuchung datenschutzrechtlicher Anforderungen und der Umsetzung von Transparenz- und Informationspflichten.</w:t>
      </w:r>
    </w:p>
    <w:p w14:paraId="063E695E" w14:textId="77777777" w:rsidR="00C01674" w:rsidRDefault="00C01674" w:rsidP="00C01674">
      <w:pPr>
        <w:spacing w:after="140" w:line="276" w:lineRule="auto"/>
      </w:pPr>
      <w:r w:rsidRPr="00C01674">
        <w:t>Drittens verfügen alle betrachteten Unternehmen über einen ausgeprägten Nutzerbezug, da ihre Produkte von privaten Endverbrauchern im Alltag eingesetzt werden. Die Verarbeitung personenbezogener Daten erfolgt somit nicht nur in spezialisierten oder industriellen Anwendungsfällen, sondern unmittelbar im häuslichen Umfeld. Dies erhöht die praktische Relevanz der Untersuchung und ermöglicht eine realitätsnahe Bewertung der Datenschutzinformationen aus Sicht der betroffenen Nutzer.</w:t>
      </w:r>
    </w:p>
    <w:p w14:paraId="4ED77858" w14:textId="77777777" w:rsidR="00C01674" w:rsidRPr="00C01674" w:rsidRDefault="00C01674" w:rsidP="00C01674">
      <w:pPr>
        <w:spacing w:after="140" w:line="276" w:lineRule="auto"/>
      </w:pPr>
      <w:r w:rsidRPr="00C01674">
        <w:t>Die Auswahl umfasst darüber hinaus ein heterogenes Spektrum von Anbieterprofilen, das für die Fragestellung der Arbeit besonders aufschlussreich ist:</w:t>
      </w:r>
    </w:p>
    <w:p w14:paraId="3B30AE2C" w14:textId="77777777" w:rsidR="00C01674" w:rsidRPr="00C01674" w:rsidRDefault="00C01674" w:rsidP="00C01674">
      <w:pPr>
        <w:pStyle w:val="Listenabsatz"/>
        <w:numPr>
          <w:ilvl w:val="0"/>
          <w:numId w:val="17"/>
        </w:numPr>
        <w:spacing w:after="140" w:line="276" w:lineRule="auto"/>
      </w:pPr>
      <w:r w:rsidRPr="00C01674">
        <w:t>Bosch Smart Home repräsentiert als deutscher Industrie- und Technologiekonzern einen Anbieter, der ein umfassendes Smart-Home-Ökosystem mit eigener Hardware, Software und zugehörigen digitalen Diensten bereitstellt.</w:t>
      </w:r>
    </w:p>
    <w:p w14:paraId="55969E88" w14:textId="77777777" w:rsidR="00C01674" w:rsidRPr="00C01674" w:rsidRDefault="00C01674" w:rsidP="00C01674">
      <w:pPr>
        <w:pStyle w:val="Listenabsatz"/>
        <w:numPr>
          <w:ilvl w:val="0"/>
          <w:numId w:val="17"/>
        </w:numPr>
        <w:spacing w:after="140" w:line="276" w:lineRule="auto"/>
      </w:pPr>
      <w:r w:rsidRPr="00C01674">
        <w:t>Philips Hue (Signify) steht als international führender Anbieter intelligenter Beleuchtungssysteme für ein stärker spezialisiertes Geschäftsmodell, bei dem die Vernetzung und Steuerung von Lichtlösungen im Mittelpunkt stehen.</w:t>
      </w:r>
    </w:p>
    <w:p w14:paraId="0E4CAB5D" w14:textId="77777777" w:rsidR="00C01674" w:rsidRPr="00C01674" w:rsidRDefault="00C01674" w:rsidP="00C01674">
      <w:pPr>
        <w:pStyle w:val="Listenabsatz"/>
        <w:numPr>
          <w:ilvl w:val="0"/>
          <w:numId w:val="17"/>
        </w:numPr>
        <w:spacing w:after="140" w:line="276" w:lineRule="auto"/>
      </w:pPr>
      <w:r w:rsidRPr="00C01674">
        <w:t>Somfy verkörpert als europäischer Marktführer im Bereich der Gebäudeautomation eine weitere Anbieterkategorie, deren Fokus auf vernetzten Steuerungs- und Antriebssystemen für Rollläden, Tore, Markisen und Sicherheitstechnik liegt.</w:t>
      </w:r>
    </w:p>
    <w:p w14:paraId="2E56CE1A" w14:textId="77777777" w:rsidR="00C01674" w:rsidRPr="00C01674" w:rsidRDefault="00C01674" w:rsidP="00C01674">
      <w:pPr>
        <w:pStyle w:val="Listenabsatz"/>
        <w:numPr>
          <w:ilvl w:val="0"/>
          <w:numId w:val="17"/>
        </w:numPr>
        <w:spacing w:after="140" w:line="276" w:lineRule="auto"/>
      </w:pPr>
      <w:r w:rsidRPr="00C01674">
        <w:t>Gewiss repräsentiert schließlich einen Anbieter aus dem Bereich der Elektroinstallations- und Smart-Building-Technologien, dessen Lösungen die Schnittstelle zwischen klassischer Gebäudetechnik und modernen IoT-Anwendungen adressieren.</w:t>
      </w:r>
    </w:p>
    <w:p w14:paraId="532D8194" w14:textId="77777777" w:rsidR="00C01674" w:rsidRPr="00C01674" w:rsidRDefault="00C01674" w:rsidP="00C01674">
      <w:pPr>
        <w:spacing w:after="140" w:line="276" w:lineRule="auto"/>
      </w:pPr>
      <w:r w:rsidRPr="00C01674">
        <w:t>Diese Vielfalt an Geschäftsmodellen, Produktschwerpunkten und technischen Architekturen ist für die empirische Analyse insofern von Vorteil, als sie eine vergleichende Betrachtung unterschiedlicher Umsetzungsstrategien im Hinblick auf die Anforderungen des Art. 3 Data Act ermöglicht. Gleichzeitig bleiben die Untersuchungsobjekte hinreichend vergleichbar, da sie sämtlich dem Bereich vernetzter Wohn- und Smart-Home-Lösungen zuzurechnen sind und ihre Produkte an private Endnutzer innerhalb des europäischen Marktes richten.</w:t>
      </w:r>
    </w:p>
    <w:p w14:paraId="13D0E535" w14:textId="77777777" w:rsidR="00C01674" w:rsidRPr="00C01674" w:rsidRDefault="00C01674" w:rsidP="00C01674">
      <w:pPr>
        <w:spacing w:after="140" w:line="276" w:lineRule="auto"/>
      </w:pPr>
      <w:r w:rsidRPr="00C01674">
        <w:t>Insgesamt erscheint die getroffene Auswahl daher geeignet, einen repräsentativen Ausschnitt des europäischen Smart-Home-Marktes abzubilden und die in dieser Arbeit zentrale Frage zu untersuchen, inwieweit die betrachteten Anbieter die Transparenz-, Informations- und Bereitstellungspflichten des Art. 3 Data Act in ihren Vertragsdokumenten, Datenschutzhinweisen und technischen Systemen umsetzen.</w:t>
      </w:r>
    </w:p>
    <w:p w14:paraId="3E611428" w14:textId="77777777" w:rsidR="00C01674" w:rsidRPr="00C01674" w:rsidRDefault="00C01674" w:rsidP="00C01674">
      <w:pPr>
        <w:spacing w:after="140" w:line="276" w:lineRule="auto"/>
      </w:pPr>
    </w:p>
    <w:p w14:paraId="008C68E1" w14:textId="77777777" w:rsidR="00C01674" w:rsidRDefault="00C01674" w:rsidP="00C01674">
      <w:pPr>
        <w:spacing w:after="140" w:line="276" w:lineRule="auto"/>
      </w:pPr>
    </w:p>
    <w:p w14:paraId="71A3128F" w14:textId="77777777" w:rsidR="00C01674" w:rsidRDefault="00C01674">
      <w:pPr>
        <w:spacing w:after="140" w:line="276" w:lineRule="auto"/>
      </w:pPr>
    </w:p>
    <w:p w14:paraId="1E4B3FC1" w14:textId="574AEAFE" w:rsidR="003E5E7F" w:rsidRDefault="00000000" w:rsidP="00C01674">
      <w:pPr>
        <w:pStyle w:val="berschrift2"/>
        <w:numPr>
          <w:ilvl w:val="1"/>
          <w:numId w:val="18"/>
        </w:numPr>
      </w:pPr>
      <w:bookmarkStart w:id="15" w:name="_Toc232151343"/>
      <w:r>
        <w:t>Datenerhebungsmethoden</w:t>
      </w:r>
      <w:bookmarkEnd w:id="15"/>
    </w:p>
    <w:p w14:paraId="6B552C66" w14:textId="06EDB021" w:rsidR="00C01674" w:rsidRDefault="00C01674" w:rsidP="00C01674">
      <w:pPr>
        <w:spacing w:after="60"/>
      </w:pPr>
      <w:r w:rsidRPr="00C01674">
        <w:t xml:space="preserve">Um eine fundierte Analyse der Umsetzung von Art. 3 Data Act durch die ausgewählten Unternehmen zu gewährleisten, wird ein mehrstufiges Verfahren der Datenerhebung angewandt. Die Erhebung stützt sich auf eine Kombination aus Dokumentenanalyse und funktionaler Überprüfung der digitalen Schnittstellen. Ziel ist es, sowohl die </w:t>
      </w:r>
      <w:r w:rsidRPr="00C01674">
        <w:rPr>
          <w:b/>
          <w:bCs/>
        </w:rPr>
        <w:t>präkontraktuelle Informationsebene</w:t>
      </w:r>
      <w:r w:rsidRPr="00C01674">
        <w:t xml:space="preserve"> (was erfährt der Nutzer vor dem Kauf?) als auch die </w:t>
      </w:r>
      <w:r w:rsidRPr="00C01674">
        <w:rPr>
          <w:b/>
          <w:bCs/>
        </w:rPr>
        <w:t>postkontraktuelle Bereitstellungsebene</w:t>
      </w:r>
      <w:r w:rsidRPr="00C01674">
        <w:t xml:space="preserve"> (wie kann der Nutzer tatsächlich auf Daten zugreifen?) systematisch zu erfassen</w:t>
      </w:r>
      <w:r>
        <w:t>.</w:t>
      </w:r>
    </w:p>
    <w:p w14:paraId="6AE916D9" w14:textId="77777777" w:rsidR="00C01674" w:rsidRDefault="00C01674" w:rsidP="00C01674">
      <w:pPr>
        <w:spacing w:after="60"/>
      </w:pPr>
    </w:p>
    <w:p w14:paraId="0FA17F5D" w14:textId="77777777" w:rsidR="00C01674" w:rsidRDefault="00C01674" w:rsidP="00C01674">
      <w:pPr>
        <w:pStyle w:val="berschrift4"/>
        <w:spacing w:before="240" w:after="40"/>
        <w:rPr>
          <w:color w:val="000000"/>
        </w:rPr>
      </w:pPr>
      <w:r>
        <w:rPr>
          <w:color w:val="000000"/>
        </w:rPr>
        <w:t>3.2.1 Erhebung öffentlich zugänglicher Dokumente und Informationen</w:t>
      </w:r>
    </w:p>
    <w:p w14:paraId="419FBC85" w14:textId="77777777" w:rsidR="00C01674" w:rsidRDefault="00C01674" w:rsidP="00C01674">
      <w:pPr>
        <w:pStyle w:val="StandardWeb"/>
        <w:spacing w:before="240" w:after="240"/>
        <w:rPr>
          <w:color w:val="000000"/>
        </w:rPr>
      </w:pPr>
      <w:r>
        <w:rPr>
          <w:rFonts w:ascii="Arial" w:hAnsi="Arial" w:cs="Arial"/>
          <w:color w:val="000000"/>
          <w:sz w:val="22"/>
          <w:szCs w:val="22"/>
        </w:rPr>
        <w:t xml:space="preserve">In einem ersten Schritt werden alle Informationen gesammelt, die einem potenziellen Nutzer </w:t>
      </w:r>
      <w:r>
        <w:rPr>
          <w:rFonts w:ascii="Arial" w:hAnsi="Arial" w:cs="Arial"/>
          <w:b/>
          <w:bCs/>
          <w:color w:val="000000"/>
          <w:sz w:val="22"/>
          <w:szCs w:val="22"/>
        </w:rPr>
        <w:t>vor Abschluss eines Vertrages</w:t>
      </w:r>
      <w:r>
        <w:rPr>
          <w:rFonts w:ascii="Arial" w:hAnsi="Arial" w:cs="Arial"/>
          <w:color w:val="000000"/>
          <w:sz w:val="22"/>
          <w:szCs w:val="22"/>
        </w:rPr>
        <w:t xml:space="preserve"> oder Erwerb eines Produkts zur Verfügung stehen. Dies dient der Überprüfung der Transparenzpflichten gemäß Art. 3 Abs. 2 und 3 Data Act. Folgende Quellen werden hierbei herangezogen:</w:t>
      </w:r>
    </w:p>
    <w:p w14:paraId="16AD92BA" w14:textId="3D875C8F" w:rsidR="00C01674" w:rsidRPr="00C01674" w:rsidRDefault="00C01674" w:rsidP="00C01674">
      <w:pPr>
        <w:pStyle w:val="StandardWeb"/>
        <w:numPr>
          <w:ilvl w:val="0"/>
          <w:numId w:val="19"/>
        </w:numPr>
        <w:spacing w:before="240"/>
        <w:textAlignment w:val="baseline"/>
        <w:rPr>
          <w:rFonts w:ascii="Arial" w:hAnsi="Arial" w:cs="Arial"/>
          <w:color w:val="000000"/>
          <w:sz w:val="22"/>
          <w:szCs w:val="22"/>
        </w:rPr>
      </w:pPr>
      <w:r>
        <w:rPr>
          <w:rFonts w:ascii="Arial" w:hAnsi="Arial" w:cs="Arial"/>
          <w:b/>
          <w:bCs/>
          <w:color w:val="000000"/>
          <w:sz w:val="22"/>
          <w:szCs w:val="22"/>
        </w:rPr>
        <w:t>Produkt- und Verkaufsseiten:</w:t>
      </w:r>
      <w:r>
        <w:rPr>
          <w:rFonts w:ascii="Arial" w:hAnsi="Arial" w:cs="Arial"/>
          <w:color w:val="000000"/>
          <w:sz w:val="22"/>
          <w:szCs w:val="22"/>
        </w:rPr>
        <w:t xml:space="preserve"> Analyse der offiziellen Webseiten der Anbieter im Hinblick auf spezifische Hinweise zu generierten Datenarten, Speicherorten und Zugangsmodalitäten.</w:t>
      </w:r>
    </w:p>
    <w:p w14:paraId="0CE1E8B2" w14:textId="77777777" w:rsidR="00C01674" w:rsidRDefault="00C01674" w:rsidP="00C01674">
      <w:pPr>
        <w:pStyle w:val="StandardWeb"/>
        <w:numPr>
          <w:ilvl w:val="0"/>
          <w:numId w:val="19"/>
        </w:numPr>
        <w:textAlignment w:val="baseline"/>
        <w:rPr>
          <w:rFonts w:ascii="Arial" w:hAnsi="Arial" w:cs="Arial"/>
          <w:color w:val="000000"/>
          <w:sz w:val="22"/>
          <w:szCs w:val="22"/>
        </w:rPr>
      </w:pPr>
      <w:r>
        <w:rPr>
          <w:rFonts w:ascii="Arial" w:hAnsi="Arial" w:cs="Arial"/>
          <w:b/>
          <w:bCs/>
          <w:color w:val="000000"/>
          <w:sz w:val="22"/>
          <w:szCs w:val="22"/>
        </w:rPr>
        <w:t>Allgemeine Geschäftsbedingungen (AGB) und Nutzungsbedingungen:</w:t>
      </w:r>
      <w:r>
        <w:rPr>
          <w:rFonts w:ascii="Arial" w:hAnsi="Arial" w:cs="Arial"/>
          <w:color w:val="000000"/>
          <w:sz w:val="22"/>
          <w:szCs w:val="22"/>
        </w:rPr>
        <w:t xml:space="preserve"> Systematische Durchsicht der Vertragswerke auf Klauseln, die den Datenzugriff, die Datennutzung durch den Anbieter sowie die Rechte des Nutzers regeln.</w:t>
      </w:r>
    </w:p>
    <w:p w14:paraId="4C249205" w14:textId="77777777" w:rsidR="00C01674" w:rsidRDefault="00C01674" w:rsidP="00C01674">
      <w:pPr>
        <w:pStyle w:val="StandardWeb"/>
        <w:numPr>
          <w:ilvl w:val="0"/>
          <w:numId w:val="19"/>
        </w:numPr>
        <w:spacing w:after="240"/>
        <w:textAlignment w:val="baseline"/>
        <w:rPr>
          <w:rFonts w:ascii="Arial" w:hAnsi="Arial" w:cs="Arial"/>
          <w:color w:val="000000"/>
          <w:sz w:val="22"/>
          <w:szCs w:val="22"/>
        </w:rPr>
      </w:pPr>
      <w:r>
        <w:rPr>
          <w:rFonts w:ascii="Arial" w:hAnsi="Arial" w:cs="Arial"/>
          <w:b/>
          <w:bCs/>
          <w:color w:val="000000"/>
          <w:sz w:val="22"/>
          <w:szCs w:val="22"/>
        </w:rPr>
        <w:t xml:space="preserve">Datenschutzerklärungen (Privacy </w:t>
      </w:r>
      <w:proofErr w:type="spellStart"/>
      <w:r>
        <w:rPr>
          <w:rFonts w:ascii="Arial" w:hAnsi="Arial" w:cs="Arial"/>
          <w:b/>
          <w:bCs/>
          <w:color w:val="000000"/>
          <w:sz w:val="22"/>
          <w:szCs w:val="22"/>
        </w:rPr>
        <w:t>Policies</w:t>
      </w:r>
      <w:proofErr w:type="spellEnd"/>
      <w:r>
        <w:rPr>
          <w:rFonts w:ascii="Arial" w:hAnsi="Arial" w:cs="Arial"/>
          <w:b/>
          <w:bCs/>
          <w:color w:val="000000"/>
          <w:sz w:val="22"/>
          <w:szCs w:val="22"/>
        </w:rPr>
        <w:t>):</w:t>
      </w:r>
      <w:r>
        <w:rPr>
          <w:rFonts w:ascii="Arial" w:hAnsi="Arial" w:cs="Arial"/>
          <w:color w:val="000000"/>
          <w:sz w:val="22"/>
          <w:szCs w:val="22"/>
        </w:rPr>
        <w:t xml:space="preserve"> Untersuchung der detaillierten Beschreibungen von Datenflüssen, Verarbeitungszwecken und der Weitergabe an Dritte.</w:t>
      </w:r>
    </w:p>
    <w:p w14:paraId="50BCC26D" w14:textId="677344D5" w:rsidR="00C01674" w:rsidRPr="00C01674" w:rsidRDefault="00C01674" w:rsidP="00C01674">
      <w:pPr>
        <w:pStyle w:val="StandardWeb"/>
        <w:numPr>
          <w:ilvl w:val="0"/>
          <w:numId w:val="19"/>
        </w:numPr>
        <w:spacing w:after="240"/>
        <w:textAlignment w:val="baseline"/>
        <w:rPr>
          <w:rFonts w:ascii="Arial" w:hAnsi="Arial" w:cs="Arial"/>
          <w:color w:val="000000"/>
          <w:sz w:val="22"/>
          <w:szCs w:val="22"/>
        </w:rPr>
      </w:pPr>
      <w:r w:rsidRPr="00C01674">
        <w:rPr>
          <w:rFonts w:ascii="Arial" w:hAnsi="Arial" w:cs="Arial"/>
          <w:b/>
          <w:bCs/>
          <w:color w:val="000000"/>
          <w:sz w:val="22"/>
          <w:szCs w:val="22"/>
        </w:rPr>
        <w:t>Hilfe-Center und FAQ-Bereiche:</w:t>
      </w:r>
      <w:r w:rsidRPr="00C01674">
        <w:rPr>
          <w:rFonts w:ascii="Arial" w:hAnsi="Arial" w:cs="Arial"/>
          <w:color w:val="000000"/>
          <w:sz w:val="22"/>
          <w:szCs w:val="22"/>
        </w:rPr>
        <w:t xml:space="preserve"> Auswertung von Support-Dokumentationen, die technische Details zur Datenverwaltung, zum Export von Daten (z. B. Google Takeout, Amazon Privacy Hub) oder zur Löschung von Profilen enthalten.</w:t>
      </w:r>
    </w:p>
    <w:p w14:paraId="2243A972" w14:textId="77777777" w:rsidR="00C01674" w:rsidRDefault="00C01674" w:rsidP="00C01674">
      <w:pPr>
        <w:pStyle w:val="berschrift4"/>
        <w:spacing w:before="240" w:after="40"/>
        <w:rPr>
          <w:color w:val="000000"/>
        </w:rPr>
      </w:pPr>
      <w:r>
        <w:rPr>
          <w:color w:val="000000"/>
        </w:rPr>
        <w:t>3.2.2 Untersuchung der technischen Schnittstellen und App-Funktionen</w:t>
      </w:r>
    </w:p>
    <w:p w14:paraId="18C835FC" w14:textId="77777777" w:rsidR="00C01674" w:rsidRDefault="00C01674" w:rsidP="00C01674">
      <w:pPr>
        <w:pStyle w:val="StandardWeb"/>
        <w:spacing w:before="240" w:after="240"/>
        <w:rPr>
          <w:color w:val="000000"/>
        </w:rPr>
      </w:pPr>
      <w:r>
        <w:rPr>
          <w:rFonts w:ascii="Arial" w:hAnsi="Arial" w:cs="Arial"/>
          <w:color w:val="000000"/>
          <w:sz w:val="22"/>
          <w:szCs w:val="22"/>
        </w:rPr>
        <w:t xml:space="preserve">Da der Data Act nicht nur Informationspflichten, sondern auch die technische Bereitstellung („Access </w:t>
      </w:r>
      <w:proofErr w:type="spellStart"/>
      <w:r>
        <w:rPr>
          <w:rFonts w:ascii="Arial" w:hAnsi="Arial" w:cs="Arial"/>
          <w:color w:val="000000"/>
          <w:sz w:val="22"/>
          <w:szCs w:val="22"/>
        </w:rPr>
        <w:t>by</w:t>
      </w:r>
      <w:proofErr w:type="spellEnd"/>
      <w:r>
        <w:rPr>
          <w:rFonts w:ascii="Arial" w:hAnsi="Arial" w:cs="Arial"/>
          <w:color w:val="000000"/>
          <w:sz w:val="22"/>
          <w:szCs w:val="22"/>
        </w:rPr>
        <w:t xml:space="preserve"> Design“) fordert, umfasst die Datenerhebung eine funktionale Prüfung der jeweiligen IoT-Ökosysteme. Hierzu werden folgende Methoden eingesetzt:</w:t>
      </w:r>
    </w:p>
    <w:p w14:paraId="53CBC788" w14:textId="77777777" w:rsidR="00C01674" w:rsidRDefault="00C01674" w:rsidP="00C01674">
      <w:pPr>
        <w:pStyle w:val="StandardWeb"/>
        <w:numPr>
          <w:ilvl w:val="0"/>
          <w:numId w:val="20"/>
        </w:numPr>
        <w:spacing w:before="240"/>
        <w:textAlignment w:val="baseline"/>
        <w:rPr>
          <w:rFonts w:ascii="Arial" w:hAnsi="Arial" w:cs="Arial"/>
          <w:color w:val="000000"/>
          <w:sz w:val="22"/>
          <w:szCs w:val="22"/>
        </w:rPr>
      </w:pPr>
      <w:r>
        <w:rPr>
          <w:rFonts w:ascii="Arial" w:hAnsi="Arial" w:cs="Arial"/>
          <w:b/>
          <w:bCs/>
          <w:color w:val="000000"/>
          <w:sz w:val="22"/>
          <w:szCs w:val="22"/>
        </w:rPr>
        <w:t>Analyse der Steuerungs-Apps:</w:t>
      </w:r>
      <w:r>
        <w:rPr>
          <w:rFonts w:ascii="Arial" w:hAnsi="Arial" w:cs="Arial"/>
          <w:color w:val="000000"/>
          <w:sz w:val="22"/>
          <w:szCs w:val="22"/>
        </w:rPr>
        <w:t xml:space="preserve"> Untersuchung der mobilen Applikationen (z. B. Alexa App, Bosch Smart Home App, </w:t>
      </w:r>
      <w:proofErr w:type="spellStart"/>
      <w:r>
        <w:rPr>
          <w:rFonts w:ascii="Arial" w:hAnsi="Arial" w:cs="Arial"/>
          <w:color w:val="000000"/>
          <w:sz w:val="22"/>
          <w:szCs w:val="22"/>
        </w:rPr>
        <w:t>MagentaZuhause</w:t>
      </w:r>
      <w:proofErr w:type="spellEnd"/>
      <w:r>
        <w:rPr>
          <w:rFonts w:ascii="Arial" w:hAnsi="Arial" w:cs="Arial"/>
          <w:color w:val="000000"/>
          <w:sz w:val="22"/>
          <w:szCs w:val="22"/>
        </w:rPr>
        <w:t xml:space="preserve"> App, Google Home App). Dabei wird dokumentiert, welche Informationen über generierte Daten innerhalb der App abrufbar sind und welche Steuerungsmöglichkeiten (z. B. Deaktivierung der Datenerfassung) bestehen.</w:t>
      </w:r>
    </w:p>
    <w:p w14:paraId="4BB29515" w14:textId="77777777" w:rsidR="00C01674" w:rsidRDefault="00C01674" w:rsidP="00C01674">
      <w:pPr>
        <w:pStyle w:val="StandardWeb"/>
        <w:numPr>
          <w:ilvl w:val="0"/>
          <w:numId w:val="20"/>
        </w:numPr>
        <w:textAlignment w:val="baseline"/>
        <w:rPr>
          <w:rFonts w:ascii="Arial" w:hAnsi="Arial" w:cs="Arial"/>
          <w:color w:val="000000"/>
          <w:sz w:val="22"/>
          <w:szCs w:val="22"/>
        </w:rPr>
      </w:pPr>
      <w:r>
        <w:rPr>
          <w:rFonts w:ascii="Arial" w:hAnsi="Arial" w:cs="Arial"/>
          <w:b/>
          <w:bCs/>
          <w:color w:val="000000"/>
          <w:sz w:val="22"/>
          <w:szCs w:val="22"/>
        </w:rPr>
        <w:t>Prüfung von Datenexport- und Dashboard-Funktionen:</w:t>
      </w:r>
      <w:r>
        <w:rPr>
          <w:rFonts w:ascii="Arial" w:hAnsi="Arial" w:cs="Arial"/>
          <w:color w:val="000000"/>
          <w:sz w:val="22"/>
          <w:szCs w:val="22"/>
        </w:rPr>
        <w:t xml:space="preserve"> Es wird erhoben, ob und in welcher Form (Format, Umfang, Geschwindigkeit) die Anbieter Funktionen zum Download der Nutzungsdaten bereitstellen.</w:t>
      </w:r>
    </w:p>
    <w:p w14:paraId="1D0E16F4" w14:textId="77777777" w:rsidR="00C01674" w:rsidRDefault="00C01674" w:rsidP="00C01674">
      <w:pPr>
        <w:pStyle w:val="StandardWeb"/>
        <w:numPr>
          <w:ilvl w:val="0"/>
          <w:numId w:val="20"/>
        </w:numPr>
        <w:spacing w:after="240"/>
        <w:textAlignment w:val="baseline"/>
        <w:rPr>
          <w:rFonts w:ascii="Arial" w:hAnsi="Arial" w:cs="Arial"/>
          <w:color w:val="000000"/>
          <w:sz w:val="22"/>
          <w:szCs w:val="22"/>
        </w:rPr>
      </w:pPr>
      <w:r>
        <w:rPr>
          <w:rFonts w:ascii="Arial" w:hAnsi="Arial" w:cs="Arial"/>
          <w:b/>
          <w:bCs/>
          <w:color w:val="000000"/>
          <w:sz w:val="22"/>
          <w:szCs w:val="22"/>
        </w:rPr>
        <w:t>Sichtung von Entwickler-Dokumentationen (APIs):</w:t>
      </w:r>
      <w:r>
        <w:rPr>
          <w:rFonts w:ascii="Arial" w:hAnsi="Arial" w:cs="Arial"/>
          <w:color w:val="000000"/>
          <w:sz w:val="22"/>
          <w:szCs w:val="22"/>
        </w:rPr>
        <w:t xml:space="preserve"> Soweit öffentlich zugänglich, werden API-Referenzen herangezogen, um zu beurteilen, ob technische Schnittstellen für einen „einfachen und sicheren“ Datenzugriff im Sinne des Art. 3 Abs. 1 vorhanden sind.</w:t>
      </w:r>
    </w:p>
    <w:p w14:paraId="40935DB1" w14:textId="77777777" w:rsidR="00C01674" w:rsidRDefault="00C01674" w:rsidP="00C01674">
      <w:pPr>
        <w:pStyle w:val="berschrift4"/>
        <w:spacing w:before="240" w:after="40"/>
        <w:rPr>
          <w:rFonts w:ascii="Times New Roman" w:hAnsi="Times New Roman" w:cs="Times New Roman"/>
          <w:color w:val="000000"/>
          <w:sz w:val="24"/>
          <w:szCs w:val="24"/>
        </w:rPr>
      </w:pPr>
      <w:r>
        <w:rPr>
          <w:color w:val="000000"/>
        </w:rPr>
        <w:t>3.2.3 Dokumentation und Sicherung der Daten</w:t>
      </w:r>
    </w:p>
    <w:p w14:paraId="707E1AFA" w14:textId="77777777" w:rsidR="00C01674" w:rsidRDefault="00C01674" w:rsidP="00C01674">
      <w:pPr>
        <w:pStyle w:val="StandardWeb"/>
        <w:spacing w:before="240" w:after="240"/>
        <w:rPr>
          <w:color w:val="000000"/>
        </w:rPr>
      </w:pPr>
      <w:r>
        <w:rPr>
          <w:rFonts w:ascii="Arial" w:hAnsi="Arial" w:cs="Arial"/>
          <w:color w:val="000000"/>
          <w:sz w:val="22"/>
          <w:szCs w:val="22"/>
        </w:rPr>
        <w:lastRenderedPageBreak/>
        <w:t>Zur Sicherstellung der Nachvollziehbarkeit und Validität der Ergebnisse werden die erhobenen Daten wie folgt dokumentiert:</w:t>
      </w:r>
    </w:p>
    <w:p w14:paraId="30DDD432" w14:textId="77777777" w:rsidR="00C01674" w:rsidRDefault="00C01674" w:rsidP="00C01674">
      <w:pPr>
        <w:pStyle w:val="StandardWeb"/>
        <w:numPr>
          <w:ilvl w:val="0"/>
          <w:numId w:val="21"/>
        </w:numPr>
        <w:spacing w:before="240"/>
        <w:textAlignment w:val="baseline"/>
        <w:rPr>
          <w:rFonts w:ascii="Arial" w:hAnsi="Arial" w:cs="Arial"/>
          <w:color w:val="000000"/>
          <w:sz w:val="22"/>
          <w:szCs w:val="22"/>
        </w:rPr>
      </w:pPr>
      <w:r>
        <w:rPr>
          <w:rFonts w:ascii="Arial" w:hAnsi="Arial" w:cs="Arial"/>
          <w:b/>
          <w:bCs/>
          <w:color w:val="000000"/>
          <w:sz w:val="22"/>
          <w:szCs w:val="22"/>
        </w:rPr>
        <w:t>Systematische Screenshot-Dokumentation:</w:t>
      </w:r>
      <w:r>
        <w:rPr>
          <w:rFonts w:ascii="Arial" w:hAnsi="Arial" w:cs="Arial"/>
          <w:color w:val="000000"/>
          <w:sz w:val="22"/>
          <w:szCs w:val="22"/>
        </w:rPr>
        <w:t xml:space="preserve"> Alle relevanten Textpassagen, Informationsbanner, Einstellungsmenüs und Export-Dialoge werden mittels Screenshots festgehalten. Jeder Screenshot wird mit einem Zeitstempel und der entsprechenden URL bzw. App-Version versehen.</w:t>
      </w:r>
    </w:p>
    <w:p w14:paraId="492240E1" w14:textId="77777777" w:rsidR="00C01674" w:rsidRDefault="00C01674" w:rsidP="00C01674">
      <w:pPr>
        <w:pStyle w:val="StandardWeb"/>
        <w:numPr>
          <w:ilvl w:val="0"/>
          <w:numId w:val="21"/>
        </w:numPr>
        <w:textAlignment w:val="baseline"/>
        <w:rPr>
          <w:rFonts w:ascii="Arial" w:hAnsi="Arial" w:cs="Arial"/>
          <w:color w:val="000000"/>
          <w:sz w:val="22"/>
          <w:szCs w:val="22"/>
        </w:rPr>
      </w:pPr>
      <w:r>
        <w:rPr>
          <w:rFonts w:ascii="Arial" w:hAnsi="Arial" w:cs="Arial"/>
          <w:b/>
          <w:bCs/>
          <w:color w:val="000000"/>
          <w:sz w:val="22"/>
          <w:szCs w:val="22"/>
        </w:rPr>
        <w:t>Archivierung von Textquellen:</w:t>
      </w:r>
      <w:r>
        <w:rPr>
          <w:rFonts w:ascii="Arial" w:hAnsi="Arial" w:cs="Arial"/>
          <w:color w:val="000000"/>
          <w:sz w:val="22"/>
          <w:szCs w:val="22"/>
        </w:rPr>
        <w:t xml:space="preserve"> Die untersuchten AGB und Datenschutzerklärungen werden zum Zeitpunkt der Untersuchung als PDF-Dokumente gesichert, um eine spätere Überprüfung unabhängig von etwaigen Aktualisierungen durch die Anbieter zu ermöglichen.</w:t>
      </w:r>
    </w:p>
    <w:p w14:paraId="421FD2DA" w14:textId="77777777" w:rsidR="00C01674" w:rsidRDefault="00C01674" w:rsidP="00C01674">
      <w:pPr>
        <w:pStyle w:val="StandardWeb"/>
        <w:numPr>
          <w:ilvl w:val="0"/>
          <w:numId w:val="21"/>
        </w:numPr>
        <w:spacing w:after="240"/>
        <w:textAlignment w:val="baseline"/>
        <w:rPr>
          <w:rFonts w:ascii="Arial" w:hAnsi="Arial" w:cs="Arial"/>
          <w:color w:val="000000"/>
          <w:sz w:val="22"/>
          <w:szCs w:val="22"/>
        </w:rPr>
      </w:pPr>
      <w:r>
        <w:rPr>
          <w:rFonts w:ascii="Arial" w:hAnsi="Arial" w:cs="Arial"/>
          <w:b/>
          <w:bCs/>
          <w:color w:val="000000"/>
          <w:sz w:val="22"/>
          <w:szCs w:val="22"/>
        </w:rPr>
        <w:t>Protokollierung der Klickpfade:</w:t>
      </w:r>
      <w:r>
        <w:rPr>
          <w:rFonts w:ascii="Arial" w:hAnsi="Arial" w:cs="Arial"/>
          <w:color w:val="000000"/>
          <w:sz w:val="22"/>
          <w:szCs w:val="22"/>
        </w:rPr>
        <w:t xml:space="preserve"> Es wird dokumentiert, wie viele Schritte („Klicks“) ein Nutzer benötigt, um zu den geforderten Informationen nach Art. 3 Data Act zu gelangen (Messung der Auffindbarkeit und Usability).</w:t>
      </w:r>
    </w:p>
    <w:p w14:paraId="59E8CA3D" w14:textId="77777777" w:rsidR="00C01674" w:rsidRDefault="00C01674" w:rsidP="00C01674">
      <w:pPr>
        <w:pStyle w:val="StandardWeb"/>
        <w:spacing w:before="240" w:after="240"/>
        <w:rPr>
          <w:color w:val="000000"/>
        </w:rPr>
      </w:pPr>
      <w:r>
        <w:rPr>
          <w:rFonts w:ascii="Arial" w:hAnsi="Arial" w:cs="Arial"/>
          <w:color w:val="000000"/>
          <w:sz w:val="22"/>
          <w:szCs w:val="22"/>
        </w:rPr>
        <w:t>Die Gesamtheit dieser Daten bildet die empirische Basis für die anschließende Bewertung im Compliance-Analyse-Raster. Durch die Kombination von rechtlichen Texten und technischer Anwendung wird sichergestellt, dass die Untersuchung über eine rein formale Prüfung hinausgeht und die tatsächliche Nutzererfahrung („User Experience“) mit einbezieht.</w:t>
      </w:r>
    </w:p>
    <w:p w14:paraId="796367CD" w14:textId="77777777" w:rsidR="00C01674" w:rsidRDefault="00C01674">
      <w:pPr>
        <w:pStyle w:val="berschrift2"/>
      </w:pPr>
      <w:bookmarkStart w:id="16" w:name="_Toc232151344"/>
    </w:p>
    <w:p w14:paraId="558EC1F0" w14:textId="49F28EF7" w:rsidR="003E5E7F" w:rsidRDefault="00000000">
      <w:pPr>
        <w:pStyle w:val="berschrift2"/>
      </w:pPr>
      <w:r>
        <w:t>3.3 Entwicklung des Compliance-Analyse-Rasters</w:t>
      </w:r>
      <w:bookmarkEnd w:id="16"/>
    </w:p>
    <w:p w14:paraId="2FFD3EB5" w14:textId="77777777" w:rsidR="00C01674" w:rsidRDefault="00C01674" w:rsidP="00C01674">
      <w:pPr>
        <w:pStyle w:val="StandardWeb"/>
        <w:spacing w:before="240" w:after="240"/>
        <w:rPr>
          <w:color w:val="000000"/>
        </w:rPr>
      </w:pPr>
      <w:bookmarkStart w:id="17" w:name="_Toc232151345"/>
      <w:r>
        <w:rPr>
          <w:rFonts w:ascii="Arial" w:hAnsi="Arial" w:cs="Arial"/>
          <w:color w:val="000000"/>
          <w:sz w:val="22"/>
          <w:szCs w:val="22"/>
        </w:rPr>
        <w:t xml:space="preserve">Auf Grundlage des in Kapitel 2 dargestellten rechtlichen Soll-Zustands wird ein Compliance-Analyse-Raster entwickelt. Die Entwicklung dieses Rasters folgt der methodischen Notwendigkeit, einen </w:t>
      </w:r>
      <w:r>
        <w:rPr>
          <w:rFonts w:ascii="Arial" w:hAnsi="Arial" w:cs="Arial"/>
          <w:b/>
          <w:bCs/>
          <w:color w:val="000000"/>
          <w:sz w:val="22"/>
          <w:szCs w:val="22"/>
        </w:rPr>
        <w:t>rechtlich formulierten Soll-Zustand</w:t>
      </w:r>
      <w:r>
        <w:rPr>
          <w:rFonts w:ascii="Arial" w:hAnsi="Arial" w:cs="Arial"/>
          <w:color w:val="000000"/>
          <w:sz w:val="22"/>
          <w:szCs w:val="22"/>
        </w:rPr>
        <w:t xml:space="preserve"> in </w:t>
      </w:r>
      <w:r>
        <w:rPr>
          <w:rFonts w:ascii="Arial" w:hAnsi="Arial" w:cs="Arial"/>
          <w:b/>
          <w:bCs/>
          <w:color w:val="000000"/>
          <w:sz w:val="22"/>
          <w:szCs w:val="22"/>
        </w:rPr>
        <w:t>empirisch beobachtbare und vergleichbar bewertbare Prüfkriterien</w:t>
      </w:r>
      <w:r>
        <w:rPr>
          <w:rFonts w:ascii="Arial" w:hAnsi="Arial" w:cs="Arial"/>
          <w:color w:val="000000"/>
          <w:sz w:val="22"/>
          <w:szCs w:val="22"/>
        </w:rPr>
        <w:t xml:space="preserve"> zu überführen. </w:t>
      </w:r>
    </w:p>
    <w:p w14:paraId="215B745B" w14:textId="718DCCC0" w:rsidR="00C01674" w:rsidRDefault="00C01674" w:rsidP="00C01674">
      <w:pPr>
        <w:pStyle w:val="StandardWeb"/>
        <w:spacing w:before="240" w:after="240"/>
        <w:rPr>
          <w:color w:val="000000"/>
        </w:rPr>
      </w:pPr>
      <w:r>
        <w:rPr>
          <w:rFonts w:ascii="Arial" w:hAnsi="Arial" w:cs="Arial"/>
          <w:color w:val="000000"/>
          <w:sz w:val="22"/>
          <w:szCs w:val="22"/>
        </w:rPr>
        <w:t xml:space="preserve">Im Unterschied zu rein binären Prüfansätzen (erfüllt / nicht erfüllt) basiert das Raster auf einem </w:t>
      </w:r>
      <w:r>
        <w:rPr>
          <w:rFonts w:ascii="Arial" w:hAnsi="Arial" w:cs="Arial"/>
          <w:b/>
          <w:bCs/>
          <w:color w:val="000000"/>
          <w:sz w:val="22"/>
          <w:szCs w:val="22"/>
        </w:rPr>
        <w:t>mehrdimensionalen Bewertungsmodell</w:t>
      </w:r>
      <w:r>
        <w:rPr>
          <w:rFonts w:ascii="Arial" w:hAnsi="Arial" w:cs="Arial"/>
          <w:color w:val="000000"/>
          <w:sz w:val="22"/>
          <w:szCs w:val="22"/>
        </w:rPr>
        <w:t xml:space="preserve">, das nicht nur die formale Existenz von Informationen berücksichtigt, sondern auch deren </w:t>
      </w:r>
      <w:r>
        <w:rPr>
          <w:rFonts w:ascii="Arial" w:hAnsi="Arial" w:cs="Arial"/>
          <w:b/>
          <w:bCs/>
          <w:color w:val="000000"/>
          <w:sz w:val="22"/>
          <w:szCs w:val="22"/>
        </w:rPr>
        <w:t>zeitliche Bereitstellung, Verständlichkeit und praktische Nutzbarkeit</w:t>
      </w:r>
      <w:r>
        <w:rPr>
          <w:rFonts w:ascii="Arial" w:hAnsi="Arial" w:cs="Arial"/>
          <w:color w:val="000000"/>
          <w:sz w:val="22"/>
          <w:szCs w:val="22"/>
        </w:rPr>
        <w:t>. Damit wird der Zweck des Art. 3. Data Act "Transparenz- und Bereitstellungspflichten</w:t>
      </w:r>
      <w:r>
        <w:rPr>
          <w:rFonts w:ascii="Arial" w:hAnsi="Arial" w:cs="Arial"/>
          <w:color w:val="000000"/>
          <w:sz w:val="22"/>
          <w:szCs w:val="22"/>
        </w:rPr>
        <w:t>“ methodisch</w:t>
      </w:r>
      <w:r>
        <w:rPr>
          <w:rFonts w:ascii="Arial" w:hAnsi="Arial" w:cs="Arial"/>
          <w:color w:val="000000"/>
          <w:sz w:val="22"/>
          <w:szCs w:val="22"/>
        </w:rPr>
        <w:t xml:space="preserve"> Rechnung getragen.</w:t>
      </w:r>
    </w:p>
    <w:p w14:paraId="4C8B8F4A" w14:textId="77777777" w:rsidR="00C01674" w:rsidRDefault="00C01674" w:rsidP="00C01674">
      <w:pPr>
        <w:pStyle w:val="berschrift4"/>
        <w:spacing w:before="480" w:after="80"/>
        <w:rPr>
          <w:color w:val="000000"/>
        </w:rPr>
      </w:pPr>
      <w:r>
        <w:rPr>
          <w:b/>
          <w:bCs/>
          <w:color w:val="666666"/>
        </w:rPr>
        <w:t>3.3.1 Bewertungslogik und Metriken</w:t>
      </w:r>
    </w:p>
    <w:p w14:paraId="2104E79F" w14:textId="77777777" w:rsidR="00C01674" w:rsidRDefault="00C01674" w:rsidP="00C01674">
      <w:pPr>
        <w:pStyle w:val="StandardWeb"/>
        <w:spacing w:before="240" w:after="240"/>
        <w:rPr>
          <w:color w:val="000000"/>
        </w:rPr>
      </w:pPr>
      <w:r>
        <w:rPr>
          <w:rFonts w:ascii="Arial" w:hAnsi="Arial" w:cs="Arial"/>
          <w:color w:val="000000"/>
          <w:sz w:val="22"/>
          <w:szCs w:val="22"/>
        </w:rPr>
        <w:t>Das Raster basiert auf vier zentralen Bewertungsdimensionen, die gemeinsam den Grad der Compliance bestimmen:</w:t>
      </w:r>
    </w:p>
    <w:p w14:paraId="54367B27" w14:textId="7D9F47C7" w:rsidR="00C01674" w:rsidRDefault="00C01674" w:rsidP="00C01674">
      <w:pPr>
        <w:pStyle w:val="StandardWeb"/>
        <w:spacing w:before="240" w:after="240"/>
        <w:rPr>
          <w:color w:val="000000"/>
        </w:rPr>
      </w:pPr>
      <w:r>
        <w:rPr>
          <w:rFonts w:ascii="Arial" w:hAnsi="Arial" w:cs="Arial"/>
          <w:b/>
          <w:bCs/>
          <w:color w:val="000000"/>
          <w:sz w:val="22"/>
          <w:szCs w:val="22"/>
        </w:rPr>
        <w:t>(1) Inhaltliche Erfüllung (Existenz)</w:t>
      </w:r>
      <w:r>
        <w:rPr>
          <w:rFonts w:ascii="Arial" w:hAnsi="Arial" w:cs="Arial"/>
          <w:b/>
          <w:bCs/>
          <w:color w:val="000000"/>
          <w:sz w:val="22"/>
          <w:szCs w:val="22"/>
        </w:rPr>
        <w:br/>
      </w:r>
      <w:proofErr w:type="gramStart"/>
      <w:r>
        <w:rPr>
          <w:rFonts w:ascii="Arial" w:hAnsi="Arial" w:cs="Arial"/>
          <w:color w:val="000000"/>
          <w:sz w:val="22"/>
          <w:szCs w:val="22"/>
        </w:rPr>
        <w:t>Erfasst</w:t>
      </w:r>
      <w:proofErr w:type="gramEnd"/>
      <w:r>
        <w:rPr>
          <w:rFonts w:ascii="Arial" w:hAnsi="Arial" w:cs="Arial"/>
          <w:color w:val="000000"/>
          <w:sz w:val="22"/>
          <w:szCs w:val="22"/>
        </w:rPr>
        <w:t xml:space="preserve"> wird, ob die jeweilige gesetzlich geforderte Information tatsächlich bereitgestellt wird.</w:t>
      </w:r>
    </w:p>
    <w:tbl>
      <w:tblPr>
        <w:tblW w:w="9026" w:type="dxa"/>
        <w:tblCellMar>
          <w:top w:w="15" w:type="dxa"/>
          <w:left w:w="15" w:type="dxa"/>
          <w:bottom w:w="15" w:type="dxa"/>
          <w:right w:w="15" w:type="dxa"/>
        </w:tblCellMar>
        <w:tblLook w:val="04A0" w:firstRow="1" w:lastRow="0" w:firstColumn="1" w:lastColumn="0" w:noHBand="0" w:noVBand="1"/>
      </w:tblPr>
      <w:tblGrid>
        <w:gridCol w:w="2397"/>
        <w:gridCol w:w="6629"/>
      </w:tblGrid>
      <w:tr w:rsidR="00C01674" w14:paraId="113D66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F7071" w14:textId="77777777" w:rsidR="00C01674" w:rsidRDefault="00C01674">
            <w:pPr>
              <w:pStyle w:val="StandardWeb"/>
            </w:pPr>
            <w:r>
              <w:rPr>
                <w:rFonts w:ascii="Arial" w:hAnsi="Arial" w:cs="Arial"/>
                <w:color w:val="000000"/>
                <w:sz w:val="22"/>
                <w:szCs w:val="22"/>
              </w:rPr>
              <w:t>Wert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980C2" w14:textId="77777777" w:rsidR="00C01674" w:rsidRDefault="00C01674">
            <w:pPr>
              <w:pStyle w:val="StandardWeb"/>
            </w:pPr>
            <w:r>
              <w:rPr>
                <w:rFonts w:ascii="Arial" w:hAnsi="Arial" w:cs="Arial"/>
                <w:color w:val="000000"/>
                <w:sz w:val="22"/>
                <w:szCs w:val="22"/>
              </w:rPr>
              <w:t>Bedeutung</w:t>
            </w:r>
          </w:p>
        </w:tc>
      </w:tr>
      <w:tr w:rsidR="00C01674" w14:paraId="4E4C12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23A68" w14:textId="77777777" w:rsidR="00C01674" w:rsidRDefault="00C01674">
            <w:pPr>
              <w:pStyle w:val="StandardWeb"/>
            </w:pPr>
            <w:r>
              <w:rPr>
                <w:rFonts w:ascii="Arial" w:hAnsi="Arial" w:cs="Arial"/>
                <w:color w:val="000000"/>
                <w:sz w:val="22"/>
                <w:szCs w:val="22"/>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79D59" w14:textId="77777777" w:rsidR="00C01674" w:rsidRDefault="00C01674">
            <w:pPr>
              <w:pStyle w:val="StandardWeb"/>
            </w:pPr>
            <w:r>
              <w:rPr>
                <w:rFonts w:ascii="Arial" w:hAnsi="Arial" w:cs="Arial"/>
                <w:color w:val="000000"/>
                <w:sz w:val="22"/>
                <w:szCs w:val="22"/>
              </w:rPr>
              <w:t>nicht erfüllt</w:t>
            </w:r>
          </w:p>
        </w:tc>
      </w:tr>
      <w:tr w:rsidR="00C01674" w14:paraId="7A5FB1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4A121" w14:textId="77777777" w:rsidR="00C01674" w:rsidRDefault="00C01674">
            <w:pPr>
              <w:pStyle w:val="StandardWeb"/>
            </w:pPr>
            <w:r>
              <w:rPr>
                <w:rFonts w:ascii="Arial" w:hAnsi="Arial" w:cs="Arial"/>
                <w:color w:val="000000"/>
                <w:sz w:val="22"/>
                <w:szCs w:val="22"/>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6509F" w14:textId="77777777" w:rsidR="00C01674" w:rsidRDefault="00C01674">
            <w:pPr>
              <w:pStyle w:val="StandardWeb"/>
            </w:pPr>
            <w:r>
              <w:rPr>
                <w:rFonts w:ascii="Arial" w:hAnsi="Arial" w:cs="Arial"/>
                <w:color w:val="000000"/>
                <w:sz w:val="22"/>
                <w:szCs w:val="22"/>
              </w:rPr>
              <w:t>teilweise erfüllt</w:t>
            </w:r>
          </w:p>
        </w:tc>
      </w:tr>
      <w:tr w:rsidR="00C01674" w14:paraId="63ED6E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F43F5" w14:textId="77777777" w:rsidR="00C01674" w:rsidRDefault="00C01674">
            <w:pPr>
              <w:pStyle w:val="StandardWeb"/>
            </w:pPr>
            <w:r>
              <w:rPr>
                <w:rFonts w:ascii="Arial" w:hAnsi="Arial" w:cs="Arial"/>
                <w:color w:val="000000"/>
                <w:sz w:val="22"/>
                <w:szCs w:val="22"/>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EDCE6" w14:textId="77777777" w:rsidR="00C01674" w:rsidRDefault="00C01674">
            <w:pPr>
              <w:pStyle w:val="StandardWeb"/>
            </w:pPr>
            <w:r>
              <w:rPr>
                <w:rFonts w:ascii="Arial" w:hAnsi="Arial" w:cs="Arial"/>
                <w:color w:val="000000"/>
                <w:sz w:val="22"/>
                <w:szCs w:val="22"/>
              </w:rPr>
              <w:t>vollständig erfüllt</w:t>
            </w:r>
          </w:p>
        </w:tc>
      </w:tr>
    </w:tbl>
    <w:p w14:paraId="26A2A96F" w14:textId="77777777" w:rsidR="00C01674" w:rsidRDefault="00C01674" w:rsidP="00C01674">
      <w:pPr>
        <w:rPr>
          <w:color w:val="000000"/>
        </w:rPr>
      </w:pPr>
    </w:p>
    <w:p w14:paraId="494AC537" w14:textId="77777777" w:rsidR="00C01674" w:rsidRDefault="00C01674" w:rsidP="00C01674">
      <w:pPr>
        <w:pStyle w:val="StandardWeb"/>
        <w:rPr>
          <w:color w:val="000000"/>
        </w:rPr>
      </w:pPr>
      <w:r>
        <w:rPr>
          <w:rFonts w:ascii="Arial" w:hAnsi="Arial" w:cs="Arial"/>
          <w:b/>
          <w:bCs/>
          <w:color w:val="000000"/>
          <w:sz w:val="22"/>
          <w:szCs w:val="22"/>
        </w:rPr>
        <w:t>(2) Zeitliche Bereitstellung („vor Abschluss“)</w:t>
      </w:r>
      <w:r>
        <w:rPr>
          <w:rFonts w:ascii="Arial" w:hAnsi="Arial" w:cs="Arial"/>
          <w:b/>
          <w:bCs/>
          <w:color w:val="000000"/>
          <w:sz w:val="22"/>
          <w:szCs w:val="22"/>
        </w:rPr>
        <w:br/>
      </w:r>
      <w:r>
        <w:rPr>
          <w:rFonts w:ascii="Arial" w:hAnsi="Arial" w:cs="Arial"/>
          <w:color w:val="000000"/>
          <w:sz w:val="22"/>
          <w:szCs w:val="22"/>
        </w:rPr>
        <w:t xml:space="preserve">Diese Dimension operationalisiert die zentrale Anforderung des Art. 3 Data Act, wonach Informationen </w:t>
      </w:r>
      <w:r>
        <w:rPr>
          <w:rFonts w:ascii="Arial" w:hAnsi="Arial" w:cs="Arial"/>
          <w:b/>
          <w:bCs/>
          <w:color w:val="000000"/>
          <w:sz w:val="22"/>
          <w:szCs w:val="22"/>
        </w:rPr>
        <w:t>vor Vertragsschluss</w:t>
      </w:r>
      <w:r>
        <w:rPr>
          <w:rFonts w:ascii="Arial" w:hAnsi="Arial" w:cs="Arial"/>
          <w:color w:val="000000"/>
          <w:sz w:val="22"/>
          <w:szCs w:val="22"/>
        </w:rPr>
        <w:t xml:space="preserve"> bereitgestellt werden müssen.</w:t>
      </w:r>
    </w:p>
    <w:p w14:paraId="547CAA2B" w14:textId="77777777" w:rsidR="00C01674" w:rsidRDefault="00C01674" w:rsidP="00C01674">
      <w:pPr>
        <w:rPr>
          <w:color w:val="000000"/>
        </w:rPr>
      </w:pPr>
    </w:p>
    <w:p w14:paraId="4D990FA2" w14:textId="77777777" w:rsidR="00C01674" w:rsidRDefault="00C01674" w:rsidP="00C01674">
      <w:pPr>
        <w:pStyle w:val="StandardWeb"/>
        <w:rPr>
          <w:color w:val="000000"/>
        </w:rPr>
      </w:pPr>
      <w:r>
        <w:rPr>
          <w:rFonts w:ascii="Arial" w:hAnsi="Arial" w:cs="Arial"/>
          <w:color w:val="000000"/>
          <w:sz w:val="22"/>
          <w:szCs w:val="22"/>
        </w:rPr>
        <w:t>Bewertet wird insbesondere:</w:t>
      </w:r>
    </w:p>
    <w:p w14:paraId="03F995CB" w14:textId="77777777" w:rsidR="00C01674" w:rsidRDefault="00C01674" w:rsidP="00C01674">
      <w:pPr>
        <w:pStyle w:val="StandardWeb"/>
        <w:numPr>
          <w:ilvl w:val="0"/>
          <w:numId w:val="22"/>
        </w:numPr>
        <w:textAlignment w:val="baseline"/>
        <w:rPr>
          <w:rFonts w:ascii="Arial" w:hAnsi="Arial" w:cs="Arial"/>
          <w:color w:val="000000"/>
          <w:sz w:val="22"/>
          <w:szCs w:val="22"/>
        </w:rPr>
      </w:pPr>
      <w:r>
        <w:rPr>
          <w:rFonts w:ascii="Arial" w:hAnsi="Arial" w:cs="Arial"/>
          <w:color w:val="000000"/>
          <w:sz w:val="22"/>
          <w:szCs w:val="22"/>
        </w:rPr>
        <w:t>Zeitpunkt der Bereitstellung (prä- vs. postvertraglich)</w:t>
      </w:r>
    </w:p>
    <w:p w14:paraId="18F43B5B" w14:textId="77777777" w:rsidR="00C01674" w:rsidRDefault="00C01674" w:rsidP="00C01674">
      <w:pPr>
        <w:pStyle w:val="StandardWeb"/>
        <w:numPr>
          <w:ilvl w:val="0"/>
          <w:numId w:val="22"/>
        </w:numPr>
        <w:textAlignment w:val="baseline"/>
        <w:rPr>
          <w:rFonts w:ascii="Arial" w:hAnsi="Arial" w:cs="Arial"/>
          <w:color w:val="000000"/>
          <w:sz w:val="22"/>
          <w:szCs w:val="22"/>
        </w:rPr>
      </w:pPr>
      <w:r>
        <w:rPr>
          <w:rFonts w:ascii="Arial" w:hAnsi="Arial" w:cs="Arial"/>
          <w:color w:val="000000"/>
          <w:sz w:val="22"/>
          <w:szCs w:val="22"/>
        </w:rPr>
        <w:t>Sichtbarkeit im Entscheidungsprozess</w:t>
      </w:r>
    </w:p>
    <w:p w14:paraId="6C95C4C8" w14:textId="77777777" w:rsidR="00C01674" w:rsidRDefault="00C01674" w:rsidP="00C01674">
      <w:pPr>
        <w:pStyle w:val="StandardWeb"/>
        <w:numPr>
          <w:ilvl w:val="0"/>
          <w:numId w:val="22"/>
        </w:numPr>
        <w:spacing w:after="240"/>
        <w:textAlignment w:val="baseline"/>
        <w:rPr>
          <w:rFonts w:ascii="Arial" w:hAnsi="Arial" w:cs="Arial"/>
          <w:color w:val="000000"/>
          <w:sz w:val="22"/>
          <w:szCs w:val="22"/>
        </w:rPr>
      </w:pPr>
      <w:r>
        <w:rPr>
          <w:rFonts w:ascii="Arial" w:hAnsi="Arial" w:cs="Arial"/>
          <w:color w:val="000000"/>
          <w:sz w:val="22"/>
          <w:szCs w:val="22"/>
        </w:rPr>
        <w:t>Grad der aktiven Zugänglichkeit (z. B. „versteckt“ vs. direkt präsent)</w:t>
      </w:r>
    </w:p>
    <w:tbl>
      <w:tblPr>
        <w:tblW w:w="9026" w:type="dxa"/>
        <w:tblCellMar>
          <w:top w:w="15" w:type="dxa"/>
          <w:left w:w="15" w:type="dxa"/>
          <w:bottom w:w="15" w:type="dxa"/>
          <w:right w:w="15" w:type="dxa"/>
        </w:tblCellMar>
        <w:tblLook w:val="04A0" w:firstRow="1" w:lastRow="0" w:firstColumn="1" w:lastColumn="0" w:noHBand="0" w:noVBand="1"/>
      </w:tblPr>
      <w:tblGrid>
        <w:gridCol w:w="990"/>
        <w:gridCol w:w="8036"/>
      </w:tblGrid>
      <w:tr w:rsidR="00C01674" w14:paraId="125CFD40" w14:textId="77777777">
        <w:trPr>
          <w:trHeight w:val="170"/>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B2BBC" w14:textId="77777777" w:rsidR="00C01674" w:rsidRDefault="00C01674">
            <w:pPr>
              <w:pStyle w:val="StandardWeb"/>
              <w:spacing w:before="240" w:after="240"/>
              <w:jc w:val="center"/>
              <w:rPr>
                <w:b/>
                <w:bCs/>
              </w:rPr>
            </w:pPr>
            <w:r>
              <w:rPr>
                <w:rFonts w:ascii="Arial" w:hAnsi="Arial" w:cs="Arial"/>
                <w:b/>
                <w:bCs/>
                <w:color w:val="000000"/>
                <w:sz w:val="18"/>
                <w:szCs w:val="18"/>
              </w:rPr>
              <w:t>Wert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9A788" w14:textId="77777777" w:rsidR="00C01674" w:rsidRDefault="00C01674">
            <w:pPr>
              <w:pStyle w:val="StandardWeb"/>
              <w:spacing w:before="240" w:after="240"/>
              <w:jc w:val="center"/>
              <w:rPr>
                <w:b/>
                <w:bCs/>
              </w:rPr>
            </w:pPr>
            <w:r>
              <w:rPr>
                <w:rFonts w:ascii="Arial" w:hAnsi="Arial" w:cs="Arial"/>
                <w:b/>
                <w:bCs/>
                <w:color w:val="000000"/>
                <w:sz w:val="18"/>
                <w:szCs w:val="18"/>
              </w:rPr>
              <w:t>Bedeutung</w:t>
            </w:r>
          </w:p>
        </w:tc>
      </w:tr>
      <w:tr w:rsidR="00C01674" w14:paraId="74502114" w14:textId="77777777">
        <w:tc>
          <w:tcPr>
            <w:tcW w:w="0" w:type="auto"/>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hideMark/>
          </w:tcPr>
          <w:p w14:paraId="146C48DC" w14:textId="77777777" w:rsidR="00C01674" w:rsidRDefault="00C01674">
            <w:pPr>
              <w:pStyle w:val="StandardWeb"/>
              <w:jc w:val="center"/>
            </w:pPr>
            <w:r>
              <w:rPr>
                <w:rFonts w:ascii="Arial" w:hAnsi="Arial" w:cs="Arial"/>
                <w:color w:val="000000"/>
                <w:sz w:val="18"/>
                <w:szCs w:val="18"/>
              </w:rPr>
              <w:t>0</w:t>
            </w:r>
          </w:p>
        </w:tc>
        <w:tc>
          <w:tcPr>
            <w:tcW w:w="0" w:type="auto"/>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hideMark/>
          </w:tcPr>
          <w:p w14:paraId="1933D3C6" w14:textId="77777777" w:rsidR="00C01674" w:rsidRDefault="00C01674">
            <w:pPr>
              <w:pStyle w:val="StandardWeb"/>
              <w:jc w:val="center"/>
            </w:pPr>
            <w:r>
              <w:rPr>
                <w:rFonts w:ascii="Arial" w:hAnsi="Arial" w:cs="Arial"/>
                <w:color w:val="000000"/>
                <w:sz w:val="18"/>
                <w:szCs w:val="18"/>
              </w:rPr>
              <w:t>nicht vor Vertragsschluss bereitgestellt</w:t>
            </w:r>
          </w:p>
        </w:tc>
      </w:tr>
      <w:tr w:rsidR="00C01674" w14:paraId="5E9623D1" w14:textId="77777777">
        <w:tc>
          <w:tcPr>
            <w:tcW w:w="0" w:type="auto"/>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hideMark/>
          </w:tcPr>
          <w:p w14:paraId="4111E76A" w14:textId="77777777" w:rsidR="00C01674" w:rsidRDefault="00C01674">
            <w:pPr>
              <w:pStyle w:val="StandardWeb"/>
              <w:jc w:val="center"/>
            </w:pPr>
            <w:r>
              <w:rPr>
                <w:rFonts w:ascii="Arial" w:hAnsi="Arial" w:cs="Arial"/>
                <w:color w:val="000000"/>
                <w:sz w:val="18"/>
                <w:szCs w:val="18"/>
              </w:rPr>
              <w:t>1</w:t>
            </w:r>
          </w:p>
        </w:tc>
        <w:tc>
          <w:tcPr>
            <w:tcW w:w="0" w:type="auto"/>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hideMark/>
          </w:tcPr>
          <w:p w14:paraId="66E79D9B" w14:textId="77777777" w:rsidR="00C01674" w:rsidRDefault="00C01674">
            <w:pPr>
              <w:pStyle w:val="StandardWeb"/>
              <w:jc w:val="center"/>
            </w:pPr>
            <w:r>
              <w:rPr>
                <w:rFonts w:ascii="Arial" w:hAnsi="Arial" w:cs="Arial"/>
                <w:color w:val="000000"/>
                <w:sz w:val="18"/>
                <w:szCs w:val="18"/>
              </w:rPr>
              <w:t>nur schwer zugänglich (z. B. in AGB verborgen)</w:t>
            </w:r>
          </w:p>
        </w:tc>
      </w:tr>
      <w:tr w:rsidR="00C01674" w14:paraId="69BB5F63" w14:textId="77777777">
        <w:tc>
          <w:tcPr>
            <w:tcW w:w="0" w:type="auto"/>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hideMark/>
          </w:tcPr>
          <w:p w14:paraId="40E8E0F7" w14:textId="77777777" w:rsidR="00C01674" w:rsidRDefault="00C01674">
            <w:pPr>
              <w:pStyle w:val="StandardWeb"/>
              <w:jc w:val="center"/>
            </w:pPr>
            <w:r>
              <w:rPr>
                <w:rFonts w:ascii="Arial" w:hAnsi="Arial" w:cs="Arial"/>
                <w:color w:val="000000"/>
                <w:sz w:val="18"/>
                <w:szCs w:val="18"/>
              </w:rPr>
              <w:t>2</w:t>
            </w:r>
          </w:p>
        </w:tc>
        <w:tc>
          <w:tcPr>
            <w:tcW w:w="0" w:type="auto"/>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hideMark/>
          </w:tcPr>
          <w:p w14:paraId="410B4DFB" w14:textId="77777777" w:rsidR="00C01674" w:rsidRDefault="00C01674">
            <w:pPr>
              <w:pStyle w:val="StandardWeb"/>
              <w:jc w:val="center"/>
            </w:pPr>
            <w:r>
              <w:rPr>
                <w:rFonts w:ascii="Arial" w:hAnsi="Arial" w:cs="Arial"/>
                <w:color w:val="000000"/>
                <w:sz w:val="18"/>
                <w:szCs w:val="18"/>
              </w:rPr>
              <w:t>zugänglich, aber nicht prominent</w:t>
            </w:r>
          </w:p>
        </w:tc>
      </w:tr>
      <w:tr w:rsidR="00C01674" w14:paraId="171F8EB5" w14:textId="77777777">
        <w:tc>
          <w:tcPr>
            <w:tcW w:w="0" w:type="auto"/>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hideMark/>
          </w:tcPr>
          <w:p w14:paraId="54474490" w14:textId="77777777" w:rsidR="00C01674" w:rsidRDefault="00C01674">
            <w:pPr>
              <w:pStyle w:val="StandardWeb"/>
              <w:jc w:val="center"/>
            </w:pPr>
            <w:r>
              <w:rPr>
                <w:rFonts w:ascii="Arial" w:hAnsi="Arial" w:cs="Arial"/>
                <w:color w:val="000000"/>
                <w:sz w:val="18"/>
                <w:szCs w:val="18"/>
              </w:rPr>
              <w:t>3</w:t>
            </w:r>
          </w:p>
        </w:tc>
        <w:tc>
          <w:tcPr>
            <w:tcW w:w="0" w:type="auto"/>
            <w:tcBorders>
              <w:top w:val="single" w:sz="8" w:space="0" w:color="000000"/>
              <w:left w:val="single" w:sz="8" w:space="0" w:color="000000"/>
              <w:bottom w:val="single" w:sz="8" w:space="0" w:color="000000"/>
              <w:right w:val="single" w:sz="8" w:space="0" w:color="000000"/>
            </w:tcBorders>
            <w:tcMar>
              <w:top w:w="113" w:type="dxa"/>
              <w:left w:w="113" w:type="dxa"/>
              <w:bottom w:w="113" w:type="dxa"/>
              <w:right w:w="113" w:type="dxa"/>
            </w:tcMar>
            <w:vAlign w:val="center"/>
            <w:hideMark/>
          </w:tcPr>
          <w:p w14:paraId="4D1E1BDB" w14:textId="77777777" w:rsidR="00C01674" w:rsidRDefault="00C01674">
            <w:pPr>
              <w:pStyle w:val="StandardWeb"/>
              <w:jc w:val="center"/>
            </w:pPr>
            <w:r>
              <w:rPr>
                <w:rFonts w:ascii="Arial" w:hAnsi="Arial" w:cs="Arial"/>
                <w:color w:val="000000"/>
                <w:sz w:val="18"/>
                <w:szCs w:val="18"/>
              </w:rPr>
              <w:t>klar sichtbar und integraler Bestandteil des Kaufprozesses</w:t>
            </w:r>
          </w:p>
        </w:tc>
      </w:tr>
    </w:tbl>
    <w:p w14:paraId="30B269AE" w14:textId="77777777" w:rsidR="00C01674" w:rsidRDefault="00C01674" w:rsidP="00C01674">
      <w:pPr>
        <w:pStyle w:val="StandardWeb"/>
        <w:spacing w:before="240" w:after="240"/>
        <w:rPr>
          <w:color w:val="000000"/>
        </w:rPr>
      </w:pPr>
      <w:r>
        <w:rPr>
          <w:rFonts w:ascii="Arial" w:hAnsi="Arial" w:cs="Arial"/>
          <w:color w:val="000000"/>
          <w:sz w:val="22"/>
          <w:szCs w:val="22"/>
        </w:rPr>
        <w:t xml:space="preserve">Diese Dimension stellt einen zentralen analytischen Mehrwert dar, da sie zwischen </w:t>
      </w:r>
      <w:r>
        <w:rPr>
          <w:rFonts w:ascii="Arial" w:hAnsi="Arial" w:cs="Arial"/>
          <w:b/>
          <w:bCs/>
          <w:color w:val="000000"/>
          <w:sz w:val="22"/>
          <w:szCs w:val="22"/>
        </w:rPr>
        <w:t>formaler und effektiver Transparenz</w:t>
      </w:r>
      <w:r>
        <w:rPr>
          <w:rFonts w:ascii="Arial" w:hAnsi="Arial" w:cs="Arial"/>
          <w:color w:val="000000"/>
          <w:sz w:val="22"/>
          <w:szCs w:val="22"/>
        </w:rPr>
        <w:t xml:space="preserve"> differenziert.</w:t>
      </w:r>
    </w:p>
    <w:p w14:paraId="478D0D54" w14:textId="77777777" w:rsidR="00C01674" w:rsidRDefault="00C01674" w:rsidP="00C01674">
      <w:pPr>
        <w:pStyle w:val="StandardWeb"/>
        <w:spacing w:before="280"/>
        <w:rPr>
          <w:color w:val="000000"/>
        </w:rPr>
      </w:pPr>
      <w:r>
        <w:rPr>
          <w:rFonts w:ascii="Arial" w:hAnsi="Arial" w:cs="Arial"/>
          <w:b/>
          <w:bCs/>
          <w:color w:val="000000"/>
          <w:sz w:val="22"/>
          <w:szCs w:val="22"/>
        </w:rPr>
        <w:t>(3) Qualität und Verständlichkeit (Skala 1–5)</w:t>
      </w:r>
    </w:p>
    <w:p w14:paraId="0945368C" w14:textId="77777777" w:rsidR="00C01674" w:rsidRDefault="00C01674" w:rsidP="00C01674">
      <w:pPr>
        <w:pStyle w:val="StandardWeb"/>
        <w:spacing w:before="240" w:after="240"/>
        <w:rPr>
          <w:color w:val="000000"/>
        </w:rPr>
      </w:pPr>
      <w:r>
        <w:rPr>
          <w:rFonts w:ascii="Arial" w:hAnsi="Arial" w:cs="Arial"/>
          <w:color w:val="000000"/>
          <w:sz w:val="22"/>
          <w:szCs w:val="22"/>
        </w:rPr>
        <w:t>Zur Bewertung der inhaltlichen Qualität wird eine fünfstufige Skala verwendet, die eine differenzierte Analyse jenseits binärer Kategorien ermöglicht.</w:t>
      </w:r>
    </w:p>
    <w:tbl>
      <w:tblPr>
        <w:tblW w:w="0" w:type="auto"/>
        <w:tblCellMar>
          <w:top w:w="15" w:type="dxa"/>
          <w:left w:w="15" w:type="dxa"/>
          <w:bottom w:w="15" w:type="dxa"/>
          <w:right w:w="15" w:type="dxa"/>
        </w:tblCellMar>
        <w:tblLook w:val="04A0" w:firstRow="1" w:lastRow="0" w:firstColumn="1" w:lastColumn="0" w:noHBand="0" w:noVBand="1"/>
      </w:tblPr>
      <w:tblGrid>
        <w:gridCol w:w="430"/>
        <w:gridCol w:w="3352"/>
      </w:tblGrid>
      <w:tr w:rsidR="00C01674" w14:paraId="2B4E4611" w14:textId="77777777">
        <w:trPr>
          <w:trHeight w:val="57"/>
          <w:tblHeader/>
        </w:trPr>
        <w:tc>
          <w:tcPr>
            <w:tcW w:w="0" w:type="auto"/>
            <w:tcBorders>
              <w:top w:val="single" w:sz="8" w:space="0" w:color="000000"/>
              <w:left w:val="single" w:sz="8" w:space="0" w:color="000000"/>
              <w:bottom w:val="single" w:sz="8" w:space="0" w:color="000000"/>
              <w:right w:val="single" w:sz="8" w:space="0" w:color="000000"/>
            </w:tcBorders>
            <w:vAlign w:val="bottom"/>
            <w:hideMark/>
          </w:tcPr>
          <w:p w14:paraId="3F4A42F8" w14:textId="77777777" w:rsidR="00C01674" w:rsidRDefault="00C01674">
            <w:pPr>
              <w:pStyle w:val="StandardWeb"/>
              <w:spacing w:before="240" w:after="240"/>
              <w:jc w:val="center"/>
              <w:rPr>
                <w:b/>
                <w:bCs/>
              </w:rPr>
            </w:pPr>
            <w:r>
              <w:rPr>
                <w:rFonts w:ascii="Arial" w:hAnsi="Arial" w:cs="Arial"/>
                <w:b/>
                <w:bCs/>
                <w:color w:val="000000"/>
                <w:sz w:val="18"/>
                <w:szCs w:val="18"/>
              </w:rPr>
              <w:t>Wert</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1EF80115" w14:textId="77777777" w:rsidR="00C01674" w:rsidRDefault="00C01674">
            <w:pPr>
              <w:pStyle w:val="StandardWeb"/>
              <w:spacing w:before="240" w:after="240"/>
              <w:jc w:val="center"/>
              <w:rPr>
                <w:b/>
                <w:bCs/>
              </w:rPr>
            </w:pPr>
            <w:r>
              <w:rPr>
                <w:rFonts w:ascii="Arial" w:hAnsi="Arial" w:cs="Arial"/>
                <w:b/>
                <w:bCs/>
                <w:color w:val="000000"/>
                <w:sz w:val="18"/>
                <w:szCs w:val="18"/>
              </w:rPr>
              <w:t>Bedeutung</w:t>
            </w:r>
          </w:p>
        </w:tc>
      </w:tr>
      <w:tr w:rsidR="00C01674" w14:paraId="63B91D51" w14:textId="77777777">
        <w:trPr>
          <w:trHeight w:val="57"/>
        </w:trPr>
        <w:tc>
          <w:tcPr>
            <w:tcW w:w="0" w:type="auto"/>
            <w:tcBorders>
              <w:top w:val="single" w:sz="8" w:space="0" w:color="000000"/>
              <w:left w:val="single" w:sz="8" w:space="0" w:color="000000"/>
              <w:bottom w:val="single" w:sz="8" w:space="0" w:color="000000"/>
              <w:right w:val="single" w:sz="8" w:space="0" w:color="000000"/>
            </w:tcBorders>
            <w:vAlign w:val="bottom"/>
            <w:hideMark/>
          </w:tcPr>
          <w:p w14:paraId="74E2BFEE" w14:textId="77777777" w:rsidR="00C01674" w:rsidRDefault="00C01674">
            <w:pPr>
              <w:pStyle w:val="StandardWeb"/>
              <w:spacing w:before="240" w:after="240"/>
              <w:jc w:val="center"/>
            </w:pPr>
            <w:r>
              <w:rPr>
                <w:rFonts w:ascii="Arial" w:hAnsi="Arial" w:cs="Arial"/>
                <w:color w:val="000000"/>
                <w:sz w:val="18"/>
                <w:szCs w:val="18"/>
              </w:rPr>
              <w:t>1</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39EA11C9" w14:textId="77777777" w:rsidR="00C01674" w:rsidRDefault="00C01674">
            <w:pPr>
              <w:pStyle w:val="StandardWeb"/>
              <w:spacing w:before="240" w:after="240"/>
              <w:jc w:val="center"/>
            </w:pPr>
            <w:r>
              <w:rPr>
                <w:rFonts w:ascii="Arial" w:hAnsi="Arial" w:cs="Arial"/>
                <w:color w:val="000000"/>
                <w:sz w:val="18"/>
                <w:szCs w:val="18"/>
              </w:rPr>
              <w:t>sehr schwer verständlich</w:t>
            </w:r>
          </w:p>
        </w:tc>
      </w:tr>
      <w:tr w:rsidR="00C01674" w14:paraId="7AB721C7" w14:textId="77777777">
        <w:trPr>
          <w:trHeight w:val="57"/>
        </w:trPr>
        <w:tc>
          <w:tcPr>
            <w:tcW w:w="0" w:type="auto"/>
            <w:tcBorders>
              <w:top w:val="single" w:sz="8" w:space="0" w:color="000000"/>
              <w:left w:val="single" w:sz="8" w:space="0" w:color="000000"/>
              <w:bottom w:val="single" w:sz="8" w:space="0" w:color="000000"/>
              <w:right w:val="single" w:sz="8" w:space="0" w:color="000000"/>
            </w:tcBorders>
            <w:vAlign w:val="bottom"/>
            <w:hideMark/>
          </w:tcPr>
          <w:p w14:paraId="4FA68956" w14:textId="77777777" w:rsidR="00C01674" w:rsidRDefault="00C01674">
            <w:pPr>
              <w:pStyle w:val="StandardWeb"/>
              <w:spacing w:before="240" w:after="240"/>
              <w:jc w:val="center"/>
            </w:pPr>
            <w:r>
              <w:rPr>
                <w:rFonts w:ascii="Arial" w:hAnsi="Arial" w:cs="Arial"/>
                <w:color w:val="000000"/>
                <w:sz w:val="18"/>
                <w:szCs w:val="18"/>
              </w:rPr>
              <w:t>2</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42EF8B13" w14:textId="77777777" w:rsidR="00C01674" w:rsidRDefault="00C01674">
            <w:pPr>
              <w:pStyle w:val="StandardWeb"/>
              <w:spacing w:before="240" w:after="240"/>
              <w:jc w:val="center"/>
            </w:pPr>
            <w:r>
              <w:rPr>
                <w:rFonts w:ascii="Arial" w:hAnsi="Arial" w:cs="Arial"/>
                <w:color w:val="000000"/>
                <w:sz w:val="18"/>
                <w:szCs w:val="18"/>
              </w:rPr>
              <w:t>schwer verständlich</w:t>
            </w:r>
          </w:p>
        </w:tc>
      </w:tr>
      <w:tr w:rsidR="00C01674" w14:paraId="03BBC8FF" w14:textId="77777777">
        <w:trPr>
          <w:trHeight w:val="57"/>
        </w:trPr>
        <w:tc>
          <w:tcPr>
            <w:tcW w:w="0" w:type="auto"/>
            <w:tcBorders>
              <w:top w:val="single" w:sz="8" w:space="0" w:color="000000"/>
              <w:left w:val="single" w:sz="8" w:space="0" w:color="000000"/>
              <w:bottom w:val="single" w:sz="8" w:space="0" w:color="000000"/>
              <w:right w:val="single" w:sz="8" w:space="0" w:color="000000"/>
            </w:tcBorders>
            <w:vAlign w:val="bottom"/>
            <w:hideMark/>
          </w:tcPr>
          <w:p w14:paraId="5E97D33D" w14:textId="77777777" w:rsidR="00C01674" w:rsidRDefault="00C01674">
            <w:pPr>
              <w:pStyle w:val="StandardWeb"/>
              <w:spacing w:before="240" w:after="240"/>
              <w:jc w:val="center"/>
            </w:pPr>
            <w:r>
              <w:rPr>
                <w:rFonts w:ascii="Arial" w:hAnsi="Arial" w:cs="Arial"/>
                <w:color w:val="000000"/>
                <w:sz w:val="18"/>
                <w:szCs w:val="18"/>
              </w:rPr>
              <w:t>3</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018FC66C" w14:textId="77777777" w:rsidR="00C01674" w:rsidRDefault="00C01674">
            <w:pPr>
              <w:pStyle w:val="StandardWeb"/>
              <w:spacing w:before="240" w:after="240"/>
              <w:jc w:val="center"/>
            </w:pPr>
            <w:r>
              <w:rPr>
                <w:rFonts w:ascii="Arial" w:hAnsi="Arial" w:cs="Arial"/>
                <w:color w:val="000000"/>
                <w:sz w:val="18"/>
                <w:szCs w:val="18"/>
              </w:rPr>
              <w:t>mittelmäßig verständlich</w:t>
            </w:r>
          </w:p>
        </w:tc>
      </w:tr>
      <w:tr w:rsidR="00C01674" w14:paraId="5FED7674" w14:textId="77777777">
        <w:trPr>
          <w:trHeight w:val="57"/>
        </w:trPr>
        <w:tc>
          <w:tcPr>
            <w:tcW w:w="0" w:type="auto"/>
            <w:tcBorders>
              <w:top w:val="single" w:sz="8" w:space="0" w:color="000000"/>
              <w:left w:val="single" w:sz="8" w:space="0" w:color="000000"/>
              <w:bottom w:val="single" w:sz="8" w:space="0" w:color="000000"/>
              <w:right w:val="single" w:sz="8" w:space="0" w:color="000000"/>
            </w:tcBorders>
            <w:vAlign w:val="bottom"/>
            <w:hideMark/>
          </w:tcPr>
          <w:p w14:paraId="561A951C" w14:textId="77777777" w:rsidR="00C01674" w:rsidRDefault="00C01674">
            <w:pPr>
              <w:pStyle w:val="StandardWeb"/>
              <w:spacing w:before="240" w:after="240"/>
              <w:jc w:val="center"/>
            </w:pPr>
            <w:r>
              <w:rPr>
                <w:rFonts w:ascii="Arial" w:hAnsi="Arial" w:cs="Arial"/>
                <w:color w:val="000000"/>
                <w:sz w:val="18"/>
                <w:szCs w:val="18"/>
              </w:rPr>
              <w:t>4</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54D73A89" w14:textId="77777777" w:rsidR="00C01674" w:rsidRDefault="00C01674">
            <w:pPr>
              <w:pStyle w:val="StandardWeb"/>
              <w:spacing w:before="240" w:after="240"/>
              <w:jc w:val="center"/>
            </w:pPr>
            <w:r>
              <w:rPr>
                <w:rFonts w:ascii="Arial" w:hAnsi="Arial" w:cs="Arial"/>
                <w:color w:val="000000"/>
                <w:sz w:val="18"/>
                <w:szCs w:val="18"/>
              </w:rPr>
              <w:t>klar verständlich</w:t>
            </w:r>
          </w:p>
        </w:tc>
      </w:tr>
      <w:tr w:rsidR="00C01674" w14:paraId="4F0A455A" w14:textId="77777777">
        <w:trPr>
          <w:trHeight w:val="57"/>
        </w:trPr>
        <w:tc>
          <w:tcPr>
            <w:tcW w:w="0" w:type="auto"/>
            <w:tcBorders>
              <w:top w:val="single" w:sz="8" w:space="0" w:color="000000"/>
              <w:left w:val="single" w:sz="8" w:space="0" w:color="000000"/>
              <w:bottom w:val="single" w:sz="8" w:space="0" w:color="000000"/>
              <w:right w:val="single" w:sz="8" w:space="0" w:color="000000"/>
            </w:tcBorders>
            <w:vAlign w:val="bottom"/>
            <w:hideMark/>
          </w:tcPr>
          <w:p w14:paraId="33E6346E" w14:textId="77777777" w:rsidR="00C01674" w:rsidRDefault="00C01674">
            <w:pPr>
              <w:pStyle w:val="StandardWeb"/>
              <w:spacing w:before="240" w:after="240"/>
              <w:jc w:val="center"/>
            </w:pPr>
            <w:r>
              <w:rPr>
                <w:rFonts w:ascii="Arial" w:hAnsi="Arial" w:cs="Arial"/>
                <w:color w:val="000000"/>
                <w:sz w:val="18"/>
                <w:szCs w:val="18"/>
              </w:rPr>
              <w:t>5</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21763635" w14:textId="77777777" w:rsidR="00C01674" w:rsidRDefault="00C01674">
            <w:pPr>
              <w:pStyle w:val="StandardWeb"/>
              <w:spacing w:before="240" w:after="240"/>
              <w:jc w:val="center"/>
            </w:pPr>
            <w:r>
              <w:rPr>
                <w:rFonts w:ascii="Arial" w:hAnsi="Arial" w:cs="Arial"/>
                <w:color w:val="000000"/>
                <w:sz w:val="18"/>
                <w:szCs w:val="18"/>
              </w:rPr>
              <w:t>sehr klar, strukturiert und nutzerfreundlich</w:t>
            </w:r>
          </w:p>
        </w:tc>
      </w:tr>
    </w:tbl>
    <w:p w14:paraId="58136D14" w14:textId="77777777" w:rsidR="00C01674" w:rsidRDefault="00C01674" w:rsidP="00C01674">
      <w:pPr>
        <w:pStyle w:val="StandardWeb"/>
        <w:spacing w:before="240" w:after="240"/>
        <w:rPr>
          <w:color w:val="000000"/>
        </w:rPr>
      </w:pPr>
      <w:r>
        <w:rPr>
          <w:rFonts w:ascii="Arial" w:hAnsi="Arial" w:cs="Arial"/>
          <w:color w:val="000000"/>
          <w:sz w:val="22"/>
          <w:szCs w:val="22"/>
        </w:rPr>
        <w:t>Bewertet werden u. a.:</w:t>
      </w:r>
    </w:p>
    <w:p w14:paraId="7C4C7ADE" w14:textId="77777777" w:rsidR="00C01674" w:rsidRDefault="00C01674" w:rsidP="00C01674">
      <w:pPr>
        <w:pStyle w:val="StandardWeb"/>
        <w:numPr>
          <w:ilvl w:val="0"/>
          <w:numId w:val="23"/>
        </w:numPr>
        <w:spacing w:before="240"/>
        <w:textAlignment w:val="baseline"/>
        <w:rPr>
          <w:rFonts w:ascii="Arial" w:hAnsi="Arial" w:cs="Arial"/>
          <w:color w:val="000000"/>
          <w:sz w:val="22"/>
          <w:szCs w:val="22"/>
        </w:rPr>
      </w:pPr>
      <w:r>
        <w:rPr>
          <w:rFonts w:ascii="Arial" w:hAnsi="Arial" w:cs="Arial"/>
          <w:color w:val="000000"/>
          <w:sz w:val="22"/>
          <w:szCs w:val="22"/>
        </w:rPr>
        <w:t>sprachliche Klarheit</w:t>
      </w:r>
    </w:p>
    <w:p w14:paraId="1D12985A" w14:textId="77777777" w:rsidR="00C01674" w:rsidRDefault="00C01674" w:rsidP="00C01674">
      <w:pPr>
        <w:pStyle w:val="StandardWeb"/>
        <w:numPr>
          <w:ilvl w:val="0"/>
          <w:numId w:val="23"/>
        </w:numPr>
        <w:textAlignment w:val="baseline"/>
        <w:rPr>
          <w:rFonts w:ascii="Arial" w:hAnsi="Arial" w:cs="Arial"/>
          <w:color w:val="000000"/>
          <w:sz w:val="22"/>
          <w:szCs w:val="22"/>
        </w:rPr>
      </w:pPr>
      <w:r>
        <w:rPr>
          <w:rFonts w:ascii="Arial" w:hAnsi="Arial" w:cs="Arial"/>
          <w:color w:val="000000"/>
          <w:sz w:val="22"/>
          <w:szCs w:val="22"/>
        </w:rPr>
        <w:t>Struktur und Aufbereitung</w:t>
      </w:r>
    </w:p>
    <w:p w14:paraId="6D6B785A" w14:textId="77777777" w:rsidR="00C01674" w:rsidRDefault="00C01674" w:rsidP="00C01674">
      <w:pPr>
        <w:pStyle w:val="StandardWeb"/>
        <w:numPr>
          <w:ilvl w:val="0"/>
          <w:numId w:val="23"/>
        </w:numPr>
        <w:spacing w:after="240"/>
        <w:textAlignment w:val="baseline"/>
        <w:rPr>
          <w:rFonts w:ascii="Arial" w:hAnsi="Arial" w:cs="Arial"/>
          <w:color w:val="000000"/>
          <w:sz w:val="22"/>
          <w:szCs w:val="22"/>
        </w:rPr>
      </w:pPr>
      <w:r>
        <w:rPr>
          <w:rFonts w:ascii="Arial" w:hAnsi="Arial" w:cs="Arial"/>
          <w:color w:val="000000"/>
          <w:sz w:val="22"/>
          <w:szCs w:val="22"/>
        </w:rPr>
        <w:t>praktische Interpretierbarkeit für Nutzer</w:t>
      </w:r>
    </w:p>
    <w:p w14:paraId="4EF515B9" w14:textId="77777777" w:rsidR="00C01674" w:rsidRDefault="00C01674" w:rsidP="00C01674">
      <w:pPr>
        <w:pStyle w:val="StandardWeb"/>
        <w:spacing w:before="280"/>
        <w:rPr>
          <w:color w:val="000000"/>
        </w:rPr>
      </w:pPr>
      <w:r>
        <w:rPr>
          <w:rFonts w:ascii="Arial" w:hAnsi="Arial" w:cs="Arial"/>
          <w:b/>
          <w:bCs/>
          <w:color w:val="000000"/>
          <w:sz w:val="22"/>
          <w:szCs w:val="22"/>
        </w:rPr>
        <w:t>(4) Auffindbarkeit und Usability (Skala 1–5)</w:t>
      </w:r>
    </w:p>
    <w:p w14:paraId="2B4F2BCE" w14:textId="77777777" w:rsidR="00C01674" w:rsidRDefault="00C01674" w:rsidP="00C01674">
      <w:pPr>
        <w:pStyle w:val="StandardWeb"/>
        <w:spacing w:before="240" w:after="240"/>
        <w:rPr>
          <w:color w:val="000000"/>
        </w:rPr>
      </w:pPr>
      <w:r>
        <w:rPr>
          <w:rFonts w:ascii="Arial" w:hAnsi="Arial" w:cs="Arial"/>
          <w:color w:val="000000"/>
          <w:sz w:val="22"/>
          <w:szCs w:val="22"/>
        </w:rPr>
        <w:t>Diese Dimension erfasst, wie leicht Nutzer die relevanten Informationen tatsächlich finden und nutzen können.</w:t>
      </w:r>
    </w:p>
    <w:tbl>
      <w:tblPr>
        <w:tblW w:w="9026" w:type="dxa"/>
        <w:tblCellMar>
          <w:top w:w="15" w:type="dxa"/>
          <w:left w:w="15" w:type="dxa"/>
          <w:bottom w:w="15" w:type="dxa"/>
          <w:right w:w="15" w:type="dxa"/>
        </w:tblCellMar>
        <w:tblLook w:val="04A0" w:firstRow="1" w:lastRow="0" w:firstColumn="1" w:lastColumn="0" w:noHBand="0" w:noVBand="1"/>
      </w:tblPr>
      <w:tblGrid>
        <w:gridCol w:w="1264"/>
        <w:gridCol w:w="7762"/>
      </w:tblGrid>
      <w:tr w:rsidR="00C01674" w14:paraId="1A7C2988" w14:textId="77777777">
        <w:trPr>
          <w:trHeight w:val="57"/>
          <w:tblHeader/>
        </w:trPr>
        <w:tc>
          <w:tcPr>
            <w:tcW w:w="0" w:type="auto"/>
            <w:tcBorders>
              <w:top w:val="single" w:sz="8" w:space="0" w:color="000000"/>
              <w:left w:val="single" w:sz="8" w:space="0" w:color="000000"/>
              <w:bottom w:val="single" w:sz="8" w:space="0" w:color="000000"/>
              <w:right w:val="single" w:sz="8" w:space="0" w:color="000000"/>
            </w:tcBorders>
            <w:hideMark/>
          </w:tcPr>
          <w:p w14:paraId="17505043" w14:textId="77777777" w:rsidR="00C01674" w:rsidRDefault="00C01674">
            <w:pPr>
              <w:pStyle w:val="StandardWeb"/>
              <w:spacing w:before="240" w:after="240"/>
              <w:jc w:val="center"/>
              <w:rPr>
                <w:b/>
                <w:bCs/>
              </w:rPr>
            </w:pPr>
            <w:r>
              <w:rPr>
                <w:rFonts w:ascii="Arial" w:hAnsi="Arial" w:cs="Arial"/>
                <w:b/>
                <w:bCs/>
                <w:color w:val="000000"/>
                <w:sz w:val="22"/>
                <w:szCs w:val="22"/>
              </w:rPr>
              <w:lastRenderedPageBreak/>
              <w:t>Wert</w:t>
            </w:r>
          </w:p>
        </w:tc>
        <w:tc>
          <w:tcPr>
            <w:tcW w:w="0" w:type="auto"/>
            <w:tcBorders>
              <w:top w:val="single" w:sz="8" w:space="0" w:color="000000"/>
              <w:left w:val="single" w:sz="8" w:space="0" w:color="000000"/>
              <w:bottom w:val="single" w:sz="8" w:space="0" w:color="000000"/>
              <w:right w:val="single" w:sz="8" w:space="0" w:color="000000"/>
            </w:tcBorders>
            <w:hideMark/>
          </w:tcPr>
          <w:p w14:paraId="7F23C652" w14:textId="77777777" w:rsidR="00C01674" w:rsidRDefault="00C01674">
            <w:pPr>
              <w:pStyle w:val="StandardWeb"/>
              <w:spacing w:before="240" w:after="240"/>
              <w:jc w:val="center"/>
              <w:rPr>
                <w:b/>
                <w:bCs/>
              </w:rPr>
            </w:pPr>
            <w:r>
              <w:rPr>
                <w:rFonts w:ascii="Arial" w:hAnsi="Arial" w:cs="Arial"/>
                <w:b/>
                <w:bCs/>
                <w:color w:val="000000"/>
                <w:sz w:val="22"/>
                <w:szCs w:val="22"/>
              </w:rPr>
              <w:t>Bedeutung</w:t>
            </w:r>
          </w:p>
        </w:tc>
      </w:tr>
      <w:tr w:rsidR="00C01674" w14:paraId="782A4C6D" w14:textId="77777777">
        <w:trPr>
          <w:trHeight w:val="57"/>
        </w:trPr>
        <w:tc>
          <w:tcPr>
            <w:tcW w:w="0" w:type="auto"/>
            <w:tcBorders>
              <w:top w:val="single" w:sz="8" w:space="0" w:color="000000"/>
              <w:left w:val="single" w:sz="8" w:space="0" w:color="000000"/>
              <w:bottom w:val="single" w:sz="8" w:space="0" w:color="000000"/>
              <w:right w:val="single" w:sz="8" w:space="0" w:color="000000"/>
            </w:tcBorders>
            <w:vAlign w:val="bottom"/>
            <w:hideMark/>
          </w:tcPr>
          <w:p w14:paraId="285215E8" w14:textId="77777777" w:rsidR="00C01674" w:rsidRDefault="00C01674">
            <w:pPr>
              <w:pStyle w:val="StandardWeb"/>
              <w:spacing w:before="240" w:after="240"/>
              <w:jc w:val="center"/>
            </w:pPr>
            <w:r>
              <w:rPr>
                <w:rFonts w:ascii="Arial" w:hAnsi="Arial" w:cs="Arial"/>
                <w:color w:val="000000"/>
                <w:sz w:val="22"/>
                <w:szCs w:val="22"/>
              </w:rPr>
              <w:t>1</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701F3467" w14:textId="77777777" w:rsidR="00C01674" w:rsidRDefault="00C01674">
            <w:pPr>
              <w:pStyle w:val="StandardWeb"/>
              <w:spacing w:before="240" w:after="240"/>
              <w:jc w:val="center"/>
            </w:pPr>
            <w:r>
              <w:rPr>
                <w:rFonts w:ascii="Arial" w:hAnsi="Arial" w:cs="Arial"/>
                <w:color w:val="000000"/>
                <w:sz w:val="22"/>
                <w:szCs w:val="22"/>
              </w:rPr>
              <w:t>sehr schwer auffindbar</w:t>
            </w:r>
          </w:p>
        </w:tc>
      </w:tr>
      <w:tr w:rsidR="00C01674" w14:paraId="520D4C00" w14:textId="77777777">
        <w:trPr>
          <w:trHeight w:val="57"/>
        </w:trPr>
        <w:tc>
          <w:tcPr>
            <w:tcW w:w="0" w:type="auto"/>
            <w:tcBorders>
              <w:top w:val="single" w:sz="8" w:space="0" w:color="000000"/>
              <w:left w:val="single" w:sz="8" w:space="0" w:color="000000"/>
              <w:bottom w:val="single" w:sz="8" w:space="0" w:color="000000"/>
              <w:right w:val="single" w:sz="8" w:space="0" w:color="000000"/>
            </w:tcBorders>
            <w:vAlign w:val="bottom"/>
            <w:hideMark/>
          </w:tcPr>
          <w:p w14:paraId="09C2D8ED" w14:textId="77777777" w:rsidR="00C01674" w:rsidRDefault="00C01674">
            <w:pPr>
              <w:pStyle w:val="StandardWeb"/>
              <w:spacing w:before="240" w:after="240"/>
              <w:jc w:val="center"/>
            </w:pPr>
            <w:r>
              <w:rPr>
                <w:rFonts w:ascii="Arial" w:hAnsi="Arial" w:cs="Arial"/>
                <w:color w:val="000000"/>
                <w:sz w:val="22"/>
                <w:szCs w:val="22"/>
              </w:rPr>
              <w:t>2</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1308C229" w14:textId="77777777" w:rsidR="00C01674" w:rsidRDefault="00C01674">
            <w:pPr>
              <w:pStyle w:val="StandardWeb"/>
              <w:spacing w:before="240" w:after="240"/>
              <w:jc w:val="center"/>
            </w:pPr>
            <w:r>
              <w:rPr>
                <w:rFonts w:ascii="Arial" w:hAnsi="Arial" w:cs="Arial"/>
                <w:color w:val="000000"/>
                <w:sz w:val="22"/>
                <w:szCs w:val="22"/>
              </w:rPr>
              <w:t>schwer auffindbar</w:t>
            </w:r>
          </w:p>
        </w:tc>
      </w:tr>
      <w:tr w:rsidR="00C01674" w14:paraId="18C06E39" w14:textId="77777777">
        <w:trPr>
          <w:trHeight w:val="57"/>
        </w:trPr>
        <w:tc>
          <w:tcPr>
            <w:tcW w:w="0" w:type="auto"/>
            <w:tcBorders>
              <w:top w:val="single" w:sz="8" w:space="0" w:color="000000"/>
              <w:left w:val="single" w:sz="8" w:space="0" w:color="000000"/>
              <w:bottom w:val="single" w:sz="8" w:space="0" w:color="000000"/>
              <w:right w:val="single" w:sz="8" w:space="0" w:color="000000"/>
            </w:tcBorders>
            <w:vAlign w:val="bottom"/>
            <w:hideMark/>
          </w:tcPr>
          <w:p w14:paraId="6329832D" w14:textId="77777777" w:rsidR="00C01674" w:rsidRDefault="00C01674">
            <w:pPr>
              <w:pStyle w:val="StandardWeb"/>
              <w:spacing w:before="240" w:after="240"/>
              <w:jc w:val="center"/>
            </w:pPr>
            <w:r>
              <w:rPr>
                <w:rFonts w:ascii="Arial" w:hAnsi="Arial" w:cs="Arial"/>
                <w:color w:val="000000"/>
                <w:sz w:val="22"/>
                <w:szCs w:val="22"/>
              </w:rPr>
              <w:t>3</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4A9A33C2" w14:textId="77777777" w:rsidR="00C01674" w:rsidRDefault="00C01674">
            <w:pPr>
              <w:pStyle w:val="StandardWeb"/>
              <w:spacing w:before="240" w:after="240"/>
              <w:jc w:val="center"/>
            </w:pPr>
            <w:r>
              <w:rPr>
                <w:rFonts w:ascii="Arial" w:hAnsi="Arial" w:cs="Arial"/>
                <w:color w:val="000000"/>
                <w:sz w:val="22"/>
                <w:szCs w:val="22"/>
              </w:rPr>
              <w:t>mittel</w:t>
            </w:r>
          </w:p>
        </w:tc>
      </w:tr>
      <w:tr w:rsidR="00C01674" w14:paraId="23847665" w14:textId="77777777">
        <w:trPr>
          <w:trHeight w:val="57"/>
        </w:trPr>
        <w:tc>
          <w:tcPr>
            <w:tcW w:w="0" w:type="auto"/>
            <w:tcBorders>
              <w:top w:val="single" w:sz="8" w:space="0" w:color="000000"/>
              <w:left w:val="single" w:sz="8" w:space="0" w:color="000000"/>
              <w:bottom w:val="single" w:sz="8" w:space="0" w:color="000000"/>
              <w:right w:val="single" w:sz="8" w:space="0" w:color="000000"/>
            </w:tcBorders>
            <w:vAlign w:val="bottom"/>
            <w:hideMark/>
          </w:tcPr>
          <w:p w14:paraId="295144E5" w14:textId="77777777" w:rsidR="00C01674" w:rsidRDefault="00C01674">
            <w:pPr>
              <w:pStyle w:val="StandardWeb"/>
              <w:spacing w:before="240" w:after="240"/>
              <w:jc w:val="center"/>
            </w:pPr>
            <w:r>
              <w:rPr>
                <w:rFonts w:ascii="Arial" w:hAnsi="Arial" w:cs="Arial"/>
                <w:color w:val="000000"/>
                <w:sz w:val="22"/>
                <w:szCs w:val="22"/>
              </w:rPr>
              <w:t>4</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2DCCC3E8" w14:textId="77777777" w:rsidR="00C01674" w:rsidRDefault="00C01674">
            <w:pPr>
              <w:pStyle w:val="StandardWeb"/>
              <w:spacing w:before="240" w:after="240"/>
              <w:jc w:val="center"/>
            </w:pPr>
            <w:r>
              <w:rPr>
                <w:rFonts w:ascii="Arial" w:hAnsi="Arial" w:cs="Arial"/>
                <w:color w:val="000000"/>
                <w:sz w:val="22"/>
                <w:szCs w:val="22"/>
              </w:rPr>
              <w:t>leicht auffindbar</w:t>
            </w:r>
          </w:p>
        </w:tc>
      </w:tr>
      <w:tr w:rsidR="00C01674" w14:paraId="37E210A7" w14:textId="77777777">
        <w:trPr>
          <w:trHeight w:val="57"/>
        </w:trPr>
        <w:tc>
          <w:tcPr>
            <w:tcW w:w="0" w:type="auto"/>
            <w:tcBorders>
              <w:top w:val="single" w:sz="8" w:space="0" w:color="000000"/>
              <w:left w:val="single" w:sz="8" w:space="0" w:color="000000"/>
              <w:bottom w:val="single" w:sz="8" w:space="0" w:color="000000"/>
              <w:right w:val="single" w:sz="8" w:space="0" w:color="000000"/>
            </w:tcBorders>
            <w:vAlign w:val="bottom"/>
            <w:hideMark/>
          </w:tcPr>
          <w:p w14:paraId="2BBED5BD" w14:textId="77777777" w:rsidR="00C01674" w:rsidRDefault="00C01674">
            <w:pPr>
              <w:pStyle w:val="StandardWeb"/>
              <w:spacing w:before="240" w:after="240"/>
              <w:jc w:val="center"/>
            </w:pPr>
            <w:r>
              <w:rPr>
                <w:rFonts w:ascii="Arial" w:hAnsi="Arial" w:cs="Arial"/>
                <w:color w:val="000000"/>
                <w:sz w:val="22"/>
                <w:szCs w:val="22"/>
              </w:rPr>
              <w:t>5</w:t>
            </w:r>
          </w:p>
        </w:tc>
        <w:tc>
          <w:tcPr>
            <w:tcW w:w="0" w:type="auto"/>
            <w:tcBorders>
              <w:top w:val="single" w:sz="8" w:space="0" w:color="000000"/>
              <w:left w:val="single" w:sz="8" w:space="0" w:color="000000"/>
              <w:bottom w:val="single" w:sz="8" w:space="0" w:color="000000"/>
              <w:right w:val="single" w:sz="8" w:space="0" w:color="000000"/>
            </w:tcBorders>
            <w:vAlign w:val="bottom"/>
            <w:hideMark/>
          </w:tcPr>
          <w:p w14:paraId="531A6D5B" w14:textId="77777777" w:rsidR="00C01674" w:rsidRDefault="00C01674">
            <w:pPr>
              <w:pStyle w:val="StandardWeb"/>
              <w:spacing w:before="240" w:after="240"/>
              <w:jc w:val="center"/>
            </w:pPr>
            <w:r>
              <w:rPr>
                <w:rFonts w:ascii="Arial" w:hAnsi="Arial" w:cs="Arial"/>
                <w:color w:val="000000"/>
                <w:sz w:val="22"/>
                <w:szCs w:val="22"/>
              </w:rPr>
              <w:t>sehr leicht und intuitiv auffindbar</w:t>
            </w:r>
          </w:p>
        </w:tc>
      </w:tr>
    </w:tbl>
    <w:p w14:paraId="76A5B347" w14:textId="77777777" w:rsidR="00C01674" w:rsidRDefault="00C01674" w:rsidP="00C01674">
      <w:pPr>
        <w:pStyle w:val="StandardWeb"/>
        <w:spacing w:before="240" w:after="240"/>
        <w:rPr>
          <w:color w:val="000000"/>
        </w:rPr>
      </w:pPr>
      <w:r>
        <w:rPr>
          <w:rFonts w:ascii="Arial" w:hAnsi="Arial" w:cs="Arial"/>
          <w:color w:val="000000"/>
          <w:sz w:val="22"/>
          <w:szCs w:val="22"/>
        </w:rPr>
        <w:t>Bewertungskriterien:</w:t>
      </w:r>
    </w:p>
    <w:p w14:paraId="4DDB981D" w14:textId="77777777" w:rsidR="00C01674" w:rsidRDefault="00C01674" w:rsidP="00C01674">
      <w:pPr>
        <w:pStyle w:val="StandardWeb"/>
        <w:numPr>
          <w:ilvl w:val="0"/>
          <w:numId w:val="24"/>
        </w:numPr>
        <w:spacing w:before="240"/>
        <w:textAlignment w:val="baseline"/>
        <w:rPr>
          <w:rFonts w:ascii="Arial" w:hAnsi="Arial" w:cs="Arial"/>
          <w:color w:val="000000"/>
          <w:sz w:val="22"/>
          <w:szCs w:val="22"/>
        </w:rPr>
      </w:pPr>
      <w:r>
        <w:rPr>
          <w:rFonts w:ascii="Arial" w:hAnsi="Arial" w:cs="Arial"/>
          <w:color w:val="000000"/>
          <w:sz w:val="22"/>
          <w:szCs w:val="22"/>
        </w:rPr>
        <w:t>Navigationsaufwand (z. B. Klicktiefe)</w:t>
      </w:r>
    </w:p>
    <w:p w14:paraId="7C676AF8" w14:textId="77777777" w:rsidR="00C01674" w:rsidRDefault="00C01674" w:rsidP="00C01674">
      <w:pPr>
        <w:pStyle w:val="StandardWeb"/>
        <w:numPr>
          <w:ilvl w:val="0"/>
          <w:numId w:val="24"/>
        </w:numPr>
        <w:textAlignment w:val="baseline"/>
        <w:rPr>
          <w:rFonts w:ascii="Arial" w:hAnsi="Arial" w:cs="Arial"/>
          <w:color w:val="000000"/>
          <w:sz w:val="22"/>
          <w:szCs w:val="22"/>
        </w:rPr>
      </w:pPr>
      <w:r>
        <w:rPr>
          <w:rFonts w:ascii="Arial" w:hAnsi="Arial" w:cs="Arial"/>
          <w:color w:val="000000"/>
          <w:sz w:val="22"/>
          <w:szCs w:val="22"/>
        </w:rPr>
        <w:t>Platzierung (z. B. Produktseite vs. Unterdokument)</w:t>
      </w:r>
    </w:p>
    <w:p w14:paraId="267FB584" w14:textId="77777777" w:rsidR="00C01674" w:rsidRDefault="00C01674" w:rsidP="00C01674">
      <w:pPr>
        <w:pStyle w:val="StandardWeb"/>
        <w:numPr>
          <w:ilvl w:val="0"/>
          <w:numId w:val="24"/>
        </w:numPr>
        <w:spacing w:after="240"/>
        <w:textAlignment w:val="baseline"/>
        <w:rPr>
          <w:rFonts w:ascii="Arial" w:hAnsi="Arial" w:cs="Arial"/>
          <w:color w:val="000000"/>
          <w:sz w:val="22"/>
          <w:szCs w:val="22"/>
        </w:rPr>
      </w:pPr>
      <w:r>
        <w:rPr>
          <w:rFonts w:ascii="Arial" w:hAnsi="Arial" w:cs="Arial"/>
          <w:color w:val="000000"/>
          <w:sz w:val="22"/>
          <w:szCs w:val="22"/>
        </w:rPr>
        <w:t>Integration in Nutzeroberflächen</w:t>
      </w:r>
    </w:p>
    <w:p w14:paraId="0C634161" w14:textId="77777777" w:rsidR="00C01674" w:rsidRDefault="00C01674" w:rsidP="00C01674">
      <w:pPr>
        <w:pStyle w:val="StandardWeb"/>
        <w:spacing w:before="280"/>
        <w:rPr>
          <w:color w:val="000000"/>
        </w:rPr>
      </w:pPr>
      <w:r>
        <w:rPr>
          <w:rFonts w:ascii="Arial" w:hAnsi="Arial" w:cs="Arial"/>
          <w:b/>
          <w:bCs/>
          <w:color w:val="000000"/>
          <w:sz w:val="22"/>
          <w:szCs w:val="22"/>
        </w:rPr>
        <w:t>Gesamtlogik</w:t>
      </w:r>
    </w:p>
    <w:p w14:paraId="56CFD119" w14:textId="77777777" w:rsidR="00C01674" w:rsidRDefault="00C01674" w:rsidP="00C01674">
      <w:pPr>
        <w:pStyle w:val="StandardWeb"/>
        <w:spacing w:before="240" w:after="240"/>
        <w:rPr>
          <w:color w:val="000000"/>
        </w:rPr>
      </w:pPr>
      <w:r>
        <w:rPr>
          <w:rFonts w:ascii="Arial" w:hAnsi="Arial" w:cs="Arial"/>
          <w:color w:val="000000"/>
          <w:sz w:val="22"/>
          <w:szCs w:val="22"/>
        </w:rPr>
        <w:t>Das Raster kombiniert damit vier Ebenen:</w:t>
      </w:r>
    </w:p>
    <w:p w14:paraId="7D958205" w14:textId="77777777" w:rsidR="00C01674" w:rsidRDefault="00C01674" w:rsidP="00C01674">
      <w:pPr>
        <w:pStyle w:val="StandardWeb"/>
        <w:numPr>
          <w:ilvl w:val="0"/>
          <w:numId w:val="25"/>
        </w:numPr>
        <w:spacing w:before="240"/>
        <w:textAlignment w:val="baseline"/>
        <w:rPr>
          <w:rFonts w:ascii="Arial" w:hAnsi="Arial" w:cs="Arial"/>
          <w:color w:val="000000"/>
          <w:sz w:val="22"/>
          <w:szCs w:val="22"/>
        </w:rPr>
      </w:pPr>
      <w:r>
        <w:rPr>
          <w:rFonts w:ascii="Arial" w:hAnsi="Arial" w:cs="Arial"/>
          <w:color w:val="000000"/>
          <w:sz w:val="22"/>
          <w:szCs w:val="22"/>
        </w:rPr>
        <w:t>formale Compliance (Existenz)</w:t>
      </w:r>
    </w:p>
    <w:p w14:paraId="6BAA0721" w14:textId="77777777" w:rsidR="00C01674" w:rsidRDefault="00C01674" w:rsidP="00C01674">
      <w:pPr>
        <w:pStyle w:val="StandardWeb"/>
        <w:numPr>
          <w:ilvl w:val="0"/>
          <w:numId w:val="25"/>
        </w:numPr>
        <w:textAlignment w:val="baseline"/>
        <w:rPr>
          <w:rFonts w:ascii="Arial" w:hAnsi="Arial" w:cs="Arial"/>
          <w:color w:val="000000"/>
          <w:sz w:val="22"/>
          <w:szCs w:val="22"/>
        </w:rPr>
      </w:pPr>
      <w:r>
        <w:rPr>
          <w:rFonts w:ascii="Arial" w:hAnsi="Arial" w:cs="Arial"/>
          <w:color w:val="000000"/>
          <w:sz w:val="22"/>
          <w:szCs w:val="22"/>
        </w:rPr>
        <w:t>zeitliche Compliance (vorvertraglich)</w:t>
      </w:r>
    </w:p>
    <w:p w14:paraId="74E06CDA" w14:textId="77777777" w:rsidR="00C01674" w:rsidRDefault="00C01674" w:rsidP="00C01674">
      <w:pPr>
        <w:pStyle w:val="StandardWeb"/>
        <w:numPr>
          <w:ilvl w:val="0"/>
          <w:numId w:val="25"/>
        </w:numPr>
        <w:textAlignment w:val="baseline"/>
        <w:rPr>
          <w:rFonts w:ascii="Arial" w:hAnsi="Arial" w:cs="Arial"/>
          <w:color w:val="000000"/>
          <w:sz w:val="22"/>
          <w:szCs w:val="22"/>
        </w:rPr>
      </w:pPr>
      <w:r>
        <w:rPr>
          <w:rFonts w:ascii="Arial" w:hAnsi="Arial" w:cs="Arial"/>
          <w:color w:val="000000"/>
          <w:sz w:val="22"/>
          <w:szCs w:val="22"/>
        </w:rPr>
        <w:t>qualitative Compliance (Verständlichkeit)</w:t>
      </w:r>
    </w:p>
    <w:p w14:paraId="60BCEEBD" w14:textId="77777777" w:rsidR="00C01674" w:rsidRDefault="00C01674" w:rsidP="00C01674">
      <w:pPr>
        <w:pStyle w:val="StandardWeb"/>
        <w:numPr>
          <w:ilvl w:val="0"/>
          <w:numId w:val="25"/>
        </w:numPr>
        <w:spacing w:after="240"/>
        <w:textAlignment w:val="baseline"/>
        <w:rPr>
          <w:rFonts w:ascii="Arial" w:hAnsi="Arial" w:cs="Arial"/>
          <w:color w:val="000000"/>
          <w:sz w:val="22"/>
          <w:szCs w:val="22"/>
        </w:rPr>
      </w:pPr>
      <w:r>
        <w:rPr>
          <w:rFonts w:ascii="Arial" w:hAnsi="Arial" w:cs="Arial"/>
          <w:color w:val="000000"/>
          <w:sz w:val="22"/>
          <w:szCs w:val="22"/>
        </w:rPr>
        <w:t>funktionale Compliance (Auffindbarkeit)</w:t>
      </w:r>
    </w:p>
    <w:p w14:paraId="4B1FB921" w14:textId="77777777" w:rsidR="00C01674" w:rsidRDefault="00C01674" w:rsidP="00C01674">
      <w:pPr>
        <w:pStyle w:val="StandardWeb"/>
        <w:spacing w:before="240" w:after="240"/>
        <w:rPr>
          <w:color w:val="000000"/>
        </w:rPr>
      </w:pPr>
      <w:r>
        <w:rPr>
          <w:rFonts w:ascii="Arial" w:hAnsi="Arial" w:cs="Arial"/>
          <w:color w:val="000000"/>
          <w:sz w:val="22"/>
          <w:szCs w:val="22"/>
        </w:rPr>
        <w:t>Diese Kombination ermöglicht eine realitätsnahe Bewertung der tatsächlichen Transparenzwirkung.</w:t>
      </w:r>
    </w:p>
    <w:p w14:paraId="1B0DF31E" w14:textId="77777777" w:rsidR="00C01674" w:rsidRDefault="00C01674" w:rsidP="00C01674">
      <w:pPr>
        <w:rPr>
          <w:color w:val="000000"/>
        </w:rPr>
      </w:pPr>
    </w:p>
    <w:p w14:paraId="01348E5C" w14:textId="77777777" w:rsidR="00C01674" w:rsidRDefault="00C01674" w:rsidP="00C01674">
      <w:pPr>
        <w:pStyle w:val="berschrift3"/>
        <w:spacing w:before="480" w:after="80"/>
        <w:rPr>
          <w:color w:val="000000"/>
        </w:rPr>
      </w:pPr>
      <w:r>
        <w:rPr>
          <w:b w:val="0"/>
          <w:bCs w:val="0"/>
          <w:color w:val="434343"/>
          <w:sz w:val="28"/>
          <w:szCs w:val="28"/>
        </w:rPr>
        <w:t>3.3.2 Prüfkriterien nach Art. 3 Data Act</w:t>
      </w:r>
    </w:p>
    <w:p w14:paraId="58460556" w14:textId="77777777" w:rsidR="00C01674" w:rsidRDefault="00C01674" w:rsidP="00C01674">
      <w:pPr>
        <w:pStyle w:val="StandardWeb"/>
        <w:spacing w:before="240" w:after="240"/>
        <w:rPr>
          <w:color w:val="000000"/>
        </w:rPr>
      </w:pPr>
      <w:r>
        <w:rPr>
          <w:rFonts w:ascii="Arial" w:hAnsi="Arial" w:cs="Arial"/>
          <w:color w:val="000000"/>
          <w:sz w:val="22"/>
          <w:szCs w:val="22"/>
        </w:rPr>
        <w:t>Die folgenden Prüfkriterien sind direkt aus Art. 3 Abs. 1–3 Data Act abgeleitet und werden entlang der beschriebenen Bewertungsdimensionen analysiert.</w:t>
      </w:r>
    </w:p>
    <w:p w14:paraId="11478AA4" w14:textId="77777777" w:rsidR="00C01674" w:rsidRDefault="00C01674" w:rsidP="00C01674">
      <w:pPr>
        <w:pStyle w:val="berschrift4"/>
        <w:spacing w:before="280" w:after="80"/>
        <w:rPr>
          <w:color w:val="000000"/>
        </w:rPr>
      </w:pPr>
      <w:r>
        <w:rPr>
          <w:b/>
          <w:bCs/>
          <w:color w:val="666666"/>
        </w:rPr>
        <w:t>A. Vorvertragliche Informationspflichten – Vernetzte Produkte (Art. 3 Abs. 2)</w:t>
      </w:r>
    </w:p>
    <w:tbl>
      <w:tblPr>
        <w:tblW w:w="0" w:type="auto"/>
        <w:tblCellMar>
          <w:top w:w="15" w:type="dxa"/>
          <w:left w:w="15" w:type="dxa"/>
          <w:bottom w:w="15" w:type="dxa"/>
          <w:right w:w="15" w:type="dxa"/>
        </w:tblCellMar>
        <w:tblLook w:val="04A0" w:firstRow="1" w:lastRow="0" w:firstColumn="1" w:lastColumn="0" w:noHBand="0" w:noVBand="1"/>
      </w:tblPr>
      <w:tblGrid>
        <w:gridCol w:w="1818"/>
        <w:gridCol w:w="2298"/>
        <w:gridCol w:w="739"/>
        <w:gridCol w:w="792"/>
        <w:gridCol w:w="863"/>
        <w:gridCol w:w="1352"/>
        <w:gridCol w:w="1190"/>
      </w:tblGrid>
      <w:tr w:rsidR="00C01674" w14:paraId="1153EDD4"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09E5EB8" w14:textId="77777777" w:rsidR="00C01674" w:rsidRDefault="00C01674">
            <w:pPr>
              <w:pStyle w:val="StandardWeb"/>
              <w:spacing w:before="240" w:after="240"/>
              <w:jc w:val="center"/>
              <w:rPr>
                <w:b/>
                <w:bCs/>
              </w:rPr>
            </w:pPr>
            <w:r>
              <w:rPr>
                <w:rFonts w:ascii="Arial" w:hAnsi="Arial" w:cs="Arial"/>
                <w:b/>
                <w:bCs/>
                <w:color w:val="000000"/>
                <w:sz w:val="16"/>
                <w:szCs w:val="16"/>
              </w:rPr>
              <w:t>Kriterium</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6A4619B" w14:textId="77777777" w:rsidR="00C01674" w:rsidRDefault="00C01674">
            <w:pPr>
              <w:pStyle w:val="StandardWeb"/>
              <w:spacing w:before="240" w:after="240"/>
              <w:jc w:val="center"/>
              <w:rPr>
                <w:b/>
                <w:bCs/>
              </w:rPr>
            </w:pPr>
            <w:r>
              <w:rPr>
                <w:rFonts w:ascii="Arial" w:hAnsi="Arial" w:cs="Arial"/>
                <w:b/>
                <w:bCs/>
                <w:color w:val="000000"/>
                <w:sz w:val="16"/>
                <w:szCs w:val="16"/>
              </w:rPr>
              <w:t>Beschreibung</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B4149F4" w14:textId="77777777" w:rsidR="00C01674" w:rsidRDefault="00C01674">
            <w:pPr>
              <w:pStyle w:val="StandardWeb"/>
              <w:spacing w:before="240" w:after="240"/>
              <w:jc w:val="center"/>
              <w:rPr>
                <w:b/>
                <w:bCs/>
              </w:rPr>
            </w:pPr>
            <w:proofErr w:type="spellStart"/>
            <w:r>
              <w:rPr>
                <w:rFonts w:ascii="Arial" w:hAnsi="Arial" w:cs="Arial"/>
                <w:b/>
                <w:bCs/>
                <w:color w:val="000000"/>
                <w:sz w:val="16"/>
                <w:szCs w:val="16"/>
              </w:rPr>
              <w:t>Exists</w:t>
            </w:r>
            <w:proofErr w:type="spellEnd"/>
            <w:r>
              <w:rPr>
                <w:rFonts w:ascii="Arial" w:hAnsi="Arial" w:cs="Arial"/>
                <w:b/>
                <w:bCs/>
                <w:color w:val="000000"/>
                <w:sz w:val="16"/>
                <w:szCs w:val="16"/>
              </w:rPr>
              <w:t xml:space="preserve"> (0–2)</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2BF085C" w14:textId="77777777" w:rsidR="00C01674" w:rsidRDefault="00C01674">
            <w:pPr>
              <w:pStyle w:val="StandardWeb"/>
              <w:spacing w:before="240" w:after="240"/>
              <w:jc w:val="center"/>
              <w:rPr>
                <w:b/>
                <w:bCs/>
              </w:rPr>
            </w:pPr>
            <w:r>
              <w:rPr>
                <w:rFonts w:ascii="Arial" w:hAnsi="Arial" w:cs="Arial"/>
                <w:b/>
                <w:bCs/>
                <w:color w:val="000000"/>
                <w:sz w:val="16"/>
                <w:szCs w:val="16"/>
              </w:rPr>
              <w:t>Timing (0–3)</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5B0687F" w14:textId="77777777" w:rsidR="00C01674" w:rsidRDefault="00C01674">
            <w:pPr>
              <w:pStyle w:val="StandardWeb"/>
              <w:spacing w:before="240" w:after="240"/>
              <w:jc w:val="center"/>
              <w:rPr>
                <w:b/>
                <w:bCs/>
              </w:rPr>
            </w:pPr>
            <w:r>
              <w:rPr>
                <w:rFonts w:ascii="Arial" w:hAnsi="Arial" w:cs="Arial"/>
                <w:b/>
                <w:bCs/>
                <w:color w:val="000000"/>
                <w:sz w:val="16"/>
                <w:szCs w:val="16"/>
              </w:rPr>
              <w:t>Qualität (1–5)</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BA59705" w14:textId="77777777" w:rsidR="00C01674" w:rsidRDefault="00C01674">
            <w:pPr>
              <w:pStyle w:val="StandardWeb"/>
              <w:spacing w:before="240" w:after="240"/>
              <w:jc w:val="center"/>
              <w:rPr>
                <w:b/>
                <w:bCs/>
              </w:rPr>
            </w:pPr>
            <w:r>
              <w:rPr>
                <w:rFonts w:ascii="Arial" w:hAnsi="Arial" w:cs="Arial"/>
                <w:b/>
                <w:bCs/>
                <w:color w:val="000000"/>
                <w:sz w:val="16"/>
                <w:szCs w:val="16"/>
              </w:rPr>
              <w:t>Auffindbarkeit (1–5)</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A9F6E36" w14:textId="77777777" w:rsidR="00C01674" w:rsidRDefault="00C01674">
            <w:pPr>
              <w:pStyle w:val="StandardWeb"/>
              <w:spacing w:before="240" w:after="240"/>
              <w:jc w:val="center"/>
              <w:rPr>
                <w:b/>
                <w:bCs/>
              </w:rPr>
            </w:pPr>
            <w:r>
              <w:rPr>
                <w:rFonts w:ascii="Arial" w:hAnsi="Arial" w:cs="Arial"/>
                <w:b/>
                <w:bCs/>
                <w:color w:val="000000"/>
                <w:sz w:val="16"/>
                <w:szCs w:val="16"/>
              </w:rPr>
              <w:t>Anmerkungen</w:t>
            </w:r>
          </w:p>
        </w:tc>
      </w:tr>
      <w:tr w:rsidR="00C01674" w14:paraId="5F403130" w14:textId="77777777">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BD79A2F" w14:textId="77777777" w:rsidR="00C01674" w:rsidRDefault="00C01674">
            <w:pPr>
              <w:pStyle w:val="StandardWeb"/>
              <w:spacing w:before="240" w:after="240"/>
            </w:pPr>
            <w:r>
              <w:rPr>
                <w:rFonts w:ascii="Arial" w:hAnsi="Arial" w:cs="Arial"/>
                <w:color w:val="000000"/>
                <w:sz w:val="16"/>
                <w:szCs w:val="16"/>
              </w:rPr>
              <w:t>Datenarten, Format, Umfang</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942D171" w14:textId="77777777" w:rsidR="00C01674" w:rsidRDefault="00C01674">
            <w:pPr>
              <w:pStyle w:val="StandardWeb"/>
              <w:spacing w:before="240" w:after="240"/>
            </w:pPr>
            <w:r>
              <w:rPr>
                <w:rFonts w:ascii="Arial" w:hAnsi="Arial" w:cs="Arial"/>
                <w:color w:val="000000"/>
                <w:sz w:val="16"/>
                <w:szCs w:val="16"/>
              </w:rPr>
              <w:t>Beschreibung der generierten Produktdaten</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369CA20"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C7BDAA8"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6803F3E"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106E9B1"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13FFFAC" w14:textId="77777777" w:rsidR="00C01674" w:rsidRDefault="00C01674"/>
        </w:tc>
      </w:tr>
      <w:tr w:rsidR="00C01674" w14:paraId="7B4CE88C" w14:textId="77777777">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CABF81F" w14:textId="77777777" w:rsidR="00C01674" w:rsidRDefault="00C01674">
            <w:pPr>
              <w:pStyle w:val="StandardWeb"/>
              <w:spacing w:before="240" w:after="240"/>
            </w:pPr>
            <w:r>
              <w:rPr>
                <w:rFonts w:ascii="Arial" w:hAnsi="Arial" w:cs="Arial"/>
                <w:color w:val="000000"/>
                <w:sz w:val="16"/>
                <w:szCs w:val="16"/>
              </w:rPr>
              <w:lastRenderedPageBreak/>
              <w:t>Echtzeitfähigkeit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C5A9681" w14:textId="77777777" w:rsidR="00C01674" w:rsidRDefault="00C01674">
            <w:pPr>
              <w:pStyle w:val="StandardWeb"/>
              <w:spacing w:before="240" w:after="240"/>
            </w:pPr>
            <w:r>
              <w:rPr>
                <w:rFonts w:ascii="Arial" w:hAnsi="Arial" w:cs="Arial"/>
                <w:color w:val="000000"/>
                <w:sz w:val="16"/>
                <w:szCs w:val="16"/>
              </w:rPr>
              <w:t>Angabe zur kontinuierlichen / Echtzeit-Datenerzeugung</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A4C9327"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6B61329"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209FD7D"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44E65F8"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EAAD8D2" w14:textId="77777777" w:rsidR="00C01674" w:rsidRDefault="00C01674"/>
        </w:tc>
      </w:tr>
      <w:tr w:rsidR="00C01674" w14:paraId="71D39A2C" w14:textId="77777777">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082313A" w14:textId="77777777" w:rsidR="00C01674" w:rsidRDefault="00C01674">
            <w:pPr>
              <w:pStyle w:val="StandardWeb"/>
              <w:spacing w:before="240" w:after="240"/>
            </w:pPr>
            <w:r>
              <w:rPr>
                <w:rFonts w:ascii="Arial" w:hAnsi="Arial" w:cs="Arial"/>
                <w:color w:val="000000"/>
                <w:sz w:val="16"/>
                <w:szCs w:val="16"/>
              </w:rPr>
              <w:t>Speicherung</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DA76D57" w14:textId="77777777" w:rsidR="00C01674" w:rsidRDefault="00C01674">
            <w:pPr>
              <w:pStyle w:val="StandardWeb"/>
              <w:spacing w:before="240" w:after="240"/>
            </w:pPr>
            <w:r>
              <w:rPr>
                <w:rFonts w:ascii="Arial" w:hAnsi="Arial" w:cs="Arial"/>
                <w:color w:val="000000"/>
                <w:sz w:val="16"/>
                <w:szCs w:val="16"/>
              </w:rPr>
              <w:t>Speicherort und Speicherdauer</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B1A7255"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0A0E48C"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76C9525"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BA26E73"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17432F4" w14:textId="77777777" w:rsidR="00C01674" w:rsidRDefault="00C01674"/>
        </w:tc>
      </w:tr>
      <w:tr w:rsidR="00C01674" w14:paraId="3A4CE082" w14:textId="77777777">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DCE7A86" w14:textId="77777777" w:rsidR="00C01674" w:rsidRDefault="00C01674">
            <w:pPr>
              <w:pStyle w:val="StandardWeb"/>
              <w:spacing w:before="240" w:after="240"/>
            </w:pPr>
            <w:r>
              <w:rPr>
                <w:rFonts w:ascii="Arial" w:hAnsi="Arial" w:cs="Arial"/>
                <w:color w:val="000000"/>
                <w:sz w:val="16"/>
                <w:szCs w:val="16"/>
              </w:rPr>
              <w:t>Zugriffsmöglichkeiten</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53F6023" w14:textId="77777777" w:rsidR="00C01674" w:rsidRDefault="00C01674">
            <w:pPr>
              <w:pStyle w:val="StandardWeb"/>
              <w:spacing w:before="240" w:after="240"/>
            </w:pPr>
            <w:r>
              <w:rPr>
                <w:rFonts w:ascii="Arial" w:hAnsi="Arial" w:cs="Arial"/>
                <w:color w:val="000000"/>
                <w:sz w:val="16"/>
                <w:szCs w:val="16"/>
              </w:rPr>
              <w:t>Zugriff, Abruf und Löschung inkl. technischer Mittel</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B580969"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B6DF428"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43C9BD7"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43363F1"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28DF06A" w14:textId="77777777" w:rsidR="00C01674" w:rsidRDefault="00C01674"/>
        </w:tc>
      </w:tr>
    </w:tbl>
    <w:p w14:paraId="324DB870" w14:textId="77777777" w:rsidR="00C01674" w:rsidRDefault="00C01674" w:rsidP="00C01674">
      <w:pPr>
        <w:rPr>
          <w:color w:val="000000"/>
        </w:rPr>
      </w:pPr>
    </w:p>
    <w:p w14:paraId="6AA97907" w14:textId="77777777" w:rsidR="00C01674" w:rsidRDefault="00C01674" w:rsidP="00C01674">
      <w:pPr>
        <w:pStyle w:val="berschrift4"/>
        <w:spacing w:before="280" w:after="80"/>
        <w:rPr>
          <w:color w:val="000000"/>
        </w:rPr>
      </w:pPr>
      <w:r>
        <w:rPr>
          <w:b/>
          <w:bCs/>
          <w:color w:val="666666"/>
        </w:rPr>
        <w:t>B. Vorvertragliche Informationspflichten – Verbundene Dienste (Art. 3 Abs. 3)</w:t>
      </w:r>
    </w:p>
    <w:tbl>
      <w:tblPr>
        <w:tblW w:w="0" w:type="auto"/>
        <w:tblCellMar>
          <w:top w:w="15" w:type="dxa"/>
          <w:left w:w="15" w:type="dxa"/>
          <w:bottom w:w="15" w:type="dxa"/>
          <w:right w:w="15" w:type="dxa"/>
        </w:tblCellMar>
        <w:tblLook w:val="04A0" w:firstRow="1" w:lastRow="0" w:firstColumn="1" w:lastColumn="0" w:noHBand="0" w:noVBand="1"/>
      </w:tblPr>
      <w:tblGrid>
        <w:gridCol w:w="2531"/>
        <w:gridCol w:w="2666"/>
        <w:gridCol w:w="527"/>
        <w:gridCol w:w="573"/>
        <w:gridCol w:w="636"/>
        <w:gridCol w:w="1063"/>
        <w:gridCol w:w="1056"/>
      </w:tblGrid>
      <w:tr w:rsidR="00C01674" w14:paraId="7F920DA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294E14E" w14:textId="77777777" w:rsidR="00C01674" w:rsidRDefault="00C01674">
            <w:pPr>
              <w:pStyle w:val="StandardWeb"/>
              <w:spacing w:before="240" w:after="240"/>
              <w:jc w:val="center"/>
            </w:pPr>
            <w:r>
              <w:rPr>
                <w:rFonts w:ascii="Arial" w:hAnsi="Arial" w:cs="Arial"/>
                <w:b/>
                <w:bCs/>
                <w:color w:val="000000"/>
                <w:sz w:val="14"/>
                <w:szCs w:val="14"/>
              </w:rPr>
              <w:t>Kriterium</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494260F" w14:textId="77777777" w:rsidR="00C01674" w:rsidRDefault="00C01674">
            <w:pPr>
              <w:pStyle w:val="StandardWeb"/>
              <w:spacing w:before="240" w:after="240"/>
              <w:jc w:val="center"/>
            </w:pPr>
            <w:r>
              <w:rPr>
                <w:rFonts w:ascii="Arial" w:hAnsi="Arial" w:cs="Arial"/>
                <w:b/>
                <w:bCs/>
                <w:color w:val="000000"/>
                <w:sz w:val="14"/>
                <w:szCs w:val="14"/>
              </w:rPr>
              <w:t>Beschreibung</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284D42F" w14:textId="77777777" w:rsidR="00C01674" w:rsidRDefault="00C01674">
            <w:pPr>
              <w:pStyle w:val="StandardWeb"/>
              <w:spacing w:before="240" w:after="240"/>
              <w:jc w:val="center"/>
            </w:pPr>
            <w:proofErr w:type="spellStart"/>
            <w:r>
              <w:rPr>
                <w:rFonts w:ascii="Arial" w:hAnsi="Arial" w:cs="Arial"/>
                <w:b/>
                <w:bCs/>
                <w:color w:val="000000"/>
                <w:sz w:val="14"/>
                <w:szCs w:val="14"/>
              </w:rPr>
              <w:t>Exists</w:t>
            </w:r>
            <w:proofErr w:type="spellEnd"/>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CCCEB8A" w14:textId="77777777" w:rsidR="00C01674" w:rsidRDefault="00C01674">
            <w:pPr>
              <w:pStyle w:val="StandardWeb"/>
              <w:spacing w:before="240" w:after="240"/>
              <w:jc w:val="center"/>
            </w:pPr>
            <w:r>
              <w:rPr>
                <w:rFonts w:ascii="Arial" w:hAnsi="Arial" w:cs="Arial"/>
                <w:b/>
                <w:bCs/>
                <w:color w:val="000000"/>
                <w:sz w:val="14"/>
                <w:szCs w:val="14"/>
              </w:rPr>
              <w:t>Timing</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C74C626" w14:textId="77777777" w:rsidR="00C01674" w:rsidRDefault="00C01674">
            <w:pPr>
              <w:pStyle w:val="StandardWeb"/>
              <w:spacing w:before="240" w:after="240"/>
              <w:jc w:val="center"/>
            </w:pPr>
            <w:r>
              <w:rPr>
                <w:rFonts w:ascii="Arial" w:hAnsi="Arial" w:cs="Arial"/>
                <w:b/>
                <w:bCs/>
                <w:color w:val="000000"/>
                <w:sz w:val="14"/>
                <w:szCs w:val="14"/>
              </w:rPr>
              <w:t>Qualität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6E2A8C7" w14:textId="77777777" w:rsidR="00C01674" w:rsidRDefault="00C01674">
            <w:pPr>
              <w:pStyle w:val="StandardWeb"/>
              <w:spacing w:before="240" w:after="240"/>
              <w:jc w:val="center"/>
            </w:pPr>
            <w:r>
              <w:rPr>
                <w:rFonts w:ascii="Arial" w:hAnsi="Arial" w:cs="Arial"/>
                <w:b/>
                <w:bCs/>
                <w:color w:val="000000"/>
                <w:sz w:val="14"/>
                <w:szCs w:val="14"/>
              </w:rPr>
              <w:t>Auffindbarkeit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0718F44" w14:textId="77777777" w:rsidR="00C01674" w:rsidRDefault="00C01674">
            <w:pPr>
              <w:pStyle w:val="StandardWeb"/>
              <w:spacing w:before="240" w:after="240"/>
              <w:jc w:val="center"/>
            </w:pPr>
            <w:r>
              <w:rPr>
                <w:rFonts w:ascii="Arial" w:hAnsi="Arial" w:cs="Arial"/>
                <w:b/>
                <w:bCs/>
                <w:color w:val="000000"/>
                <w:sz w:val="14"/>
                <w:szCs w:val="14"/>
              </w:rPr>
              <w:t>Anmerkungen</w:t>
            </w:r>
          </w:p>
        </w:tc>
      </w:tr>
      <w:tr w:rsidR="00C01674" w14:paraId="45A7B7D4"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122935D" w14:textId="77777777" w:rsidR="00C01674" w:rsidRDefault="00C01674">
            <w:pPr>
              <w:pStyle w:val="StandardWeb"/>
              <w:spacing w:before="240" w:after="240"/>
              <w:jc w:val="center"/>
            </w:pPr>
            <w:r>
              <w:rPr>
                <w:rFonts w:ascii="Arial" w:hAnsi="Arial" w:cs="Arial"/>
                <w:color w:val="000000"/>
                <w:sz w:val="14"/>
                <w:szCs w:val="14"/>
              </w:rPr>
              <w:t>Datenerhebung (Art, Umfang, Frequenz)</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67C2C94" w14:textId="77777777" w:rsidR="00C01674" w:rsidRDefault="00C01674">
            <w:pPr>
              <w:pStyle w:val="StandardWeb"/>
              <w:spacing w:before="240" w:after="240"/>
              <w:jc w:val="center"/>
            </w:pPr>
            <w:r>
              <w:rPr>
                <w:rFonts w:ascii="Arial" w:hAnsi="Arial" w:cs="Arial"/>
                <w:color w:val="000000"/>
                <w:sz w:val="14"/>
                <w:szCs w:val="14"/>
              </w:rPr>
              <w:t>Erhobene Produktdaten durch Dienst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4C702C8"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1C28468"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E5E43C7"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15AF367"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9387330" w14:textId="77777777" w:rsidR="00C01674" w:rsidRDefault="00C01674"/>
        </w:tc>
      </w:tr>
      <w:tr w:rsidR="00C01674" w14:paraId="5FDE765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E440D1E" w14:textId="77777777" w:rsidR="00C01674" w:rsidRDefault="00C01674">
            <w:pPr>
              <w:pStyle w:val="StandardWeb"/>
              <w:spacing w:before="240" w:after="240"/>
              <w:jc w:val="center"/>
            </w:pPr>
            <w:r>
              <w:rPr>
                <w:rFonts w:ascii="Arial" w:hAnsi="Arial" w:cs="Arial"/>
                <w:color w:val="000000"/>
                <w:sz w:val="14"/>
                <w:szCs w:val="14"/>
              </w:rPr>
              <w:t>Dienstdaten</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3B80E38" w14:textId="77777777" w:rsidR="00C01674" w:rsidRDefault="00C01674">
            <w:pPr>
              <w:pStyle w:val="StandardWeb"/>
              <w:spacing w:before="240" w:after="240"/>
              <w:jc w:val="center"/>
            </w:pPr>
            <w:r>
              <w:rPr>
                <w:rFonts w:ascii="Arial" w:hAnsi="Arial" w:cs="Arial"/>
                <w:color w:val="000000"/>
                <w:sz w:val="14"/>
                <w:szCs w:val="14"/>
              </w:rPr>
              <w:t>Generierte Servicedaten</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7063769"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4889268"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66582C3"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F564ABA"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C7DC43E" w14:textId="77777777" w:rsidR="00C01674" w:rsidRDefault="00C01674"/>
        </w:tc>
      </w:tr>
      <w:tr w:rsidR="00C01674" w14:paraId="285120F4"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46E85B9" w14:textId="77777777" w:rsidR="00C01674" w:rsidRDefault="00C01674">
            <w:pPr>
              <w:pStyle w:val="StandardWeb"/>
              <w:spacing w:before="240" w:after="240"/>
              <w:jc w:val="center"/>
            </w:pPr>
            <w:r>
              <w:rPr>
                <w:rFonts w:ascii="Arial" w:hAnsi="Arial" w:cs="Arial"/>
                <w:color w:val="000000"/>
                <w:sz w:val="14"/>
                <w:szCs w:val="14"/>
              </w:rPr>
              <w:t>Datennutzung &amp; Weitergabe</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F0D0B28" w14:textId="77777777" w:rsidR="00C01674" w:rsidRDefault="00C01674">
            <w:pPr>
              <w:pStyle w:val="StandardWeb"/>
              <w:spacing w:before="240" w:after="240"/>
              <w:jc w:val="center"/>
            </w:pPr>
            <w:r>
              <w:rPr>
                <w:rFonts w:ascii="Arial" w:hAnsi="Arial" w:cs="Arial"/>
                <w:color w:val="000000"/>
                <w:sz w:val="14"/>
                <w:szCs w:val="14"/>
              </w:rPr>
              <w:t>Zwecke und Drittzugriffe</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271EE99"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7DB4118"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15D0392"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85EC751"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71128A5" w14:textId="77777777" w:rsidR="00C01674" w:rsidRDefault="00C01674"/>
        </w:tc>
      </w:tr>
      <w:tr w:rsidR="00C01674" w14:paraId="2A0FED5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B69F067" w14:textId="77777777" w:rsidR="00C01674" w:rsidRDefault="00C01674">
            <w:pPr>
              <w:pStyle w:val="StandardWeb"/>
              <w:spacing w:before="240" w:after="240"/>
              <w:jc w:val="center"/>
            </w:pPr>
            <w:r>
              <w:rPr>
                <w:rFonts w:ascii="Arial" w:hAnsi="Arial" w:cs="Arial"/>
                <w:color w:val="000000"/>
                <w:sz w:val="14"/>
                <w:szCs w:val="14"/>
              </w:rPr>
              <w:t>Dateninhaber</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A388F5D" w14:textId="77777777" w:rsidR="00C01674" w:rsidRDefault="00C01674">
            <w:pPr>
              <w:pStyle w:val="StandardWeb"/>
              <w:spacing w:before="240" w:after="240"/>
              <w:jc w:val="center"/>
            </w:pPr>
            <w:r>
              <w:rPr>
                <w:rFonts w:ascii="Arial" w:hAnsi="Arial" w:cs="Arial"/>
                <w:color w:val="000000"/>
                <w:sz w:val="14"/>
                <w:szCs w:val="14"/>
              </w:rPr>
              <w:t>Identität des Data Holders</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6E0A480"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3138171"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E5995B4"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DD1096E"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763C881" w14:textId="77777777" w:rsidR="00C01674" w:rsidRDefault="00C01674"/>
        </w:tc>
      </w:tr>
      <w:tr w:rsidR="00C01674" w14:paraId="6D56A27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0A202" w14:textId="77777777" w:rsidR="00C01674" w:rsidRDefault="00C01674">
            <w:pPr>
              <w:pStyle w:val="StandardWeb"/>
              <w:spacing w:before="240" w:after="240"/>
            </w:pPr>
            <w:r>
              <w:rPr>
                <w:rFonts w:ascii="Arial" w:hAnsi="Arial" w:cs="Arial"/>
                <w:color w:val="000000"/>
                <w:sz w:val="18"/>
                <w:szCs w:val="18"/>
              </w:rPr>
              <w:t>Kontaktmöglichkeiten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3EF2E" w14:textId="77777777" w:rsidR="00C01674" w:rsidRDefault="00C01674">
            <w:pPr>
              <w:pStyle w:val="StandardWeb"/>
              <w:spacing w:before="240" w:after="240"/>
            </w:pPr>
            <w:r>
              <w:rPr>
                <w:rFonts w:ascii="Arial" w:hAnsi="Arial" w:cs="Arial"/>
                <w:color w:val="000000"/>
                <w:sz w:val="18"/>
                <w:szCs w:val="18"/>
              </w:rPr>
              <w:t>Kommunikationskanäle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BAA5A"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31517"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CD763"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FEE78"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C5505" w14:textId="77777777" w:rsidR="00C01674" w:rsidRDefault="00C01674"/>
        </w:tc>
      </w:tr>
      <w:tr w:rsidR="00C01674" w14:paraId="29190EE2"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2AC08" w14:textId="77777777" w:rsidR="00C01674" w:rsidRDefault="00C01674">
            <w:pPr>
              <w:pStyle w:val="StandardWeb"/>
              <w:spacing w:before="240" w:after="240"/>
            </w:pPr>
            <w:r>
              <w:rPr>
                <w:rFonts w:ascii="Arial" w:hAnsi="Arial" w:cs="Arial"/>
                <w:color w:val="000000"/>
                <w:sz w:val="18"/>
                <w:szCs w:val="18"/>
              </w:rPr>
              <w:t>Datenweitergabe an Dritte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E86CD" w14:textId="77777777" w:rsidR="00C01674" w:rsidRDefault="00C01674">
            <w:pPr>
              <w:pStyle w:val="StandardWeb"/>
              <w:spacing w:before="240" w:after="240"/>
            </w:pPr>
            <w:r>
              <w:rPr>
                <w:rFonts w:ascii="Arial" w:hAnsi="Arial" w:cs="Arial"/>
                <w:color w:val="000000"/>
                <w:sz w:val="18"/>
                <w:szCs w:val="18"/>
              </w:rPr>
              <w:t>Mechanismen &amp; Kontrolle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61C6B"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D2CAE"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7FA0F"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0EC0B"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C0643" w14:textId="77777777" w:rsidR="00C01674" w:rsidRDefault="00C01674"/>
        </w:tc>
      </w:tr>
      <w:tr w:rsidR="00C01674" w14:paraId="222C8441"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CC613" w14:textId="77777777" w:rsidR="00C01674" w:rsidRDefault="00C01674">
            <w:pPr>
              <w:pStyle w:val="StandardWeb"/>
              <w:spacing w:before="240" w:after="240"/>
            </w:pPr>
            <w:r>
              <w:rPr>
                <w:rFonts w:ascii="Arial" w:hAnsi="Arial" w:cs="Arial"/>
                <w:color w:val="000000"/>
                <w:sz w:val="18"/>
                <w:szCs w:val="18"/>
              </w:rPr>
              <w:t>Beschwerderechte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795CE" w14:textId="77777777" w:rsidR="00C01674" w:rsidRDefault="00C01674">
            <w:pPr>
              <w:pStyle w:val="StandardWeb"/>
              <w:spacing w:before="240" w:after="240"/>
            </w:pPr>
            <w:r>
              <w:rPr>
                <w:rFonts w:ascii="Arial" w:hAnsi="Arial" w:cs="Arial"/>
                <w:color w:val="000000"/>
                <w:sz w:val="18"/>
                <w:szCs w:val="18"/>
              </w:rPr>
              <w:t>Hinweis auf zuständige Behörde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ABD94"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7A404"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C11B4"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027F2"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92491" w14:textId="77777777" w:rsidR="00C01674" w:rsidRDefault="00C01674"/>
        </w:tc>
      </w:tr>
      <w:tr w:rsidR="00C01674" w14:paraId="0741924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A6E98" w14:textId="77777777" w:rsidR="00C01674" w:rsidRDefault="00C01674">
            <w:pPr>
              <w:pStyle w:val="StandardWeb"/>
              <w:spacing w:before="240" w:after="240"/>
            </w:pPr>
            <w:r>
              <w:rPr>
                <w:rFonts w:ascii="Arial" w:hAnsi="Arial" w:cs="Arial"/>
                <w:color w:val="000000"/>
                <w:sz w:val="18"/>
                <w:szCs w:val="18"/>
              </w:rPr>
              <w:t>Geschäftsgeheimnisse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17A9F" w14:textId="77777777" w:rsidR="00C01674" w:rsidRDefault="00C01674">
            <w:pPr>
              <w:pStyle w:val="StandardWeb"/>
              <w:spacing w:before="240" w:after="240"/>
            </w:pPr>
            <w:r>
              <w:rPr>
                <w:rFonts w:ascii="Arial" w:hAnsi="Arial" w:cs="Arial"/>
                <w:color w:val="000000"/>
                <w:sz w:val="18"/>
                <w:szCs w:val="18"/>
              </w:rPr>
              <w:t>Angaben zu geschützten Daten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A0D33"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9411B"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39201"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53177"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77ADF" w14:textId="77777777" w:rsidR="00C01674" w:rsidRDefault="00C01674"/>
        </w:tc>
      </w:tr>
      <w:tr w:rsidR="00C01674" w14:paraId="6926F96E"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5A2C1" w14:textId="77777777" w:rsidR="00C01674" w:rsidRDefault="00C01674">
            <w:pPr>
              <w:pStyle w:val="StandardWeb"/>
              <w:spacing w:before="240" w:after="240"/>
            </w:pPr>
            <w:r>
              <w:rPr>
                <w:rFonts w:ascii="Arial" w:hAnsi="Arial" w:cs="Arial"/>
                <w:color w:val="000000"/>
                <w:sz w:val="18"/>
                <w:szCs w:val="18"/>
              </w:rPr>
              <w:lastRenderedPageBreak/>
              <w:t>Vertragsbedingungen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1B4B4" w14:textId="77777777" w:rsidR="00C01674" w:rsidRDefault="00C01674">
            <w:pPr>
              <w:pStyle w:val="StandardWeb"/>
              <w:spacing w:before="240" w:after="240"/>
            </w:pPr>
            <w:r>
              <w:rPr>
                <w:rFonts w:ascii="Arial" w:hAnsi="Arial" w:cs="Arial"/>
                <w:color w:val="000000"/>
                <w:sz w:val="18"/>
                <w:szCs w:val="18"/>
              </w:rPr>
              <w:t>Laufzeit und Beendigung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E617C"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EDB3E"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DA37A"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6563DF"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55913" w14:textId="77777777" w:rsidR="00C01674" w:rsidRDefault="00C01674"/>
        </w:tc>
      </w:tr>
    </w:tbl>
    <w:p w14:paraId="173BCE66" w14:textId="77777777" w:rsidR="00C01674" w:rsidRDefault="00C01674" w:rsidP="00C01674">
      <w:pPr>
        <w:rPr>
          <w:color w:val="000000"/>
        </w:rPr>
      </w:pPr>
    </w:p>
    <w:p w14:paraId="6C69E5EF" w14:textId="77777777" w:rsidR="00C01674" w:rsidRDefault="00C01674" w:rsidP="00C01674">
      <w:pPr>
        <w:pStyle w:val="berschrift3"/>
        <w:spacing w:before="320" w:after="80"/>
        <w:rPr>
          <w:color w:val="000000"/>
        </w:rPr>
      </w:pPr>
      <w:r>
        <w:rPr>
          <w:b w:val="0"/>
          <w:bCs w:val="0"/>
          <w:color w:val="434343"/>
          <w:sz w:val="28"/>
          <w:szCs w:val="28"/>
        </w:rPr>
        <w:t xml:space="preserve">C. Technische Datenbereitstellung („Access </w:t>
      </w:r>
      <w:proofErr w:type="spellStart"/>
      <w:r>
        <w:rPr>
          <w:b w:val="0"/>
          <w:bCs w:val="0"/>
          <w:color w:val="434343"/>
          <w:sz w:val="28"/>
          <w:szCs w:val="28"/>
        </w:rPr>
        <w:t>by</w:t>
      </w:r>
      <w:proofErr w:type="spellEnd"/>
      <w:r>
        <w:rPr>
          <w:b w:val="0"/>
          <w:bCs w:val="0"/>
          <w:color w:val="434343"/>
          <w:sz w:val="28"/>
          <w:szCs w:val="28"/>
        </w:rPr>
        <w:t xml:space="preserve"> Design“, Art. 3 Abs. 1)</w:t>
      </w:r>
    </w:p>
    <w:tbl>
      <w:tblPr>
        <w:tblW w:w="0" w:type="auto"/>
        <w:tblCellMar>
          <w:top w:w="15" w:type="dxa"/>
          <w:left w:w="15" w:type="dxa"/>
          <w:bottom w:w="15" w:type="dxa"/>
          <w:right w:w="15" w:type="dxa"/>
        </w:tblCellMar>
        <w:tblLook w:val="04A0" w:firstRow="1" w:lastRow="0" w:firstColumn="1" w:lastColumn="0" w:noHBand="0" w:noVBand="1"/>
      </w:tblPr>
      <w:tblGrid>
        <w:gridCol w:w="2106"/>
        <w:gridCol w:w="2152"/>
        <w:gridCol w:w="645"/>
        <w:gridCol w:w="704"/>
        <w:gridCol w:w="785"/>
        <w:gridCol w:w="1335"/>
        <w:gridCol w:w="1325"/>
      </w:tblGrid>
      <w:tr w:rsidR="00C01674" w14:paraId="309429C0"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5A6FB95" w14:textId="77777777" w:rsidR="00C01674" w:rsidRDefault="00C01674">
            <w:pPr>
              <w:pStyle w:val="StandardWeb"/>
              <w:spacing w:before="240" w:after="240"/>
              <w:jc w:val="center"/>
            </w:pPr>
            <w:r>
              <w:rPr>
                <w:rFonts w:ascii="Arial" w:hAnsi="Arial" w:cs="Arial"/>
                <w:b/>
                <w:bCs/>
                <w:color w:val="000000"/>
                <w:sz w:val="18"/>
                <w:szCs w:val="18"/>
              </w:rPr>
              <w:t>Kriterium</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20E6369" w14:textId="77777777" w:rsidR="00C01674" w:rsidRDefault="00C01674">
            <w:pPr>
              <w:pStyle w:val="StandardWeb"/>
              <w:spacing w:before="240" w:after="240"/>
              <w:jc w:val="center"/>
            </w:pPr>
            <w:r>
              <w:rPr>
                <w:rFonts w:ascii="Arial" w:hAnsi="Arial" w:cs="Arial"/>
                <w:b/>
                <w:bCs/>
                <w:color w:val="000000"/>
                <w:sz w:val="18"/>
                <w:szCs w:val="18"/>
              </w:rPr>
              <w:t>Beschreibung</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D089CA4" w14:textId="77777777" w:rsidR="00C01674" w:rsidRDefault="00C01674">
            <w:pPr>
              <w:pStyle w:val="StandardWeb"/>
              <w:spacing w:before="240" w:after="240"/>
              <w:jc w:val="center"/>
            </w:pPr>
            <w:proofErr w:type="spellStart"/>
            <w:r>
              <w:rPr>
                <w:rFonts w:ascii="Arial" w:hAnsi="Arial" w:cs="Arial"/>
                <w:b/>
                <w:bCs/>
                <w:color w:val="000000"/>
                <w:sz w:val="18"/>
                <w:szCs w:val="18"/>
              </w:rPr>
              <w:t>Exists</w:t>
            </w:r>
            <w:proofErr w:type="spellEnd"/>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E6E3631" w14:textId="77777777" w:rsidR="00C01674" w:rsidRDefault="00C01674">
            <w:pPr>
              <w:pStyle w:val="StandardWeb"/>
              <w:spacing w:before="240" w:after="240"/>
              <w:jc w:val="center"/>
            </w:pPr>
            <w:r>
              <w:rPr>
                <w:rFonts w:ascii="Arial" w:hAnsi="Arial" w:cs="Arial"/>
                <w:b/>
                <w:bCs/>
                <w:color w:val="000000"/>
                <w:sz w:val="18"/>
                <w:szCs w:val="18"/>
              </w:rPr>
              <w:t>Timing</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521BDE1" w14:textId="77777777" w:rsidR="00C01674" w:rsidRDefault="00C01674">
            <w:pPr>
              <w:pStyle w:val="StandardWeb"/>
              <w:spacing w:before="240" w:after="240"/>
              <w:jc w:val="center"/>
            </w:pPr>
            <w:r>
              <w:rPr>
                <w:rFonts w:ascii="Arial" w:hAnsi="Arial" w:cs="Arial"/>
                <w:b/>
                <w:bCs/>
                <w:color w:val="000000"/>
                <w:sz w:val="18"/>
                <w:szCs w:val="18"/>
              </w:rPr>
              <w:t>Qualität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A7E56E7" w14:textId="77777777" w:rsidR="00C01674" w:rsidRDefault="00C01674">
            <w:pPr>
              <w:pStyle w:val="StandardWeb"/>
              <w:spacing w:before="240" w:after="240"/>
              <w:jc w:val="center"/>
            </w:pPr>
            <w:r>
              <w:rPr>
                <w:rFonts w:ascii="Arial" w:hAnsi="Arial" w:cs="Arial"/>
                <w:b/>
                <w:bCs/>
                <w:color w:val="000000"/>
                <w:sz w:val="18"/>
                <w:szCs w:val="18"/>
              </w:rPr>
              <w:t>Auffindbarkeit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BD8A08E" w14:textId="77777777" w:rsidR="00C01674" w:rsidRDefault="00C01674">
            <w:pPr>
              <w:pStyle w:val="StandardWeb"/>
              <w:spacing w:before="240" w:after="240"/>
              <w:jc w:val="center"/>
            </w:pPr>
            <w:r>
              <w:rPr>
                <w:rFonts w:ascii="Arial" w:hAnsi="Arial" w:cs="Arial"/>
                <w:b/>
                <w:bCs/>
                <w:color w:val="000000"/>
                <w:sz w:val="18"/>
                <w:szCs w:val="18"/>
              </w:rPr>
              <w:t>Anmerkungen</w:t>
            </w:r>
          </w:p>
        </w:tc>
      </w:tr>
      <w:tr w:rsidR="00C01674" w14:paraId="71B819BB"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F126D23" w14:textId="77777777" w:rsidR="00C01674" w:rsidRDefault="00C01674">
            <w:pPr>
              <w:pStyle w:val="StandardWeb"/>
              <w:spacing w:before="240" w:after="240"/>
              <w:jc w:val="center"/>
            </w:pPr>
            <w:r>
              <w:rPr>
                <w:rFonts w:ascii="Arial" w:hAnsi="Arial" w:cs="Arial"/>
                <w:color w:val="000000"/>
                <w:sz w:val="18"/>
                <w:szCs w:val="18"/>
              </w:rPr>
              <w:t>Datenzugangsfunktionen</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0F1AF02" w14:textId="77777777" w:rsidR="00C01674" w:rsidRDefault="00C01674">
            <w:pPr>
              <w:pStyle w:val="StandardWeb"/>
              <w:spacing w:before="240" w:after="240"/>
              <w:jc w:val="center"/>
            </w:pPr>
            <w:r>
              <w:rPr>
                <w:rFonts w:ascii="Arial" w:hAnsi="Arial" w:cs="Arial"/>
                <w:color w:val="000000"/>
                <w:sz w:val="18"/>
                <w:szCs w:val="18"/>
              </w:rPr>
              <w:t>Dashboard, Export, etc.</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2D3AAA8"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D46BB15"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D83FC7A"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B79CB15"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A70BAB9" w14:textId="77777777" w:rsidR="00C01674" w:rsidRDefault="00C01674"/>
        </w:tc>
      </w:tr>
      <w:tr w:rsidR="00C01674" w14:paraId="439165A7"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EC0028F" w14:textId="77777777" w:rsidR="00C01674" w:rsidRDefault="00C01674">
            <w:pPr>
              <w:pStyle w:val="StandardWeb"/>
              <w:spacing w:before="240" w:after="240"/>
              <w:jc w:val="center"/>
            </w:pPr>
            <w:r>
              <w:rPr>
                <w:rFonts w:ascii="Arial" w:hAnsi="Arial" w:cs="Arial"/>
                <w:color w:val="000000"/>
                <w:sz w:val="18"/>
                <w:szCs w:val="18"/>
              </w:rPr>
              <w:t>Datenformat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72F09E1" w14:textId="77777777" w:rsidR="00C01674" w:rsidRDefault="00C01674">
            <w:pPr>
              <w:pStyle w:val="StandardWeb"/>
              <w:spacing w:before="240" w:after="240"/>
              <w:jc w:val="center"/>
            </w:pPr>
            <w:r>
              <w:rPr>
                <w:rFonts w:ascii="Arial" w:hAnsi="Arial" w:cs="Arial"/>
                <w:color w:val="000000"/>
                <w:sz w:val="18"/>
                <w:szCs w:val="18"/>
              </w:rPr>
              <w:t>Strukturierte, maschinenlesbare Formate</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29AE617"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B79C2AA"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92DEA71"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187E677"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5A12EE8" w14:textId="77777777" w:rsidR="00C01674" w:rsidRDefault="00C01674"/>
        </w:tc>
      </w:tr>
      <w:tr w:rsidR="00C01674" w14:paraId="1B2B8D8A"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BF59CBF" w14:textId="77777777" w:rsidR="00C01674" w:rsidRDefault="00C01674">
            <w:pPr>
              <w:pStyle w:val="StandardWeb"/>
              <w:spacing w:before="240" w:after="240"/>
              <w:jc w:val="center"/>
            </w:pPr>
            <w:r>
              <w:rPr>
                <w:rFonts w:ascii="Arial" w:hAnsi="Arial" w:cs="Arial"/>
                <w:color w:val="000000"/>
                <w:sz w:val="18"/>
                <w:szCs w:val="18"/>
              </w:rPr>
              <w:t>Kostenfreiheit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88B2680" w14:textId="77777777" w:rsidR="00C01674" w:rsidRDefault="00C01674">
            <w:pPr>
              <w:pStyle w:val="StandardWeb"/>
              <w:spacing w:before="240" w:after="240"/>
              <w:jc w:val="center"/>
            </w:pPr>
            <w:r>
              <w:rPr>
                <w:rFonts w:ascii="Arial" w:hAnsi="Arial" w:cs="Arial"/>
                <w:color w:val="000000"/>
                <w:sz w:val="18"/>
                <w:szCs w:val="18"/>
              </w:rPr>
              <w:t>Zugang kostenlos oder kostenpflichtig</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D50D18B"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083A18E"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4D9992E"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AD65653"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BBA751C" w14:textId="77777777" w:rsidR="00C01674" w:rsidRDefault="00C01674"/>
        </w:tc>
      </w:tr>
      <w:tr w:rsidR="00C01674" w14:paraId="3F44ADC9"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0E19CDB" w14:textId="77777777" w:rsidR="00C01674" w:rsidRDefault="00C01674">
            <w:pPr>
              <w:pStyle w:val="StandardWeb"/>
              <w:spacing w:before="240" w:after="240"/>
              <w:jc w:val="center"/>
            </w:pPr>
            <w:r>
              <w:rPr>
                <w:rFonts w:ascii="Arial" w:hAnsi="Arial" w:cs="Arial"/>
                <w:color w:val="000000"/>
                <w:sz w:val="18"/>
                <w:szCs w:val="18"/>
              </w:rPr>
              <w:t>Kontrolle &amp; Sicherheit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A4B6077" w14:textId="77777777" w:rsidR="00C01674" w:rsidRDefault="00C01674">
            <w:pPr>
              <w:pStyle w:val="StandardWeb"/>
              <w:spacing w:before="240" w:after="240"/>
              <w:jc w:val="center"/>
            </w:pPr>
            <w:r>
              <w:rPr>
                <w:rFonts w:ascii="Arial" w:hAnsi="Arial" w:cs="Arial"/>
                <w:color w:val="000000"/>
                <w:sz w:val="18"/>
                <w:szCs w:val="18"/>
              </w:rPr>
              <w:t>Zugriffskontrolle und Freigaben</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8C08614"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CE486BA"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6118921"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9C67EB2"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EF745FD" w14:textId="77777777" w:rsidR="00C01674" w:rsidRDefault="00C01674"/>
        </w:tc>
      </w:tr>
      <w:tr w:rsidR="00C01674" w14:paraId="77768465"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8CBDEAC" w14:textId="77777777" w:rsidR="00C01674" w:rsidRDefault="00C01674">
            <w:pPr>
              <w:pStyle w:val="StandardWeb"/>
              <w:spacing w:before="240" w:after="240"/>
              <w:jc w:val="center"/>
            </w:pPr>
            <w:r>
              <w:rPr>
                <w:rFonts w:ascii="Arial" w:hAnsi="Arial" w:cs="Arial"/>
                <w:color w:val="000000"/>
                <w:sz w:val="18"/>
                <w:szCs w:val="18"/>
              </w:rPr>
              <w:t>Schnittstellen (APIs)</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02A407A" w14:textId="77777777" w:rsidR="00C01674" w:rsidRDefault="00C01674">
            <w:pPr>
              <w:pStyle w:val="StandardWeb"/>
              <w:spacing w:before="240" w:after="240"/>
              <w:jc w:val="center"/>
            </w:pPr>
            <w:r>
              <w:rPr>
                <w:rFonts w:ascii="Arial" w:hAnsi="Arial" w:cs="Arial"/>
                <w:color w:val="000000"/>
                <w:sz w:val="18"/>
                <w:szCs w:val="18"/>
              </w:rPr>
              <w:t>Automatisierter Zugriff</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FF879E8"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A69C791"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71A037B"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C045EA0"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EAEEAE7" w14:textId="77777777" w:rsidR="00C01674" w:rsidRDefault="00C01674"/>
        </w:tc>
      </w:tr>
    </w:tbl>
    <w:p w14:paraId="18C206C9" w14:textId="77777777" w:rsidR="00C01674" w:rsidRDefault="00C01674" w:rsidP="00C01674">
      <w:pPr>
        <w:rPr>
          <w:color w:val="000000"/>
        </w:rPr>
      </w:pPr>
    </w:p>
    <w:p w14:paraId="668B1CAB" w14:textId="77777777" w:rsidR="00C01674" w:rsidRDefault="00C01674" w:rsidP="00C01674">
      <w:pPr>
        <w:pStyle w:val="berschrift3"/>
        <w:spacing w:before="320" w:after="80"/>
        <w:rPr>
          <w:color w:val="000000"/>
        </w:rPr>
      </w:pPr>
      <w:r>
        <w:rPr>
          <w:b w:val="0"/>
          <w:bCs w:val="0"/>
          <w:color w:val="434343"/>
          <w:sz w:val="28"/>
          <w:szCs w:val="28"/>
        </w:rPr>
        <w:t>D. Auffindbarkeit und praktische Nutzbarkeit</w:t>
      </w:r>
    </w:p>
    <w:tbl>
      <w:tblPr>
        <w:tblW w:w="0" w:type="auto"/>
        <w:tblCellMar>
          <w:top w:w="15" w:type="dxa"/>
          <w:left w:w="15" w:type="dxa"/>
          <w:bottom w:w="15" w:type="dxa"/>
          <w:right w:w="15" w:type="dxa"/>
        </w:tblCellMar>
        <w:tblLook w:val="04A0" w:firstRow="1" w:lastRow="0" w:firstColumn="1" w:lastColumn="0" w:noHBand="0" w:noVBand="1"/>
      </w:tblPr>
      <w:tblGrid>
        <w:gridCol w:w="1985"/>
        <w:gridCol w:w="2273"/>
        <w:gridCol w:w="645"/>
        <w:gridCol w:w="704"/>
        <w:gridCol w:w="785"/>
        <w:gridCol w:w="1335"/>
        <w:gridCol w:w="1325"/>
      </w:tblGrid>
      <w:tr w:rsidR="00C01674" w14:paraId="7C5C068F" w14:textId="77777777">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1D7A930" w14:textId="77777777" w:rsidR="00C01674" w:rsidRDefault="00C01674">
            <w:pPr>
              <w:pStyle w:val="StandardWeb"/>
              <w:spacing w:before="240" w:after="240"/>
              <w:jc w:val="center"/>
            </w:pPr>
            <w:r>
              <w:rPr>
                <w:rFonts w:ascii="Arial" w:hAnsi="Arial" w:cs="Arial"/>
                <w:b/>
                <w:bCs/>
                <w:color w:val="000000"/>
                <w:sz w:val="18"/>
                <w:szCs w:val="18"/>
              </w:rPr>
              <w:t>Kriterium</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9823A7A" w14:textId="77777777" w:rsidR="00C01674" w:rsidRDefault="00C01674">
            <w:pPr>
              <w:pStyle w:val="StandardWeb"/>
              <w:spacing w:before="240" w:after="240"/>
              <w:jc w:val="center"/>
            </w:pPr>
            <w:r>
              <w:rPr>
                <w:rFonts w:ascii="Arial" w:hAnsi="Arial" w:cs="Arial"/>
                <w:b/>
                <w:bCs/>
                <w:color w:val="000000"/>
                <w:sz w:val="18"/>
                <w:szCs w:val="18"/>
              </w:rPr>
              <w:t>Beschreibung</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40A4253" w14:textId="77777777" w:rsidR="00C01674" w:rsidRDefault="00C01674">
            <w:pPr>
              <w:pStyle w:val="StandardWeb"/>
              <w:spacing w:before="240" w:after="240"/>
              <w:jc w:val="center"/>
            </w:pPr>
            <w:proofErr w:type="spellStart"/>
            <w:r>
              <w:rPr>
                <w:rFonts w:ascii="Arial" w:hAnsi="Arial" w:cs="Arial"/>
                <w:b/>
                <w:bCs/>
                <w:color w:val="000000"/>
                <w:sz w:val="18"/>
                <w:szCs w:val="18"/>
              </w:rPr>
              <w:t>Exists</w:t>
            </w:r>
            <w:proofErr w:type="spellEnd"/>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89F3921" w14:textId="77777777" w:rsidR="00C01674" w:rsidRDefault="00C01674">
            <w:pPr>
              <w:pStyle w:val="StandardWeb"/>
              <w:spacing w:before="240" w:after="240"/>
              <w:jc w:val="center"/>
            </w:pPr>
            <w:r>
              <w:rPr>
                <w:rFonts w:ascii="Arial" w:hAnsi="Arial" w:cs="Arial"/>
                <w:b/>
                <w:bCs/>
                <w:color w:val="000000"/>
                <w:sz w:val="18"/>
                <w:szCs w:val="18"/>
              </w:rPr>
              <w:t>Timing</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F5F6BB2" w14:textId="77777777" w:rsidR="00C01674" w:rsidRDefault="00C01674">
            <w:pPr>
              <w:pStyle w:val="StandardWeb"/>
              <w:spacing w:before="240" w:after="240"/>
              <w:jc w:val="center"/>
            </w:pPr>
            <w:r>
              <w:rPr>
                <w:rFonts w:ascii="Arial" w:hAnsi="Arial" w:cs="Arial"/>
                <w:b/>
                <w:bCs/>
                <w:color w:val="000000"/>
                <w:sz w:val="18"/>
                <w:szCs w:val="18"/>
              </w:rPr>
              <w:t>Qualität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AB37B29" w14:textId="77777777" w:rsidR="00C01674" w:rsidRDefault="00C01674">
            <w:pPr>
              <w:pStyle w:val="StandardWeb"/>
              <w:spacing w:before="240" w:after="240"/>
              <w:jc w:val="center"/>
            </w:pPr>
            <w:r>
              <w:rPr>
                <w:rFonts w:ascii="Arial" w:hAnsi="Arial" w:cs="Arial"/>
                <w:b/>
                <w:bCs/>
                <w:color w:val="000000"/>
                <w:sz w:val="18"/>
                <w:szCs w:val="18"/>
              </w:rPr>
              <w:t>Auffindbarkeit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2889228" w14:textId="77777777" w:rsidR="00C01674" w:rsidRDefault="00C01674">
            <w:pPr>
              <w:pStyle w:val="StandardWeb"/>
              <w:spacing w:before="240" w:after="240"/>
              <w:jc w:val="center"/>
            </w:pPr>
            <w:r>
              <w:rPr>
                <w:rFonts w:ascii="Arial" w:hAnsi="Arial" w:cs="Arial"/>
                <w:b/>
                <w:bCs/>
                <w:color w:val="000000"/>
                <w:sz w:val="18"/>
                <w:szCs w:val="18"/>
              </w:rPr>
              <w:t>Anmerkungen</w:t>
            </w:r>
          </w:p>
        </w:tc>
      </w:tr>
      <w:tr w:rsidR="00C01674" w14:paraId="07E52759" w14:textId="77777777">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17489B7" w14:textId="77777777" w:rsidR="00C01674" w:rsidRDefault="00C01674">
            <w:pPr>
              <w:pStyle w:val="StandardWeb"/>
              <w:spacing w:before="240" w:after="240"/>
              <w:jc w:val="center"/>
            </w:pPr>
            <w:r>
              <w:rPr>
                <w:rFonts w:ascii="Arial" w:hAnsi="Arial" w:cs="Arial"/>
                <w:color w:val="000000"/>
                <w:sz w:val="18"/>
                <w:szCs w:val="18"/>
              </w:rPr>
              <w:t>Auffindbarkeit vorvertraglicher Infos</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ED435BB" w14:textId="77777777" w:rsidR="00C01674" w:rsidRDefault="00C01674">
            <w:pPr>
              <w:pStyle w:val="StandardWeb"/>
              <w:spacing w:before="240" w:after="240"/>
              <w:jc w:val="center"/>
            </w:pPr>
            <w:r>
              <w:rPr>
                <w:rFonts w:ascii="Arial" w:hAnsi="Arial" w:cs="Arial"/>
                <w:color w:val="000000"/>
                <w:sz w:val="18"/>
                <w:szCs w:val="18"/>
              </w:rPr>
              <w:t>Platzierung im Kaufprozess</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E1E1156"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28BF83D"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EBF40DB"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A2805C7"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C724C47" w14:textId="77777777" w:rsidR="00C01674" w:rsidRDefault="00C01674"/>
        </w:tc>
      </w:tr>
      <w:tr w:rsidR="00C01674" w14:paraId="247AD863" w14:textId="77777777">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D2335DA" w14:textId="77777777" w:rsidR="00C01674" w:rsidRDefault="00C01674">
            <w:pPr>
              <w:pStyle w:val="StandardWeb"/>
              <w:spacing w:before="240" w:after="240"/>
              <w:jc w:val="center"/>
            </w:pPr>
            <w:r>
              <w:rPr>
                <w:rFonts w:ascii="Arial" w:hAnsi="Arial" w:cs="Arial"/>
                <w:color w:val="000000"/>
                <w:sz w:val="18"/>
                <w:szCs w:val="18"/>
              </w:rPr>
              <w:t>Sprachliche Verständlichkeit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AD5F90F" w14:textId="77777777" w:rsidR="00C01674" w:rsidRDefault="00C01674">
            <w:pPr>
              <w:pStyle w:val="StandardWeb"/>
              <w:spacing w:before="240" w:after="240"/>
              <w:jc w:val="center"/>
            </w:pPr>
            <w:r>
              <w:rPr>
                <w:rFonts w:ascii="Arial" w:hAnsi="Arial" w:cs="Arial"/>
                <w:color w:val="000000"/>
                <w:sz w:val="18"/>
                <w:szCs w:val="18"/>
              </w:rPr>
              <w:t>Klarheit der Darstellung</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DC0A0E0"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1E85E7C"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3A7D7BDC"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7B058554"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DD8E2A0" w14:textId="77777777" w:rsidR="00C01674" w:rsidRDefault="00C01674"/>
        </w:tc>
      </w:tr>
      <w:tr w:rsidR="00C01674" w14:paraId="53822EDC" w14:textId="77777777">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7CC13A7" w14:textId="77777777" w:rsidR="00C01674" w:rsidRDefault="00C01674">
            <w:pPr>
              <w:pStyle w:val="StandardWeb"/>
              <w:spacing w:before="240" w:after="240"/>
              <w:jc w:val="center"/>
            </w:pPr>
            <w:r>
              <w:rPr>
                <w:rFonts w:ascii="Arial" w:hAnsi="Arial" w:cs="Arial"/>
                <w:color w:val="000000"/>
                <w:sz w:val="18"/>
                <w:szCs w:val="18"/>
              </w:rPr>
              <w:t>Benutzerführung</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B1A9E4D" w14:textId="77777777" w:rsidR="00C01674" w:rsidRDefault="00C01674">
            <w:pPr>
              <w:pStyle w:val="StandardWeb"/>
              <w:spacing w:before="240" w:after="240"/>
              <w:jc w:val="center"/>
            </w:pPr>
            <w:r>
              <w:rPr>
                <w:rFonts w:ascii="Arial" w:hAnsi="Arial" w:cs="Arial"/>
                <w:color w:val="000000"/>
                <w:sz w:val="18"/>
                <w:szCs w:val="18"/>
              </w:rPr>
              <w:t>Navigation in App / Portal</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7379F08"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BDCAC14"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BC2619E"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1B27C8E3"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05261E3" w14:textId="77777777" w:rsidR="00C01674" w:rsidRDefault="00C01674"/>
        </w:tc>
      </w:tr>
      <w:tr w:rsidR="00C01674" w14:paraId="00BC09B7" w14:textId="77777777">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44C8F41" w14:textId="77777777" w:rsidR="00C01674" w:rsidRDefault="00C01674">
            <w:pPr>
              <w:pStyle w:val="StandardWeb"/>
              <w:spacing w:before="240" w:after="240"/>
              <w:jc w:val="center"/>
            </w:pPr>
            <w:r>
              <w:rPr>
                <w:rFonts w:ascii="Arial" w:hAnsi="Arial" w:cs="Arial"/>
                <w:color w:val="000000"/>
                <w:sz w:val="18"/>
                <w:szCs w:val="18"/>
              </w:rPr>
              <w:t>Dauerhafte Verfügbarkeit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8208894" w14:textId="77777777" w:rsidR="00C01674" w:rsidRDefault="00C01674">
            <w:pPr>
              <w:pStyle w:val="StandardWeb"/>
              <w:spacing w:before="240" w:after="240"/>
              <w:jc w:val="center"/>
            </w:pPr>
            <w:r>
              <w:rPr>
                <w:rFonts w:ascii="Arial" w:hAnsi="Arial" w:cs="Arial"/>
                <w:color w:val="000000"/>
                <w:sz w:val="18"/>
                <w:szCs w:val="18"/>
              </w:rPr>
              <w:t>Speicherung und Wiederauffindbarkeit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2324790C"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49448EAF"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6622BACB"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5D64FB2D"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14:paraId="0604C9BD" w14:textId="77777777" w:rsidR="00C01674" w:rsidRDefault="00C01674"/>
        </w:tc>
      </w:tr>
    </w:tbl>
    <w:p w14:paraId="48CD71D8" w14:textId="77777777" w:rsidR="00C01674" w:rsidRDefault="00C01674" w:rsidP="00C01674">
      <w:pPr>
        <w:rPr>
          <w:color w:val="000000"/>
        </w:rPr>
      </w:pPr>
    </w:p>
    <w:p w14:paraId="0C954670" w14:textId="77777777" w:rsidR="00C01674" w:rsidRDefault="00C01674" w:rsidP="00C01674">
      <w:pPr>
        <w:pStyle w:val="berschrift3"/>
        <w:spacing w:before="480" w:after="80"/>
        <w:rPr>
          <w:color w:val="000000"/>
        </w:rPr>
      </w:pPr>
      <w:r>
        <w:rPr>
          <w:b w:val="0"/>
          <w:bCs w:val="0"/>
          <w:color w:val="434343"/>
          <w:sz w:val="28"/>
          <w:szCs w:val="28"/>
        </w:rPr>
        <w:t>3.3.3 Methodische Anwendung</w:t>
      </w:r>
    </w:p>
    <w:p w14:paraId="55BBE2E5" w14:textId="77777777" w:rsidR="00C01674" w:rsidRDefault="00C01674" w:rsidP="00C01674">
      <w:pPr>
        <w:pStyle w:val="StandardWeb"/>
        <w:spacing w:before="240" w:after="240"/>
        <w:rPr>
          <w:color w:val="000000"/>
        </w:rPr>
      </w:pPr>
      <w:r>
        <w:rPr>
          <w:rFonts w:ascii="Arial" w:hAnsi="Arial" w:cs="Arial"/>
          <w:color w:val="000000"/>
          <w:sz w:val="22"/>
          <w:szCs w:val="22"/>
        </w:rPr>
        <w:t>Die Anwendung des Rasters erfolgt in vier Schritten:</w:t>
      </w:r>
    </w:p>
    <w:p w14:paraId="23FC4B7A" w14:textId="77777777" w:rsidR="00C01674" w:rsidRDefault="00C01674" w:rsidP="00C01674">
      <w:pPr>
        <w:pStyle w:val="StandardWeb"/>
        <w:numPr>
          <w:ilvl w:val="0"/>
          <w:numId w:val="26"/>
        </w:numPr>
        <w:spacing w:before="240"/>
        <w:textAlignment w:val="baseline"/>
        <w:rPr>
          <w:rFonts w:ascii="Arial" w:hAnsi="Arial" w:cs="Arial"/>
          <w:color w:val="000000"/>
          <w:sz w:val="22"/>
          <w:szCs w:val="22"/>
        </w:rPr>
      </w:pPr>
      <w:r>
        <w:rPr>
          <w:rFonts w:ascii="Arial" w:hAnsi="Arial" w:cs="Arial"/>
          <w:b/>
          <w:bCs/>
          <w:color w:val="000000"/>
          <w:sz w:val="22"/>
          <w:szCs w:val="22"/>
        </w:rPr>
        <w:t>Zuordnung der Beobachtungen</w:t>
      </w:r>
      <w:r>
        <w:rPr>
          <w:rFonts w:ascii="Arial" w:hAnsi="Arial" w:cs="Arial"/>
          <w:b/>
          <w:bCs/>
          <w:color w:val="000000"/>
          <w:sz w:val="22"/>
          <w:szCs w:val="22"/>
        </w:rPr>
        <w:br/>
      </w:r>
      <w:r>
        <w:rPr>
          <w:rFonts w:ascii="Arial" w:hAnsi="Arial" w:cs="Arial"/>
          <w:color w:val="000000"/>
          <w:sz w:val="22"/>
          <w:szCs w:val="22"/>
        </w:rPr>
        <w:t xml:space="preserve"> Alle erhobenen Informationen, Dokumente und Funktionen werden den jeweiligen Kriterien zugeordnet.</w:t>
      </w:r>
    </w:p>
    <w:p w14:paraId="20E84A75" w14:textId="77777777" w:rsidR="00C01674" w:rsidRDefault="00C01674" w:rsidP="00C01674">
      <w:pPr>
        <w:pStyle w:val="StandardWeb"/>
        <w:numPr>
          <w:ilvl w:val="0"/>
          <w:numId w:val="26"/>
        </w:numPr>
        <w:textAlignment w:val="baseline"/>
        <w:rPr>
          <w:rFonts w:ascii="Arial" w:hAnsi="Arial" w:cs="Arial"/>
          <w:color w:val="000000"/>
          <w:sz w:val="22"/>
          <w:szCs w:val="22"/>
        </w:rPr>
      </w:pPr>
      <w:r>
        <w:rPr>
          <w:rFonts w:ascii="Arial" w:hAnsi="Arial" w:cs="Arial"/>
          <w:b/>
          <w:bCs/>
          <w:color w:val="000000"/>
          <w:sz w:val="22"/>
          <w:szCs w:val="22"/>
        </w:rPr>
        <w:t>Mehrdimensionale Bewertung</w:t>
      </w:r>
      <w:r>
        <w:rPr>
          <w:rFonts w:ascii="Arial" w:hAnsi="Arial" w:cs="Arial"/>
          <w:b/>
          <w:bCs/>
          <w:color w:val="000000"/>
          <w:sz w:val="22"/>
          <w:szCs w:val="22"/>
        </w:rPr>
        <w:br/>
      </w:r>
      <w:r>
        <w:rPr>
          <w:rFonts w:ascii="Arial" w:hAnsi="Arial" w:cs="Arial"/>
          <w:color w:val="000000"/>
          <w:sz w:val="22"/>
          <w:szCs w:val="22"/>
        </w:rPr>
        <w:t xml:space="preserve"> Für jedes Kriterium erfolgt eine Bewertung entlang aller vier Dimensionen (Existenz, Timing, Qualität, Auffindbarkeit).</w:t>
      </w:r>
    </w:p>
    <w:p w14:paraId="0A7D3AC1" w14:textId="77777777" w:rsidR="00C01674" w:rsidRDefault="00C01674" w:rsidP="00C01674">
      <w:pPr>
        <w:pStyle w:val="StandardWeb"/>
        <w:numPr>
          <w:ilvl w:val="0"/>
          <w:numId w:val="26"/>
        </w:numPr>
        <w:textAlignment w:val="baseline"/>
        <w:rPr>
          <w:rFonts w:ascii="Arial" w:hAnsi="Arial" w:cs="Arial"/>
          <w:color w:val="000000"/>
          <w:sz w:val="22"/>
          <w:szCs w:val="22"/>
        </w:rPr>
      </w:pPr>
      <w:r>
        <w:rPr>
          <w:rFonts w:ascii="Arial" w:hAnsi="Arial" w:cs="Arial"/>
          <w:b/>
          <w:bCs/>
          <w:color w:val="000000"/>
          <w:sz w:val="22"/>
          <w:szCs w:val="22"/>
        </w:rPr>
        <w:t>Erstellung von Compliance-Profilen</w:t>
      </w:r>
      <w:r>
        <w:rPr>
          <w:rFonts w:ascii="Arial" w:hAnsi="Arial" w:cs="Arial"/>
          <w:b/>
          <w:bCs/>
          <w:color w:val="000000"/>
          <w:sz w:val="22"/>
          <w:szCs w:val="22"/>
        </w:rPr>
        <w:br/>
      </w:r>
      <w:r>
        <w:rPr>
          <w:rFonts w:ascii="Arial" w:hAnsi="Arial" w:cs="Arial"/>
          <w:color w:val="000000"/>
          <w:sz w:val="22"/>
          <w:szCs w:val="22"/>
        </w:rPr>
        <w:t xml:space="preserve"> Für jedes Unternehmen wird ein differenziertes Profil erstellt, das Stärken und Schwächen sichtbar macht.</w:t>
      </w:r>
    </w:p>
    <w:p w14:paraId="0143C633" w14:textId="77777777" w:rsidR="00C01674" w:rsidRDefault="00C01674" w:rsidP="00C01674">
      <w:pPr>
        <w:pStyle w:val="StandardWeb"/>
        <w:numPr>
          <w:ilvl w:val="0"/>
          <w:numId w:val="26"/>
        </w:numPr>
        <w:spacing w:after="240"/>
        <w:textAlignment w:val="baseline"/>
        <w:rPr>
          <w:rFonts w:ascii="Arial" w:hAnsi="Arial" w:cs="Arial"/>
          <w:color w:val="000000"/>
          <w:sz w:val="22"/>
          <w:szCs w:val="22"/>
        </w:rPr>
      </w:pPr>
      <w:r>
        <w:rPr>
          <w:rFonts w:ascii="Arial" w:hAnsi="Arial" w:cs="Arial"/>
          <w:b/>
          <w:bCs/>
          <w:color w:val="000000"/>
          <w:sz w:val="22"/>
          <w:szCs w:val="22"/>
        </w:rPr>
        <w:t>Vergleichende Analyse</w:t>
      </w:r>
      <w:r>
        <w:rPr>
          <w:rFonts w:ascii="Arial" w:hAnsi="Arial" w:cs="Arial"/>
          <w:b/>
          <w:bCs/>
          <w:color w:val="000000"/>
          <w:sz w:val="22"/>
          <w:szCs w:val="22"/>
        </w:rPr>
        <w:br/>
      </w:r>
      <w:r>
        <w:rPr>
          <w:rFonts w:ascii="Arial" w:hAnsi="Arial" w:cs="Arial"/>
          <w:color w:val="000000"/>
          <w:sz w:val="22"/>
          <w:szCs w:val="22"/>
        </w:rPr>
        <w:t xml:space="preserve"> Die Ergebnisse werden vergleichend ausgewertet, um strukturelle Unterschiede in der Umsetzung des Art. 3 Data Act zu identifizieren.</w:t>
      </w:r>
    </w:p>
    <w:p w14:paraId="7B2470BB" w14:textId="40059EE9" w:rsidR="00C01674" w:rsidRDefault="00000000">
      <w:pPr>
        <w:pStyle w:val="berschrift2"/>
      </w:pPr>
      <w:r>
        <w:t>3.4 Durchführung und Auswertung</w:t>
      </w:r>
      <w:bookmarkEnd w:id="17"/>
    </w:p>
    <w:p w14:paraId="4CCECA7B" w14:textId="77777777" w:rsidR="00C01674" w:rsidRDefault="00C01674" w:rsidP="00C01674">
      <w:pPr>
        <w:pStyle w:val="StandardWeb"/>
        <w:spacing w:before="240" w:after="240"/>
        <w:rPr>
          <w:color w:val="000000"/>
        </w:rPr>
      </w:pPr>
      <w:r>
        <w:rPr>
          <w:rFonts w:ascii="Arial" w:hAnsi="Arial" w:cs="Arial"/>
          <w:color w:val="000000"/>
          <w:sz w:val="22"/>
          <w:szCs w:val="22"/>
        </w:rPr>
        <w:t>Die Anwendung des entwickelten Compliance-Analyse-Rasters erfolgt im Rahmen eines strukturierten empirischen Vorgehens, das darauf abzielt, die Umsetzung der Anforderungen aus Art. 3 Data Act in ausgewählten IoT-Ökosystemen systematisch zu untersuchen und vergleichbar zu machen.</w:t>
      </w:r>
    </w:p>
    <w:p w14:paraId="343AA0A2" w14:textId="77777777" w:rsidR="00C01674" w:rsidRDefault="00C01674" w:rsidP="00C01674">
      <w:pPr>
        <w:pStyle w:val="berschrift3"/>
        <w:spacing w:before="320" w:after="80"/>
        <w:rPr>
          <w:color w:val="000000"/>
        </w:rPr>
      </w:pPr>
      <w:r>
        <w:rPr>
          <w:b w:val="0"/>
          <w:bCs w:val="0"/>
          <w:color w:val="434343"/>
          <w:sz w:val="28"/>
          <w:szCs w:val="28"/>
        </w:rPr>
        <w:t>3.4.1 Durchführung der Analyse</w:t>
      </w:r>
    </w:p>
    <w:p w14:paraId="4831396C" w14:textId="77777777" w:rsidR="00C01674" w:rsidRDefault="00C01674" w:rsidP="00C01674">
      <w:pPr>
        <w:pStyle w:val="StandardWeb"/>
        <w:spacing w:before="240" w:after="240"/>
        <w:rPr>
          <w:color w:val="000000"/>
        </w:rPr>
      </w:pPr>
      <w:r>
        <w:rPr>
          <w:rFonts w:ascii="Arial" w:hAnsi="Arial" w:cs="Arial"/>
          <w:color w:val="000000"/>
          <w:sz w:val="22"/>
          <w:szCs w:val="22"/>
        </w:rPr>
        <w:t>Die Analyse basiert auf einer qualitativen Untersuchung der Angebote der Unternehmen Amazon, Bosch, Deutsche Telekom und Google. Diese Auswahl ermöglicht die Betrachtung unterschiedlicher Marktrollen (Plattformanbieter, Gerätehersteller, integrierte Ökosysteme) und damit eine differenzierte Analyse der praktischen Umsetzung des Data Act.</w:t>
      </w:r>
    </w:p>
    <w:p w14:paraId="2374C485" w14:textId="77777777" w:rsidR="00C01674" w:rsidRDefault="00C01674" w:rsidP="00C01674">
      <w:pPr>
        <w:pStyle w:val="StandardWeb"/>
        <w:spacing w:before="240" w:after="240"/>
        <w:rPr>
          <w:color w:val="000000"/>
        </w:rPr>
      </w:pPr>
      <w:r>
        <w:rPr>
          <w:rFonts w:ascii="Arial" w:hAnsi="Arial" w:cs="Arial"/>
          <w:color w:val="000000"/>
          <w:sz w:val="22"/>
          <w:szCs w:val="22"/>
        </w:rPr>
        <w:t xml:space="preserve">Die Datenerhebung erfolgt entlang einer simulierten </w:t>
      </w:r>
      <w:r>
        <w:rPr>
          <w:rFonts w:ascii="Arial" w:hAnsi="Arial" w:cs="Arial"/>
          <w:b/>
          <w:bCs/>
          <w:color w:val="000000"/>
          <w:sz w:val="22"/>
          <w:szCs w:val="22"/>
        </w:rPr>
        <w:t>Nutzerperspektive</w:t>
      </w:r>
      <w:r>
        <w:rPr>
          <w:rFonts w:ascii="Arial" w:hAnsi="Arial" w:cs="Arial"/>
          <w:color w:val="000000"/>
          <w:sz w:val="22"/>
          <w:szCs w:val="22"/>
        </w:rPr>
        <w:t>, indem der typische Ablauf eines Nutzers nachvollzogen wird. Dieser umfasst insbesondere:</w:t>
      </w:r>
    </w:p>
    <w:p w14:paraId="51A3E574" w14:textId="77777777" w:rsidR="00C01674" w:rsidRDefault="00C01674" w:rsidP="00C01674">
      <w:pPr>
        <w:pStyle w:val="StandardWeb"/>
        <w:numPr>
          <w:ilvl w:val="0"/>
          <w:numId w:val="27"/>
        </w:numPr>
        <w:spacing w:before="240"/>
        <w:textAlignment w:val="baseline"/>
        <w:rPr>
          <w:rFonts w:ascii="Arial" w:hAnsi="Arial" w:cs="Arial"/>
          <w:color w:val="000000"/>
          <w:sz w:val="22"/>
          <w:szCs w:val="22"/>
        </w:rPr>
      </w:pPr>
      <w:r>
        <w:rPr>
          <w:rFonts w:ascii="Arial" w:hAnsi="Arial" w:cs="Arial"/>
          <w:color w:val="000000"/>
          <w:sz w:val="22"/>
          <w:szCs w:val="22"/>
        </w:rPr>
        <w:t>die Informationssuche vor Vertragsschluss,</w:t>
      </w:r>
    </w:p>
    <w:p w14:paraId="17A66364" w14:textId="77777777" w:rsidR="00C01674" w:rsidRDefault="00C01674" w:rsidP="00C01674">
      <w:pPr>
        <w:pStyle w:val="StandardWeb"/>
        <w:numPr>
          <w:ilvl w:val="0"/>
          <w:numId w:val="27"/>
        </w:numPr>
        <w:textAlignment w:val="baseline"/>
        <w:rPr>
          <w:rFonts w:ascii="Arial" w:hAnsi="Arial" w:cs="Arial"/>
          <w:color w:val="000000"/>
          <w:sz w:val="22"/>
          <w:szCs w:val="22"/>
        </w:rPr>
      </w:pPr>
      <w:r>
        <w:rPr>
          <w:rFonts w:ascii="Arial" w:hAnsi="Arial" w:cs="Arial"/>
          <w:color w:val="000000"/>
          <w:sz w:val="22"/>
          <w:szCs w:val="22"/>
        </w:rPr>
        <w:t>den Kauf- bzw. Registrierungsprozess sowie</w:t>
      </w:r>
    </w:p>
    <w:p w14:paraId="653FBB68" w14:textId="77777777" w:rsidR="00C01674" w:rsidRDefault="00C01674" w:rsidP="00C01674">
      <w:pPr>
        <w:pStyle w:val="StandardWeb"/>
        <w:numPr>
          <w:ilvl w:val="0"/>
          <w:numId w:val="27"/>
        </w:numPr>
        <w:spacing w:after="240"/>
        <w:textAlignment w:val="baseline"/>
        <w:rPr>
          <w:rFonts w:ascii="Arial" w:hAnsi="Arial" w:cs="Arial"/>
          <w:color w:val="000000"/>
          <w:sz w:val="22"/>
          <w:szCs w:val="22"/>
        </w:rPr>
      </w:pPr>
      <w:r>
        <w:rPr>
          <w:rFonts w:ascii="Arial" w:hAnsi="Arial" w:cs="Arial"/>
          <w:color w:val="000000"/>
          <w:sz w:val="22"/>
          <w:szCs w:val="22"/>
        </w:rPr>
        <w:t>die Nutzung der zugehörigen digitalen Dienste (Apps, Webportale).</w:t>
      </w:r>
    </w:p>
    <w:p w14:paraId="59057AF1" w14:textId="77777777" w:rsidR="00C01674" w:rsidRDefault="00C01674" w:rsidP="00C01674">
      <w:pPr>
        <w:pStyle w:val="StandardWeb"/>
        <w:spacing w:before="240" w:after="240"/>
        <w:rPr>
          <w:color w:val="000000"/>
        </w:rPr>
      </w:pPr>
      <w:r>
        <w:rPr>
          <w:rFonts w:ascii="Arial" w:hAnsi="Arial" w:cs="Arial"/>
          <w:color w:val="000000"/>
          <w:sz w:val="22"/>
          <w:szCs w:val="22"/>
        </w:rPr>
        <w:t xml:space="preserve">Untersucht werden dabei sämtliche relevanten Informationsquellen, insbesondere Produktseiten, Vertragsunterlagen, Datenschutzerklärungen sowie die funktionalen Benutzeroberflächen. Ziel ist es, sowohl die </w:t>
      </w:r>
      <w:r>
        <w:rPr>
          <w:rFonts w:ascii="Arial" w:hAnsi="Arial" w:cs="Arial"/>
          <w:b/>
          <w:bCs/>
          <w:color w:val="000000"/>
          <w:sz w:val="22"/>
          <w:szCs w:val="22"/>
        </w:rPr>
        <w:t>formale Bereitstellung der Informationen</w:t>
      </w:r>
      <w:r>
        <w:rPr>
          <w:rFonts w:ascii="Arial" w:hAnsi="Arial" w:cs="Arial"/>
          <w:color w:val="000000"/>
          <w:sz w:val="22"/>
          <w:szCs w:val="22"/>
        </w:rPr>
        <w:t xml:space="preserve"> als auch deren </w:t>
      </w:r>
      <w:r>
        <w:rPr>
          <w:rFonts w:ascii="Arial" w:hAnsi="Arial" w:cs="Arial"/>
          <w:b/>
          <w:bCs/>
          <w:color w:val="000000"/>
          <w:sz w:val="22"/>
          <w:szCs w:val="22"/>
        </w:rPr>
        <w:t>praktische Zugänglichkeit und Nutzbarkeit</w:t>
      </w:r>
      <w:r>
        <w:rPr>
          <w:rFonts w:ascii="Arial" w:hAnsi="Arial" w:cs="Arial"/>
          <w:color w:val="000000"/>
          <w:sz w:val="22"/>
          <w:szCs w:val="22"/>
        </w:rPr>
        <w:t xml:space="preserve"> zu erfassen.</w:t>
      </w:r>
    </w:p>
    <w:p w14:paraId="424A5A8C" w14:textId="77777777" w:rsidR="00C01674" w:rsidRDefault="00C01674" w:rsidP="00C01674">
      <w:pPr>
        <w:pStyle w:val="StandardWeb"/>
        <w:spacing w:before="240" w:after="240"/>
        <w:rPr>
          <w:color w:val="000000"/>
        </w:rPr>
      </w:pPr>
      <w:r>
        <w:rPr>
          <w:rFonts w:ascii="Arial" w:hAnsi="Arial" w:cs="Arial"/>
          <w:color w:val="000000"/>
          <w:sz w:val="22"/>
          <w:szCs w:val="22"/>
        </w:rPr>
        <w:t>Zur Sicherstellung der Nachvollziehbarkeit werden alle relevanten Beobachtungen dokumentiert und den jeweiligen Prüfkriterien des Rasters zugeordnet. Die Bewertung erfolgt evidenzbasiert, das heißt jede Einschätzung stützt sich auf konkret identifizierbare Inhalte oder Funktionen.</w:t>
      </w:r>
    </w:p>
    <w:p w14:paraId="39809563" w14:textId="77777777" w:rsidR="00C01674" w:rsidRDefault="00C01674" w:rsidP="00C01674">
      <w:pPr>
        <w:pStyle w:val="berschrift3"/>
        <w:spacing w:before="320" w:after="80"/>
        <w:rPr>
          <w:color w:val="000000"/>
        </w:rPr>
      </w:pPr>
      <w:r>
        <w:rPr>
          <w:b w:val="0"/>
          <w:bCs w:val="0"/>
          <w:color w:val="434343"/>
          <w:sz w:val="28"/>
          <w:szCs w:val="28"/>
        </w:rPr>
        <w:t>3.4.2 Anwendung des Bewertungsrasters</w:t>
      </w:r>
    </w:p>
    <w:p w14:paraId="14EFB95B" w14:textId="77777777" w:rsidR="00C01674" w:rsidRDefault="00C01674" w:rsidP="00C01674">
      <w:pPr>
        <w:pStyle w:val="StandardWeb"/>
        <w:spacing w:before="240" w:after="240"/>
        <w:rPr>
          <w:color w:val="000000"/>
        </w:rPr>
      </w:pPr>
      <w:r>
        <w:rPr>
          <w:rFonts w:ascii="Arial" w:hAnsi="Arial" w:cs="Arial"/>
          <w:color w:val="000000"/>
          <w:sz w:val="22"/>
          <w:szCs w:val="22"/>
        </w:rPr>
        <w:lastRenderedPageBreak/>
        <w:t>Im Anschluss an die Datenerhebung werden die identifizierten Informationen und Funktionen systematisch anhand des entwickelten Rasters bewertet. Für jedes Prüfkriterium erfolgt eine mehrdimensionale Bewertung entlang der vier Dimensionen:</w:t>
      </w:r>
    </w:p>
    <w:p w14:paraId="4BA688FD" w14:textId="77777777" w:rsidR="00C01674" w:rsidRDefault="00C01674" w:rsidP="00C01674">
      <w:pPr>
        <w:pStyle w:val="StandardWeb"/>
        <w:numPr>
          <w:ilvl w:val="0"/>
          <w:numId w:val="28"/>
        </w:numPr>
        <w:spacing w:before="240"/>
        <w:textAlignment w:val="baseline"/>
        <w:rPr>
          <w:rFonts w:ascii="Arial" w:hAnsi="Arial" w:cs="Arial"/>
          <w:color w:val="000000"/>
          <w:sz w:val="22"/>
          <w:szCs w:val="22"/>
        </w:rPr>
      </w:pPr>
      <w:r>
        <w:rPr>
          <w:rFonts w:ascii="Arial" w:hAnsi="Arial" w:cs="Arial"/>
          <w:color w:val="000000"/>
          <w:sz w:val="22"/>
          <w:szCs w:val="22"/>
        </w:rPr>
        <w:t>inhaltliche Erfüllung (0–2),</w:t>
      </w:r>
    </w:p>
    <w:p w14:paraId="4EE21CD6" w14:textId="77777777" w:rsidR="00C01674" w:rsidRDefault="00C01674" w:rsidP="00C01674">
      <w:pPr>
        <w:pStyle w:val="StandardWeb"/>
        <w:numPr>
          <w:ilvl w:val="0"/>
          <w:numId w:val="28"/>
        </w:numPr>
        <w:textAlignment w:val="baseline"/>
        <w:rPr>
          <w:rFonts w:ascii="Arial" w:hAnsi="Arial" w:cs="Arial"/>
          <w:color w:val="000000"/>
          <w:sz w:val="22"/>
          <w:szCs w:val="22"/>
        </w:rPr>
      </w:pPr>
      <w:r>
        <w:rPr>
          <w:rFonts w:ascii="Arial" w:hAnsi="Arial" w:cs="Arial"/>
          <w:color w:val="000000"/>
          <w:sz w:val="22"/>
          <w:szCs w:val="22"/>
        </w:rPr>
        <w:t>zeitliche Bereitstellung („vor Abschluss“) (0–3),</w:t>
      </w:r>
    </w:p>
    <w:p w14:paraId="53793028" w14:textId="77777777" w:rsidR="00C01674" w:rsidRDefault="00C01674" w:rsidP="00C01674">
      <w:pPr>
        <w:pStyle w:val="StandardWeb"/>
        <w:numPr>
          <w:ilvl w:val="0"/>
          <w:numId w:val="28"/>
        </w:numPr>
        <w:textAlignment w:val="baseline"/>
        <w:rPr>
          <w:rFonts w:ascii="Arial" w:hAnsi="Arial" w:cs="Arial"/>
          <w:color w:val="000000"/>
          <w:sz w:val="22"/>
          <w:szCs w:val="22"/>
        </w:rPr>
      </w:pPr>
      <w:r>
        <w:rPr>
          <w:rFonts w:ascii="Arial" w:hAnsi="Arial" w:cs="Arial"/>
          <w:color w:val="000000"/>
          <w:sz w:val="22"/>
          <w:szCs w:val="22"/>
        </w:rPr>
        <w:t>Qualität und Verständlichkeit (1–5),</w:t>
      </w:r>
    </w:p>
    <w:p w14:paraId="6B395661" w14:textId="77777777" w:rsidR="00C01674" w:rsidRDefault="00C01674" w:rsidP="00C01674">
      <w:pPr>
        <w:pStyle w:val="StandardWeb"/>
        <w:numPr>
          <w:ilvl w:val="0"/>
          <w:numId w:val="28"/>
        </w:numPr>
        <w:spacing w:after="240"/>
        <w:textAlignment w:val="baseline"/>
        <w:rPr>
          <w:rFonts w:ascii="Arial" w:hAnsi="Arial" w:cs="Arial"/>
          <w:color w:val="000000"/>
          <w:sz w:val="22"/>
          <w:szCs w:val="22"/>
        </w:rPr>
      </w:pPr>
      <w:r>
        <w:rPr>
          <w:rFonts w:ascii="Arial" w:hAnsi="Arial" w:cs="Arial"/>
          <w:color w:val="000000"/>
          <w:sz w:val="22"/>
          <w:szCs w:val="22"/>
        </w:rPr>
        <w:t>Auffindbarkeit und Usability (1–5).</w:t>
      </w:r>
    </w:p>
    <w:p w14:paraId="11B3BE01" w14:textId="77777777" w:rsidR="00C01674" w:rsidRDefault="00C01674" w:rsidP="00C01674">
      <w:pPr>
        <w:pStyle w:val="StandardWeb"/>
        <w:spacing w:before="240" w:after="240"/>
        <w:rPr>
          <w:color w:val="000000"/>
        </w:rPr>
      </w:pPr>
      <w:r>
        <w:rPr>
          <w:rFonts w:ascii="Arial" w:hAnsi="Arial" w:cs="Arial"/>
          <w:color w:val="000000"/>
          <w:sz w:val="22"/>
          <w:szCs w:val="22"/>
        </w:rPr>
        <w:t>Die Bewertung erfolgt auf Grundlage der dokumentierten Beobachtungen und wird jeweils kurz begründet, um die intersubjektive Nachvollziehbarkeit zu erhöhen. Auf diese Weise wird sichergestellt, dass die Analyse nicht nur strukturiert, sondern auch transparent und überprüfbar ist.</w:t>
      </w:r>
    </w:p>
    <w:p w14:paraId="378CDC18" w14:textId="77777777" w:rsidR="00C01674" w:rsidRDefault="00C01674" w:rsidP="00C01674">
      <w:pPr>
        <w:pStyle w:val="berschrift3"/>
        <w:spacing w:before="320" w:after="80"/>
        <w:rPr>
          <w:color w:val="000000"/>
        </w:rPr>
      </w:pPr>
      <w:r>
        <w:rPr>
          <w:b w:val="0"/>
          <w:bCs w:val="0"/>
          <w:color w:val="434343"/>
          <w:sz w:val="28"/>
          <w:szCs w:val="28"/>
        </w:rPr>
        <w:t>3.4.3 Aggregation der Ergebnisse</w:t>
      </w:r>
    </w:p>
    <w:p w14:paraId="31E4533F" w14:textId="77777777" w:rsidR="00C01674" w:rsidRDefault="00C01674" w:rsidP="00C01674">
      <w:pPr>
        <w:pStyle w:val="StandardWeb"/>
        <w:spacing w:before="240" w:after="240"/>
        <w:rPr>
          <w:color w:val="000000"/>
        </w:rPr>
      </w:pPr>
      <w:r>
        <w:rPr>
          <w:rFonts w:ascii="Arial" w:hAnsi="Arial" w:cs="Arial"/>
          <w:color w:val="000000"/>
          <w:sz w:val="22"/>
          <w:szCs w:val="22"/>
        </w:rPr>
        <w:t xml:space="preserve">Zur Auswertung werden die Einzelbewertungen auf Ebene der einzelnen Prüfkriterien zu aggregierten Kennwerten zusammengeführt. Hierzu wird für jede der vier Dimensionen ein </w:t>
      </w:r>
      <w:r>
        <w:rPr>
          <w:rFonts w:ascii="Arial" w:hAnsi="Arial" w:cs="Arial"/>
          <w:b/>
          <w:bCs/>
          <w:color w:val="000000"/>
          <w:sz w:val="22"/>
          <w:szCs w:val="22"/>
        </w:rPr>
        <w:t>arithmetischer Mittelwert</w:t>
      </w:r>
      <w:r>
        <w:rPr>
          <w:rFonts w:ascii="Arial" w:hAnsi="Arial" w:cs="Arial"/>
          <w:color w:val="000000"/>
          <w:sz w:val="22"/>
          <w:szCs w:val="22"/>
        </w:rPr>
        <w:t xml:space="preserve"> über alle zugehörigen Kriterien gebildet.</w:t>
      </w:r>
    </w:p>
    <w:p w14:paraId="1F5A5927" w14:textId="77777777" w:rsidR="00C01674" w:rsidRDefault="00C01674" w:rsidP="00C01674">
      <w:pPr>
        <w:pStyle w:val="StandardWeb"/>
        <w:spacing w:before="240" w:after="240"/>
        <w:rPr>
          <w:color w:val="000000"/>
        </w:rPr>
      </w:pPr>
      <w:r>
        <w:rPr>
          <w:rFonts w:ascii="Arial" w:hAnsi="Arial" w:cs="Arial"/>
          <w:color w:val="000000"/>
          <w:sz w:val="22"/>
          <w:szCs w:val="22"/>
        </w:rPr>
        <w:t>Die Verwendung von Mittelwerten erfüllt dabei mehrere methodische Funktionen:</w:t>
      </w:r>
    </w:p>
    <w:p w14:paraId="681AE8A9" w14:textId="77777777" w:rsidR="00C01674" w:rsidRDefault="00C01674" w:rsidP="00C01674">
      <w:pPr>
        <w:pStyle w:val="StandardWeb"/>
        <w:spacing w:before="240" w:after="240"/>
        <w:rPr>
          <w:color w:val="000000"/>
        </w:rPr>
      </w:pPr>
      <w:r>
        <w:rPr>
          <w:rFonts w:ascii="Arial" w:hAnsi="Arial" w:cs="Arial"/>
          <w:color w:val="000000"/>
          <w:sz w:val="22"/>
          <w:szCs w:val="22"/>
        </w:rPr>
        <w:t xml:space="preserve">Erstens ermöglicht sie eine </w:t>
      </w:r>
      <w:r>
        <w:rPr>
          <w:rFonts w:ascii="Arial" w:hAnsi="Arial" w:cs="Arial"/>
          <w:b/>
          <w:bCs/>
          <w:color w:val="000000"/>
          <w:sz w:val="22"/>
          <w:szCs w:val="22"/>
        </w:rPr>
        <w:t>Verdichtung der komplexen Einzelbewertungen</w:t>
      </w:r>
      <w:r>
        <w:rPr>
          <w:rFonts w:ascii="Arial" w:hAnsi="Arial" w:cs="Arial"/>
          <w:color w:val="000000"/>
          <w:sz w:val="22"/>
          <w:szCs w:val="22"/>
        </w:rPr>
        <w:t xml:space="preserve"> zu übersichtlichen Vergleichsgrößen. Zweitens trägt sie dazu bei, die in den qualitativen Bewertungen enthaltene </w:t>
      </w:r>
      <w:r>
        <w:rPr>
          <w:rFonts w:ascii="Arial" w:hAnsi="Arial" w:cs="Arial"/>
          <w:b/>
          <w:bCs/>
          <w:color w:val="000000"/>
          <w:sz w:val="22"/>
          <w:szCs w:val="22"/>
        </w:rPr>
        <w:t>Subjektivität teilweise auszugleichen</w:t>
      </w:r>
      <w:r>
        <w:rPr>
          <w:rFonts w:ascii="Arial" w:hAnsi="Arial" w:cs="Arial"/>
          <w:color w:val="000000"/>
          <w:sz w:val="22"/>
          <w:szCs w:val="22"/>
        </w:rPr>
        <w:t>, da einzelne strengere oder großzügigere Bewertungen durch die Aggregation relativiert werden. Drittens erlaubt sie eine systematische Gegenüberstellung der untersuchten Unternehmen entlang zentraler Dimensionen wie Transparenz, Verständlichkeit und praktischer Zugänglichkeit.</w:t>
      </w:r>
    </w:p>
    <w:p w14:paraId="6B5C7DC6" w14:textId="77777777" w:rsidR="00C01674" w:rsidRDefault="00C01674" w:rsidP="00C01674">
      <w:pPr>
        <w:pStyle w:val="StandardWeb"/>
        <w:spacing w:before="240" w:after="240"/>
        <w:rPr>
          <w:color w:val="000000"/>
        </w:rPr>
      </w:pPr>
      <w:r>
        <w:rPr>
          <w:rFonts w:ascii="Arial" w:hAnsi="Arial" w:cs="Arial"/>
          <w:color w:val="000000"/>
          <w:sz w:val="22"/>
          <w:szCs w:val="22"/>
        </w:rPr>
        <w:t xml:space="preserve">Für jedes Unternehmen entsteht auf diese Weise ein </w:t>
      </w:r>
      <w:r>
        <w:rPr>
          <w:rFonts w:ascii="Arial" w:hAnsi="Arial" w:cs="Arial"/>
          <w:b/>
          <w:bCs/>
          <w:color w:val="000000"/>
          <w:sz w:val="22"/>
          <w:szCs w:val="22"/>
        </w:rPr>
        <w:t>dimensionsbezogenes Compliance-Profil</w:t>
      </w:r>
      <w:r>
        <w:rPr>
          <w:rFonts w:ascii="Arial" w:hAnsi="Arial" w:cs="Arial"/>
          <w:color w:val="000000"/>
          <w:sz w:val="22"/>
          <w:szCs w:val="22"/>
        </w:rPr>
        <w:t>, das sichtbar macht, in welchen Bereichen die Anforderungen des Art. 3 Data Act eher erfüllt werden und wo Defizite bestehen.</w:t>
      </w:r>
    </w:p>
    <w:p w14:paraId="565201B9" w14:textId="77777777" w:rsidR="00C01674" w:rsidRDefault="00C01674" w:rsidP="00C01674">
      <w:pPr>
        <w:pStyle w:val="berschrift3"/>
        <w:spacing w:before="320" w:after="80"/>
        <w:rPr>
          <w:color w:val="000000"/>
        </w:rPr>
      </w:pPr>
      <w:r>
        <w:rPr>
          <w:b w:val="0"/>
          <w:bCs w:val="0"/>
          <w:color w:val="434343"/>
          <w:sz w:val="28"/>
          <w:szCs w:val="28"/>
        </w:rPr>
        <w:t>3.4.4 Vergleichende Auswertung</w:t>
      </w:r>
    </w:p>
    <w:p w14:paraId="23190C85" w14:textId="77777777" w:rsidR="00C01674" w:rsidRDefault="00C01674" w:rsidP="00C01674">
      <w:pPr>
        <w:pStyle w:val="StandardWeb"/>
        <w:spacing w:before="240" w:after="240"/>
        <w:rPr>
          <w:color w:val="000000"/>
        </w:rPr>
      </w:pPr>
      <w:r>
        <w:rPr>
          <w:rFonts w:ascii="Arial" w:hAnsi="Arial" w:cs="Arial"/>
          <w:color w:val="000000"/>
          <w:sz w:val="22"/>
          <w:szCs w:val="22"/>
        </w:rPr>
        <w:t>Auf Grundlage der aggregierten Werte erfolgt eine vergleichende Analyse zwischen den untersuchten Unternehmen. Dabei werden insbesondere Unterschiede und Gemeinsamkeiten in den vier Dimensionen herausgearbeitet.</w:t>
      </w:r>
    </w:p>
    <w:p w14:paraId="13021CE4" w14:textId="77777777" w:rsidR="00C01674" w:rsidRDefault="00C01674" w:rsidP="00C01674">
      <w:pPr>
        <w:pStyle w:val="StandardWeb"/>
        <w:spacing w:before="240" w:after="240"/>
        <w:rPr>
          <w:color w:val="000000"/>
        </w:rPr>
      </w:pPr>
      <w:r>
        <w:rPr>
          <w:rFonts w:ascii="Arial" w:hAnsi="Arial" w:cs="Arial"/>
          <w:color w:val="000000"/>
          <w:sz w:val="22"/>
          <w:szCs w:val="22"/>
        </w:rPr>
        <w:t>Die Auswertung ermöglicht es,</w:t>
      </w:r>
    </w:p>
    <w:p w14:paraId="531B10BF" w14:textId="77777777" w:rsidR="00C01674" w:rsidRDefault="00C01674" w:rsidP="00C01674">
      <w:pPr>
        <w:pStyle w:val="StandardWeb"/>
        <w:numPr>
          <w:ilvl w:val="0"/>
          <w:numId w:val="29"/>
        </w:numPr>
        <w:spacing w:before="240"/>
        <w:textAlignment w:val="baseline"/>
        <w:rPr>
          <w:rFonts w:ascii="Arial" w:hAnsi="Arial" w:cs="Arial"/>
          <w:color w:val="000000"/>
          <w:sz w:val="22"/>
          <w:szCs w:val="22"/>
        </w:rPr>
      </w:pPr>
      <w:r>
        <w:rPr>
          <w:rFonts w:ascii="Arial" w:hAnsi="Arial" w:cs="Arial"/>
          <w:color w:val="000000"/>
          <w:sz w:val="22"/>
          <w:szCs w:val="22"/>
        </w:rPr>
        <w:t>strukturelle Stärken und Schwächen einzelner Anbieter zu identifizieren,</w:t>
      </w:r>
    </w:p>
    <w:p w14:paraId="505E58E3" w14:textId="77777777" w:rsidR="00C01674" w:rsidRDefault="00C01674" w:rsidP="00C01674">
      <w:pPr>
        <w:pStyle w:val="StandardWeb"/>
        <w:numPr>
          <w:ilvl w:val="0"/>
          <w:numId w:val="29"/>
        </w:numPr>
        <w:textAlignment w:val="baseline"/>
        <w:rPr>
          <w:rFonts w:ascii="Arial" w:hAnsi="Arial" w:cs="Arial"/>
          <w:color w:val="000000"/>
          <w:sz w:val="22"/>
          <w:szCs w:val="22"/>
        </w:rPr>
      </w:pPr>
      <w:r>
        <w:rPr>
          <w:rFonts w:ascii="Arial" w:hAnsi="Arial" w:cs="Arial"/>
          <w:color w:val="000000"/>
          <w:sz w:val="22"/>
          <w:szCs w:val="22"/>
        </w:rPr>
        <w:t>wiederkehrende Muster in der Umsetzung (z. B. systematische Verlagerung von Informationen in nachgelagerte Dokumente) sichtbar zu machen und</w:t>
      </w:r>
    </w:p>
    <w:p w14:paraId="4E84CCB6" w14:textId="77777777" w:rsidR="00C01674" w:rsidRDefault="00C01674" w:rsidP="00C01674">
      <w:pPr>
        <w:pStyle w:val="StandardWeb"/>
        <w:numPr>
          <w:ilvl w:val="0"/>
          <w:numId w:val="29"/>
        </w:numPr>
        <w:spacing w:after="240"/>
        <w:textAlignment w:val="baseline"/>
        <w:rPr>
          <w:rFonts w:ascii="Arial" w:hAnsi="Arial" w:cs="Arial"/>
          <w:color w:val="000000"/>
          <w:sz w:val="22"/>
          <w:szCs w:val="22"/>
        </w:rPr>
      </w:pPr>
      <w:r>
        <w:rPr>
          <w:rFonts w:ascii="Arial" w:hAnsi="Arial" w:cs="Arial"/>
          <w:color w:val="000000"/>
          <w:sz w:val="22"/>
          <w:szCs w:val="22"/>
        </w:rPr>
        <w:t>Unterschiede zwischen verschiedenen Geschäftsmodellen (z. B. Plattform vs. Gerätehersteller) analytisch zu erfassen.</w:t>
      </w:r>
    </w:p>
    <w:p w14:paraId="57AE508F" w14:textId="77777777" w:rsidR="00C01674" w:rsidRDefault="00C01674" w:rsidP="00C01674">
      <w:pPr>
        <w:pStyle w:val="berschrift3"/>
        <w:spacing w:before="320" w:after="80"/>
        <w:rPr>
          <w:rFonts w:ascii="Times New Roman" w:hAnsi="Times New Roman" w:cs="Times New Roman"/>
          <w:color w:val="000000"/>
          <w:sz w:val="27"/>
          <w:szCs w:val="27"/>
        </w:rPr>
      </w:pPr>
      <w:r>
        <w:rPr>
          <w:b w:val="0"/>
          <w:bCs w:val="0"/>
          <w:color w:val="434343"/>
          <w:sz w:val="28"/>
          <w:szCs w:val="28"/>
        </w:rPr>
        <w:t>3.4.5 Beitrag zur Beantwortung der Forschungsfrage</w:t>
      </w:r>
    </w:p>
    <w:p w14:paraId="5555741C" w14:textId="77777777" w:rsidR="00C01674" w:rsidRDefault="00C01674" w:rsidP="00C01674">
      <w:pPr>
        <w:pStyle w:val="StandardWeb"/>
        <w:spacing w:before="240" w:after="240"/>
        <w:rPr>
          <w:color w:val="000000"/>
        </w:rPr>
      </w:pPr>
      <w:r>
        <w:rPr>
          <w:rFonts w:ascii="Arial" w:hAnsi="Arial" w:cs="Arial"/>
          <w:color w:val="000000"/>
          <w:sz w:val="22"/>
          <w:szCs w:val="22"/>
        </w:rPr>
        <w:t>Die gewählte Methodik erlaubt eine differenzierte Beurteilung der Frage, inwieweit die untersuchten Unternehmen die Anforderungen des Art. 3 Data Act tatsächlich umsetzen.</w:t>
      </w:r>
    </w:p>
    <w:p w14:paraId="4A54412B" w14:textId="77777777" w:rsidR="00C01674" w:rsidRDefault="00C01674" w:rsidP="00C01674">
      <w:pPr>
        <w:pStyle w:val="StandardWeb"/>
        <w:spacing w:before="240" w:after="240"/>
        <w:rPr>
          <w:color w:val="000000"/>
        </w:rPr>
      </w:pPr>
      <w:r>
        <w:rPr>
          <w:rFonts w:ascii="Arial" w:hAnsi="Arial" w:cs="Arial"/>
          <w:color w:val="000000"/>
          <w:sz w:val="22"/>
          <w:szCs w:val="22"/>
        </w:rPr>
        <w:t xml:space="preserve">Durch die Kombination aus mehrdimensionaler Bewertung und aggregierten Mittelwerten wird deutlich, dass Compliance nicht als binärer Zustand verstanden werden kann, sondern </w:t>
      </w:r>
      <w:r>
        <w:rPr>
          <w:rFonts w:ascii="Arial" w:hAnsi="Arial" w:cs="Arial"/>
          <w:color w:val="000000"/>
          <w:sz w:val="22"/>
          <w:szCs w:val="22"/>
        </w:rPr>
        <w:lastRenderedPageBreak/>
        <w:t xml:space="preserve">unterschiedliche Ausprägungen annimmt. Insbesondere wird sichtbar, ob Unternehmen zwar formale Anforderungen erfüllen, jedoch Defizite hinsichtlich der </w:t>
      </w:r>
      <w:r>
        <w:rPr>
          <w:rFonts w:ascii="Arial" w:hAnsi="Arial" w:cs="Arial"/>
          <w:b/>
          <w:bCs/>
          <w:color w:val="000000"/>
          <w:sz w:val="22"/>
          <w:szCs w:val="22"/>
        </w:rPr>
        <w:t>zeitlichen Bereitstellung („vor Abschluss“), der Verständlichkeit oder der praktischen Auffindbarkeit</w:t>
      </w:r>
      <w:r>
        <w:rPr>
          <w:rFonts w:ascii="Arial" w:hAnsi="Arial" w:cs="Arial"/>
          <w:color w:val="000000"/>
          <w:sz w:val="22"/>
          <w:szCs w:val="22"/>
        </w:rPr>
        <w:t xml:space="preserve"> aufweisen.</w:t>
      </w:r>
    </w:p>
    <w:p w14:paraId="1D54F726" w14:textId="77777777" w:rsidR="00C01674" w:rsidRDefault="00C01674" w:rsidP="00C01674">
      <w:pPr>
        <w:pStyle w:val="StandardWeb"/>
        <w:spacing w:before="240" w:after="240"/>
        <w:rPr>
          <w:color w:val="000000"/>
        </w:rPr>
      </w:pPr>
      <w:r>
        <w:rPr>
          <w:rFonts w:ascii="Arial" w:hAnsi="Arial" w:cs="Arial"/>
          <w:color w:val="000000"/>
          <w:sz w:val="22"/>
          <w:szCs w:val="22"/>
        </w:rPr>
        <w:t xml:space="preserve">Die Methodik ermöglicht damit eine </w:t>
      </w:r>
      <w:r>
        <w:rPr>
          <w:rFonts w:ascii="Arial" w:hAnsi="Arial" w:cs="Arial"/>
          <w:b/>
          <w:bCs/>
          <w:color w:val="000000"/>
          <w:sz w:val="22"/>
          <w:szCs w:val="22"/>
        </w:rPr>
        <w:t>kritische Rückmeldung an die Forschungsfrage</w:t>
      </w:r>
      <w:r>
        <w:rPr>
          <w:rFonts w:ascii="Arial" w:hAnsi="Arial" w:cs="Arial"/>
          <w:color w:val="000000"/>
          <w:sz w:val="22"/>
          <w:szCs w:val="22"/>
        </w:rPr>
        <w:t>, indem sie aufzeigt, ob die intendierte Transparenzwirkung des Data Act in der Praxis tatsächlich erreicht wird oder ob eine Diskrepanz zwischen normativer Vorgabe und faktischer Umsetzung besteht.</w:t>
      </w:r>
    </w:p>
    <w:p w14:paraId="5F9A2F31" w14:textId="77777777" w:rsidR="00C01674" w:rsidRDefault="00C01674" w:rsidP="00C01674">
      <w:pPr>
        <w:pStyle w:val="berschrift3"/>
        <w:spacing w:before="320" w:after="80"/>
        <w:rPr>
          <w:color w:val="000000"/>
        </w:rPr>
      </w:pPr>
      <w:r>
        <w:rPr>
          <w:b w:val="0"/>
          <w:bCs w:val="0"/>
          <w:color w:val="434343"/>
          <w:sz w:val="28"/>
          <w:szCs w:val="28"/>
        </w:rPr>
        <w:t>3.4.6 Methodische Einordnung und Grenzen</w:t>
      </w:r>
    </w:p>
    <w:p w14:paraId="39114218" w14:textId="77777777" w:rsidR="00C01674" w:rsidRDefault="00C01674" w:rsidP="00C01674">
      <w:pPr>
        <w:pStyle w:val="StandardWeb"/>
        <w:spacing w:before="240" w:after="240"/>
        <w:rPr>
          <w:color w:val="000000"/>
        </w:rPr>
      </w:pPr>
      <w:r>
        <w:rPr>
          <w:rFonts w:ascii="Arial" w:hAnsi="Arial" w:cs="Arial"/>
          <w:color w:val="000000"/>
          <w:sz w:val="22"/>
          <w:szCs w:val="22"/>
        </w:rPr>
        <w:t>Trotz ihrer systematischen Struktur ist die Analyse mit gewissen Einschränkungen verbunden. Insbesondere enthalten die Bewertungen in den Dimensionen Qualität und Usability unvermeidlich subjektive Elemente. Diese werden jedoch durch die standardisierte Skalierung und die Aggregation über mehrere Kriterien methodisch abgefedert.</w:t>
      </w:r>
    </w:p>
    <w:p w14:paraId="66215DA5" w14:textId="77777777" w:rsidR="00C01674" w:rsidRDefault="00C01674" w:rsidP="00C01674">
      <w:pPr>
        <w:pStyle w:val="StandardWeb"/>
        <w:spacing w:before="240" w:after="240"/>
        <w:rPr>
          <w:color w:val="000000"/>
        </w:rPr>
      </w:pPr>
      <w:r>
        <w:rPr>
          <w:rFonts w:ascii="Arial" w:hAnsi="Arial" w:cs="Arial"/>
          <w:color w:val="000000"/>
          <w:sz w:val="22"/>
          <w:szCs w:val="22"/>
        </w:rPr>
        <w:t>Darüber hinaus handelt es sich um eine Momentaufnahme der untersuchten Systeme, die dynamischen Veränderungen unterliegen können. Gleichwohl ermöglicht das gewählte Vorgehen eine belastbare und nachvollziehbare Einschätzung der aktuellen Umsetzungspraxis.</w:t>
      </w:r>
    </w:p>
    <w:p w14:paraId="41D04D16" w14:textId="3383777A" w:rsidR="003E5E7F" w:rsidRDefault="00C01674">
      <w:pPr>
        <w:pStyle w:val="berschrift1"/>
      </w:pPr>
      <w:bookmarkStart w:id="18" w:name="_Toc232151346"/>
      <w:r>
        <w:t>4</w:t>
      </w:r>
      <w:r w:rsidR="00000000">
        <w:t>. Empirische Analyse: Umsetzung des Art. 3 in der Praxis</w:t>
      </w:r>
      <w:bookmarkEnd w:id="18"/>
    </w:p>
    <w:p w14:paraId="6F2A1CBB" w14:textId="3F9F927E" w:rsidR="003E5E7F" w:rsidRDefault="00000000">
      <w:pPr>
        <w:spacing w:after="140" w:line="276" w:lineRule="auto"/>
      </w:pPr>
      <w:r>
        <w:t xml:space="preserve">Die Analyse folgt für jeden Anbieter demselben kriteriengeleiteten Schema: (a) Dateninhaber und Untersuchungsgegenstand, (b) vorvertragliche Informationen zu Produktdaten entlang Art. 3 Abs. 2 </w:t>
      </w:r>
      <w:proofErr w:type="spellStart"/>
      <w:r>
        <w:t>lit</w:t>
      </w:r>
      <w:proofErr w:type="spellEnd"/>
      <w:r>
        <w:t xml:space="preserve">. a–d, (c) vorvertragliche Informationen zu verbundenen Diensten entlang Art. 3 Abs. 3 </w:t>
      </w:r>
      <w:proofErr w:type="spellStart"/>
      <w:r>
        <w:t>lit</w:t>
      </w:r>
      <w:proofErr w:type="spellEnd"/>
      <w:r>
        <w:t>. a–i, (d) technische Bereitstellung nach Art. 3 Abs. 1 sowie (e) zusammenfassende Bewertung. Belege sind als Fußnoten und im Anhang A dokumentiert</w:t>
      </w:r>
      <w:r w:rsidR="004B4261">
        <w:t>.</w:t>
      </w:r>
    </w:p>
    <w:p w14:paraId="3D9D26AC" w14:textId="77777777" w:rsidR="003E5E7F" w:rsidRDefault="00000000">
      <w:pPr>
        <w:pStyle w:val="berschrift2"/>
      </w:pPr>
      <w:bookmarkStart w:id="19" w:name="_Toc232151347"/>
      <w:r>
        <w:t>4.1 Analyse der rechtlichen Transparenz-Compliance (Dokumentenebene)</w:t>
      </w:r>
      <w:bookmarkEnd w:id="19"/>
    </w:p>
    <w:p w14:paraId="50E16E2C" w14:textId="77777777" w:rsidR="003E5E7F" w:rsidRDefault="00000000">
      <w:pPr>
        <w:pStyle w:val="berschrift3"/>
      </w:pPr>
      <w:bookmarkStart w:id="20" w:name="_Toc232151348"/>
      <w:r>
        <w:t>4.1.1 Bosch Smart Home – Alarmsystem (Deutschland)</w:t>
      </w:r>
      <w:bookmarkEnd w:id="20"/>
    </w:p>
    <w:p w14:paraId="1CFFF8A1" w14:textId="77777777" w:rsidR="00C01674" w:rsidRDefault="00C01674">
      <w:pPr>
        <w:pStyle w:val="berschrift3"/>
      </w:pPr>
    </w:p>
    <w:p w14:paraId="3BD967AF" w14:textId="77777777" w:rsidR="00C01674" w:rsidRDefault="00000000">
      <w:pPr>
        <w:spacing w:after="140" w:line="276" w:lineRule="auto"/>
        <w:rPr>
          <w:b/>
          <w:bCs/>
        </w:rPr>
      </w:pPr>
      <w:r>
        <w:rPr>
          <w:b/>
          <w:bCs/>
        </w:rPr>
        <w:t xml:space="preserve">(a) Dateninhaber und Untersuchungsgegenstand. </w:t>
      </w:r>
    </w:p>
    <w:p w14:paraId="734C7814" w14:textId="4BE218AC" w:rsidR="003E5E7F" w:rsidRDefault="00000000">
      <w:pPr>
        <w:spacing w:after="140" w:line="276" w:lineRule="auto"/>
      </w:pPr>
      <w:r>
        <w:t>Dateninhaber ist die Robert Bosch Smart Home GmbH (</w:t>
      </w:r>
      <w:r w:rsidR="00C01674">
        <w:rPr>
          <w:rFonts w:ascii="Georgia" w:hAnsi="Georgia"/>
          <w:color w:val="27251E"/>
        </w:rPr>
        <w:t xml:space="preserve">Schockenriedstr. 17, 70565 </w:t>
      </w:r>
      <w:r>
        <w:t>Stuttgart). Untersucht wurde die öffentlich zugängliche, eigenständige EU-Data-Act-Informationsseite des Anbieters sowie der Datenschutzhinweis der Bosch Smart Home App.</w:t>
      </w:r>
      <w:r>
        <w:rPr>
          <w:rStyle w:val="Funotenzeichen"/>
        </w:rPr>
        <w:footnoteReference w:id="6"/>
      </w:r>
    </w:p>
    <w:p w14:paraId="71406F28" w14:textId="77777777" w:rsidR="00C01674" w:rsidRDefault="00000000">
      <w:pPr>
        <w:spacing w:after="140" w:line="276" w:lineRule="auto"/>
        <w:rPr>
          <w:b/>
          <w:bCs/>
        </w:rPr>
      </w:pPr>
      <w:r>
        <w:rPr>
          <w:b/>
          <w:bCs/>
        </w:rPr>
        <w:t xml:space="preserve">(b) Produktdaten – Art. 3 Abs. 2 </w:t>
      </w:r>
      <w:proofErr w:type="spellStart"/>
      <w:r>
        <w:rPr>
          <w:b/>
          <w:bCs/>
        </w:rPr>
        <w:t>lit</w:t>
      </w:r>
      <w:proofErr w:type="spellEnd"/>
      <w:r>
        <w:rPr>
          <w:b/>
          <w:bCs/>
        </w:rPr>
        <w:t xml:space="preserve">. a–d. </w:t>
      </w:r>
    </w:p>
    <w:p w14:paraId="57FA39F6" w14:textId="77777777" w:rsidR="00C01674" w:rsidRDefault="00000000">
      <w:pPr>
        <w:spacing w:after="140" w:line="276" w:lineRule="auto"/>
      </w:pPr>
      <w:r>
        <w:t>Art und Umfang (</w:t>
      </w:r>
      <w:proofErr w:type="spellStart"/>
      <w:r>
        <w:t>lit</w:t>
      </w:r>
      <w:proofErr w:type="spellEnd"/>
      <w:r>
        <w:t xml:space="preserve">. a) werden konkret benannt: physische </w:t>
      </w:r>
      <w:r w:rsidR="00C01674">
        <w:t xml:space="preserve">erzeugte </w:t>
      </w:r>
      <w:r>
        <w:t xml:space="preserve">Daten (z. B. Temperatur, Druck, Energie), Geräte-Identifikationsdaten (Seriennummer, Hard-/Softwareversion), Statusdaten (Ein/Aus, anwesend/abwesend), Einstellwerte und Nutzerkonfigurationen. </w:t>
      </w:r>
    </w:p>
    <w:p w14:paraId="57A79F42" w14:textId="64FFBE18" w:rsidR="003E5E7F" w:rsidRDefault="00000000">
      <w:pPr>
        <w:spacing w:after="140" w:line="276" w:lineRule="auto"/>
      </w:pPr>
      <w:r>
        <w:t>Zur Echtzeitfähigkeit (</w:t>
      </w:r>
      <w:proofErr w:type="spellStart"/>
      <w:r>
        <w:t>lit</w:t>
      </w:r>
      <w:proofErr w:type="spellEnd"/>
      <w:r>
        <w:t>. b) wird die zyklische bzw. dauerhafte Erzeugung beschrieben. Speicherung und Speicherdauer (</w:t>
      </w:r>
      <w:proofErr w:type="spellStart"/>
      <w:r>
        <w:t>lit</w:t>
      </w:r>
      <w:proofErr w:type="spellEnd"/>
      <w:r>
        <w:t xml:space="preserve">. c) sind differenziert dargestellt: Daten werden je nach </w:t>
      </w:r>
      <w:r>
        <w:lastRenderedPageBreak/>
        <w:t xml:space="preserve">Typ zyklisch überschrieben oder dauerhaft gespeichert, ein </w:t>
      </w:r>
      <w:proofErr w:type="spellStart"/>
      <w:r>
        <w:t>Werksreset</w:t>
      </w:r>
      <w:proofErr w:type="spellEnd"/>
      <w:r>
        <w:t xml:space="preserve"> löscht die Daten.</w:t>
      </w:r>
      <w:r>
        <w:rPr>
          <w:rStyle w:val="Funotenzeichen"/>
        </w:rPr>
        <w:footnoteReference w:id="7"/>
      </w:r>
      <w:r>
        <w:t xml:space="preserve"> Zugang und Modalitäten (</w:t>
      </w:r>
      <w:proofErr w:type="spellStart"/>
      <w:r>
        <w:t>lit</w:t>
      </w:r>
      <w:proofErr w:type="spellEnd"/>
      <w:r>
        <w:t>. d) werden über Apps und eine lokale, maschinenlesbare Schnittstelle des Smart Home Controllers beschrieben</w:t>
      </w:r>
      <w:r w:rsidR="00C01674">
        <w:t xml:space="preserve">, das heißt, </w:t>
      </w:r>
      <w:r w:rsidR="00C01674" w:rsidRPr="00C01674">
        <w:t xml:space="preserve">Beim Drittzugriff über Partner gilt: Für die Steuerung über eine Partner-App können Daten in der Bosch Smart Home Cloud und/oder auf dem Controller gespeichert werden, sodass der Partner darauf zugreifen kann – dies erfordert jedoch eine ausdrückliche Zustimmung in der jeweiligen Partner-App; ohne Zustimmung erfolgt kein Cloud-Speichern und kein Zugriff. Hinsichtlich Cloud, Apps und Abos sind eine Smart Home App und eine Smart </w:t>
      </w:r>
      <w:proofErr w:type="spellStart"/>
      <w:r w:rsidR="00C01674" w:rsidRPr="00C01674">
        <w:t>Camera</w:t>
      </w:r>
      <w:proofErr w:type="spellEnd"/>
      <w:r w:rsidR="00C01674" w:rsidRPr="00C01674">
        <w:t xml:space="preserve"> App sowie ein </w:t>
      </w:r>
      <w:proofErr w:type="spellStart"/>
      <w:r w:rsidR="00C01674" w:rsidRPr="00C01674">
        <w:t>SingleKey</w:t>
      </w:r>
      <w:proofErr w:type="spellEnd"/>
      <w:r w:rsidR="00C01674" w:rsidRPr="00C01674">
        <w:t>-ID-Konto erforderlich; kostenpflichtige Premiumdienste (u. a. Security+ und die 24/7-Notrufleitstelle) werden u. a. als In-App-Abonnement über den App-Store abgerechnet. Der Data-Act-Zugang erfolgt über die Apps sowie über eine maschinenlesbare lokale Schnittstelle des Smart Home Controllers</w:t>
      </w:r>
    </w:p>
    <w:p w14:paraId="347AF7AF" w14:textId="58A407B3" w:rsidR="00C01674" w:rsidRDefault="00000000">
      <w:pPr>
        <w:spacing w:after="140" w:line="276" w:lineRule="auto"/>
      </w:pPr>
      <w:r>
        <w:rPr>
          <w:b/>
          <w:bCs/>
        </w:rPr>
        <w:t xml:space="preserve">(c) Verbundene Dienste – Art. 3 Abs. 3 </w:t>
      </w:r>
      <w:proofErr w:type="spellStart"/>
      <w:r>
        <w:rPr>
          <w:b/>
          <w:bCs/>
        </w:rPr>
        <w:t>lit</w:t>
      </w:r>
      <w:proofErr w:type="spellEnd"/>
      <w:r>
        <w:rPr>
          <w:b/>
          <w:bCs/>
        </w:rPr>
        <w:t xml:space="preserve">. a–i. </w:t>
      </w:r>
      <w:r>
        <w:t>Zwecke und mögliche Weitergabe (</w:t>
      </w:r>
      <w:proofErr w:type="spellStart"/>
      <w:r>
        <w:t>lit</w:t>
      </w:r>
      <w:proofErr w:type="spellEnd"/>
      <w:r>
        <w:t>. c, f) werden adressiert; Partner-Integrationen können mit Zustimmung Zugriff auf Cloud-/Controller-Daten erhalten. Identität und Kontakt des Dateninhabers (</w:t>
      </w:r>
      <w:proofErr w:type="spellStart"/>
      <w:r>
        <w:t>lit</w:t>
      </w:r>
      <w:proofErr w:type="spellEnd"/>
      <w:r>
        <w:t>. d, e) ergeben sich aus dem Dokument. Hinweise zu Beschwerderecht (</w:t>
      </w:r>
      <w:proofErr w:type="spellStart"/>
      <w:r>
        <w:t>lit</w:t>
      </w:r>
      <w:proofErr w:type="spellEnd"/>
      <w:r>
        <w:t>. g), Geschäftsgeheimnissen (</w:t>
      </w:r>
      <w:proofErr w:type="spellStart"/>
      <w:r>
        <w:t>lit</w:t>
      </w:r>
      <w:proofErr w:type="spellEnd"/>
      <w:r>
        <w:t>. h) und Vertragsdauer (</w:t>
      </w:r>
      <w:proofErr w:type="spellStart"/>
      <w:r>
        <w:t>lit</w:t>
      </w:r>
      <w:proofErr w:type="spellEnd"/>
      <w:r>
        <w:t>. i) sind teilweise vorhanden bzw. in den verlinkten Bedingungen verstreut.</w:t>
      </w:r>
      <w:r w:rsidR="00C01674">
        <w:t xml:space="preserve"> </w:t>
      </w:r>
      <w:r w:rsidR="00C01674" w:rsidRPr="00C01674">
        <w:t>Zur Datennutzung gilt: Der Nutzer berechtigt Bosch, Produktdaten und verbundene Dienstdaten zur Bereitstellung der Apps zu nutzen, und räumt an den nicht-personenbezogenen Daten ein unbeschränktes Nutzungsrecht einschließlich der Weitergabe an Dritte ein; Bosch sichert zu, die Daten nicht zur Analyse der wirtschaftlichen Lage des Nutzers zu verwenden.</w:t>
      </w:r>
    </w:p>
    <w:p w14:paraId="0A63F699" w14:textId="77777777" w:rsidR="003E5E7F" w:rsidRDefault="00000000">
      <w:pPr>
        <w:spacing w:after="140" w:line="276" w:lineRule="auto"/>
      </w:pPr>
      <w:r>
        <w:rPr>
          <w:b/>
          <w:bCs/>
        </w:rPr>
        <w:t xml:space="preserve">(e) Bewertung. </w:t>
      </w:r>
      <w:r>
        <w:t>Bosch stellt ein eigenständiges, strukturiertes Data-Act-Dokument bereit, das die meisten Punkte des Abs. 2 abdeckt. Die Bewertung lautet: Existenz 2, Timing 2, Qualität 4, Auffindbarkeit 4 (Dokumentenebene).</w:t>
      </w:r>
    </w:p>
    <w:p w14:paraId="37F7EFEC" w14:textId="77777777" w:rsidR="003E5E7F" w:rsidRDefault="00000000">
      <w:pPr>
        <w:pStyle w:val="berschrift3"/>
      </w:pPr>
      <w:bookmarkStart w:id="21" w:name="_Toc232151349"/>
      <w:r>
        <w:t>4.1.2 Philips Hue – 2K Secure Kamera (Niederlande)</w:t>
      </w:r>
      <w:bookmarkEnd w:id="21"/>
    </w:p>
    <w:p w14:paraId="7CB5C2EF" w14:textId="77777777" w:rsidR="00C01674" w:rsidRDefault="00C01674">
      <w:pPr>
        <w:pStyle w:val="berschrift3"/>
      </w:pPr>
    </w:p>
    <w:p w14:paraId="47141152" w14:textId="595103B1" w:rsidR="00C01674" w:rsidRDefault="00000000">
      <w:pPr>
        <w:spacing w:after="140" w:line="276" w:lineRule="auto"/>
        <w:rPr>
          <w:b/>
          <w:bCs/>
        </w:rPr>
      </w:pPr>
      <w:r>
        <w:rPr>
          <w:b/>
          <w:bCs/>
        </w:rPr>
        <w:t>(a) Dateninhaber und Untersuchungsgegenstand.</w:t>
      </w:r>
    </w:p>
    <w:p w14:paraId="3DBC0E3F" w14:textId="6142DB83" w:rsidR="003E5E7F" w:rsidRDefault="00000000">
      <w:pPr>
        <w:spacing w:after="140" w:line="276" w:lineRule="auto"/>
      </w:pPr>
      <w:r>
        <w:t xml:space="preserve">Dateninhaber ist die Signify </w:t>
      </w:r>
      <w:proofErr w:type="spellStart"/>
      <w:r>
        <w:t>Netherlands</w:t>
      </w:r>
      <w:proofErr w:type="spellEnd"/>
      <w:r>
        <w:t xml:space="preserve"> B.V. (</w:t>
      </w:r>
      <w:r w:rsidR="00C01674">
        <w:rPr>
          <w:rFonts w:ascii="Georgia" w:hAnsi="Georgia"/>
          <w:color w:val="27251E"/>
        </w:rPr>
        <w:t xml:space="preserve">High Tech Campus 48, </w:t>
      </w:r>
      <w:r>
        <w:t xml:space="preserve">Eindhoven). Leitdokument ist die produktbezogene „Data Notice“ mit ausdrücklichem Data-Act-Bezug (Stand Oktober 2025), ergänzt um die Entwickler-Dokumentation des Hue Developer </w:t>
      </w:r>
      <w:proofErr w:type="spellStart"/>
      <w:r>
        <w:t>Program</w:t>
      </w:r>
      <w:proofErr w:type="spellEnd"/>
      <w:r>
        <w:t>.</w:t>
      </w:r>
      <w:r>
        <w:rPr>
          <w:rStyle w:val="Funotenzeichen"/>
        </w:rPr>
        <w:footnoteReference w:id="8"/>
      </w:r>
    </w:p>
    <w:p w14:paraId="727B54BC" w14:textId="63EFD0D4" w:rsidR="003E5E7F" w:rsidRDefault="00000000">
      <w:pPr>
        <w:spacing w:after="140" w:line="276" w:lineRule="auto"/>
      </w:pPr>
      <w:r>
        <w:rPr>
          <w:b/>
          <w:bCs/>
        </w:rPr>
        <w:t xml:space="preserve">(b) Produktdaten – Art. 3 Abs. 2 </w:t>
      </w:r>
      <w:proofErr w:type="spellStart"/>
      <w:r>
        <w:rPr>
          <w:b/>
          <w:bCs/>
        </w:rPr>
        <w:t>lit</w:t>
      </w:r>
      <w:proofErr w:type="spellEnd"/>
      <w:r>
        <w:rPr>
          <w:b/>
          <w:bCs/>
        </w:rPr>
        <w:t xml:space="preserve">. a–d. </w:t>
      </w:r>
      <w:r>
        <w:t>Art (</w:t>
      </w:r>
      <w:proofErr w:type="spellStart"/>
      <w:r>
        <w:t>lit</w:t>
      </w:r>
      <w:proofErr w:type="spellEnd"/>
      <w:r>
        <w:t>. a): Video-/Bild-/Audiodaten, Ereignisse (Bewegung/Objekt/Audio), Akkustand, Verbindungsstatus, Konfiguration. Format (</w:t>
      </w:r>
      <w:proofErr w:type="spellStart"/>
      <w:r>
        <w:t>lit</w:t>
      </w:r>
      <w:proofErr w:type="spellEnd"/>
      <w:r>
        <w:t>. a): ausdrücklich JSON, zusätzlich Quantifizierung typischer Datenmengen. Echtzeit (</w:t>
      </w:r>
      <w:proofErr w:type="spellStart"/>
      <w:r>
        <w:t>lit</w:t>
      </w:r>
      <w:proofErr w:type="spellEnd"/>
      <w:r>
        <w:t>. b): bejaht. Speicherung/Speicherdauer (</w:t>
      </w:r>
      <w:proofErr w:type="spellStart"/>
      <w:r>
        <w:t>lit</w:t>
      </w:r>
      <w:proofErr w:type="spellEnd"/>
      <w:r>
        <w:t xml:space="preserve">. c): </w:t>
      </w:r>
      <w:r w:rsidR="00C01674" w:rsidRPr="00C01674">
        <w:t>Bei den Speicherfristen werden Daten maximal 2 Jahre ab Erhebung aufbewahrt, während Videos je nach Abonnement automatisch nach 30 oder 60 Tagen gelöscht werden und in der</w:t>
      </w:r>
      <w:r w:rsidR="00C01674">
        <w:t xml:space="preserve"> </w:t>
      </w:r>
      <w:r w:rsidR="00C01674" w:rsidRPr="00C01674">
        <w:t xml:space="preserve">gesicherten Philips Hue Cloud liegen. Die Speicherung </w:t>
      </w:r>
      <w:proofErr w:type="spellStart"/>
      <w:r w:rsidR="00C01674" w:rsidRPr="00C01674">
        <w:t>refolgt</w:t>
      </w:r>
      <w:proofErr w:type="spellEnd"/>
      <w:r w:rsidR="00C01674" w:rsidRPr="00C01674">
        <w:t xml:space="preserve"> auf Cloud-Servern, wobei eine Übertragung außerhalb des EWR </w:t>
      </w:r>
      <w:r w:rsidR="00C01674" w:rsidRPr="00C01674">
        <w:lastRenderedPageBreak/>
        <w:t>möglich ist</w:t>
      </w:r>
      <w:r>
        <w:t xml:space="preserve">. </w:t>
      </w:r>
      <w:r w:rsidR="00C01674">
        <w:t xml:space="preserve">Beim </w:t>
      </w:r>
      <w:r>
        <w:t>Zugang (</w:t>
      </w:r>
      <w:proofErr w:type="spellStart"/>
      <w:r>
        <w:t>lit</w:t>
      </w:r>
      <w:proofErr w:type="spellEnd"/>
      <w:r>
        <w:t xml:space="preserve">. d): </w:t>
      </w:r>
      <w:r w:rsidR="00C01674" w:rsidRPr="00C01674">
        <w:t>Es gibt direkten Zugang</w:t>
      </w:r>
      <w:r w:rsidR="00C01674">
        <w:t xml:space="preserve"> (</w:t>
      </w:r>
      <w:r>
        <w:t>Echtzeit-API</w:t>
      </w:r>
      <w:r w:rsidR="00C01674">
        <w:t>)</w:t>
      </w:r>
      <w:r>
        <w:t xml:space="preserve"> oder </w:t>
      </w:r>
      <w:r w:rsidR="00C01674" w:rsidRPr="00C01674">
        <w:t xml:space="preserve">indirekten Zugang </w:t>
      </w:r>
      <w:r>
        <w:t>Bulk-Bezug per E-Mail/Online-Formular.</w:t>
      </w:r>
      <w:r>
        <w:rPr>
          <w:rStyle w:val="Funotenzeichen"/>
        </w:rPr>
        <w:footnoteReference w:id="9"/>
      </w:r>
    </w:p>
    <w:p w14:paraId="006EA5F0" w14:textId="7AC29196" w:rsidR="003E5E7F" w:rsidRDefault="00000000">
      <w:pPr>
        <w:spacing w:after="140" w:line="276" w:lineRule="auto"/>
      </w:pPr>
      <w:r>
        <w:rPr>
          <w:b/>
          <w:bCs/>
        </w:rPr>
        <w:t xml:space="preserve">(c) Verbundene Dienste – Art. 3 Abs. 3 </w:t>
      </w:r>
      <w:proofErr w:type="spellStart"/>
      <w:r>
        <w:rPr>
          <w:b/>
          <w:bCs/>
        </w:rPr>
        <w:t>lit</w:t>
      </w:r>
      <w:proofErr w:type="spellEnd"/>
      <w:r>
        <w:rPr>
          <w:b/>
          <w:bCs/>
        </w:rPr>
        <w:t xml:space="preserve">. a–i. </w:t>
      </w:r>
      <w:r w:rsidR="00C01674" w:rsidRPr="00C01674">
        <w:t xml:space="preserve">Die </w:t>
      </w:r>
      <w:r>
        <w:t>Drittweitergabe</w:t>
      </w:r>
      <w:r w:rsidR="00C01674">
        <w:t xml:space="preserve"> an Dritte</w:t>
      </w:r>
      <w:r>
        <w:t xml:space="preserve"> (</w:t>
      </w:r>
      <w:proofErr w:type="spellStart"/>
      <w:r>
        <w:t>lit</w:t>
      </w:r>
      <w:proofErr w:type="spellEnd"/>
      <w:r>
        <w:t xml:space="preserve">. f) </w:t>
      </w:r>
      <w:r w:rsidR="00C01674" w:rsidRPr="00C01674">
        <w:t>läuft über eine Registrierung auf developers.meethue.com und eine Cloud-</w:t>
      </w:r>
      <w:proofErr w:type="spellStart"/>
      <w:r w:rsidR="00C01674" w:rsidRPr="00C01674">
        <w:t>to</w:t>
      </w:r>
      <w:proofErr w:type="spellEnd"/>
      <w:r w:rsidR="00C01674" w:rsidRPr="00C01674">
        <w:t xml:space="preserve">-Cloud-Autorisierung, ist jederzeit über das Konto widerruflich und </w:t>
      </w:r>
      <w:r w:rsidR="00C01674" w:rsidRPr="00C01674">
        <w:t>kostenlos.</w:t>
      </w:r>
      <w:r w:rsidR="00C01674">
        <w:t xml:space="preserve"> </w:t>
      </w:r>
      <w:r>
        <w:t xml:space="preserve">Eine Besonderheit betrifft </w:t>
      </w:r>
      <w:proofErr w:type="spellStart"/>
      <w:r>
        <w:t>lit</w:t>
      </w:r>
      <w:proofErr w:type="spellEnd"/>
      <w:r>
        <w:t>. d: Die Data-Holder-Zuständigkeit kann sich bei Nutzung einer Drittanbieter-Bridge verschieben, was die Identität des Dateninhabers situativ verändert.</w:t>
      </w:r>
      <w:r>
        <w:rPr>
          <w:rStyle w:val="Funotenzeichen"/>
        </w:rPr>
        <w:footnoteReference w:id="10"/>
      </w:r>
      <w:r w:rsidR="00C01674">
        <w:t xml:space="preserve"> Aber </w:t>
      </w:r>
      <w:r w:rsidR="00C01674" w:rsidRPr="00C01674">
        <w:t>wichtig</w:t>
      </w:r>
      <w:r w:rsidR="00C01674" w:rsidRPr="00C01674">
        <w:t xml:space="preserve"> zur Data-Holder-Eigenschaft: Signify ist nicht Data Holder, wenn die Produkte über eine Drittanbieter-Bridge statt der Philips Hue Bridge genutzt werden – dann wird der Dritte zum Inhaber. Bestimmte Daten können Geschäftsgeheimnisse enthalten, die der Signify Holding B.V. zustehen. Zu Cloud/Apps/Abos zählen Hue App, </w:t>
      </w:r>
      <w:proofErr w:type="spellStart"/>
      <w:r w:rsidR="00C01674" w:rsidRPr="00C01674">
        <w:t>Sync</w:t>
      </w:r>
      <w:proofErr w:type="spellEnd"/>
      <w:r w:rsidR="00C01674" w:rsidRPr="00C01674">
        <w:t xml:space="preserve"> TV App, </w:t>
      </w:r>
      <w:r w:rsidR="00C01674" w:rsidRPr="00C01674">
        <w:t>PC-App</w:t>
      </w:r>
      <w:r w:rsidR="00C01674" w:rsidRPr="00C01674">
        <w:t xml:space="preserve">, Hue Secure Cloud-Dienste (Abo) sowie allgemeine Hue Cloud-Dienste. Der API-Zugang erfolgt über die </w:t>
      </w:r>
      <w:proofErr w:type="spellStart"/>
      <w:r w:rsidR="00C01674" w:rsidRPr="00C01674">
        <w:t>Zigbee</w:t>
      </w:r>
      <w:proofErr w:type="spellEnd"/>
      <w:r w:rsidR="00C01674" w:rsidRPr="00C01674">
        <w:t xml:space="preserve">-Schnittstelle (öffentliches Protokoll über csa-iot.org) oder die lokale CLIP-Schnittstelle der Hue Bridge, mit einem eingeschränkten, widerruflichen und nicht übertragbaren Leserecht. Zur Löschung: Hue-Konto löschen, </w:t>
      </w:r>
      <w:proofErr w:type="spellStart"/>
      <w:r w:rsidR="00C01674" w:rsidRPr="00C01674">
        <w:t>Werksreset</w:t>
      </w:r>
      <w:proofErr w:type="spellEnd"/>
      <w:r w:rsidR="00C01674" w:rsidRPr="00C01674">
        <w:t xml:space="preserve"> für Daten auf dem Gerät, App deinstallieren für lokal gespeicherte Daten.</w:t>
      </w:r>
    </w:p>
    <w:p w14:paraId="2FE0A268" w14:textId="77777777" w:rsidR="003E5E7F" w:rsidRDefault="00000000">
      <w:pPr>
        <w:spacing w:after="140" w:line="276" w:lineRule="auto"/>
      </w:pPr>
      <w:r>
        <w:rPr>
          <w:b/>
          <w:bCs/>
        </w:rPr>
        <w:t xml:space="preserve">(e) Bewertung. </w:t>
      </w:r>
      <w:r>
        <w:t>Philips Hue ist auf Dokumentenebene Vorreiter: quantifizierte, klar gegliederte Angaben mit hoher Interpretierbarkeit. Bewertung: Existenz 2, Timing 2, Qualität 5, Auffindbarkeit 4.</w:t>
      </w:r>
    </w:p>
    <w:p w14:paraId="57C34ECA" w14:textId="77777777" w:rsidR="003E5E7F" w:rsidRDefault="00000000">
      <w:pPr>
        <w:pStyle w:val="berschrift3"/>
      </w:pPr>
      <w:bookmarkStart w:id="22" w:name="_Toc232151350"/>
      <w:r>
        <w:t xml:space="preserve">4.1.3 Somfy – Box </w:t>
      </w:r>
      <w:proofErr w:type="spellStart"/>
      <w:r>
        <w:t>TaHoma</w:t>
      </w:r>
      <w:proofErr w:type="spellEnd"/>
      <w:r>
        <w:t>® switch (Frankreich)</w:t>
      </w:r>
      <w:bookmarkEnd w:id="22"/>
    </w:p>
    <w:p w14:paraId="7AB28D02" w14:textId="77777777" w:rsidR="003E5E7F" w:rsidRDefault="00000000">
      <w:pPr>
        <w:spacing w:after="140" w:line="276" w:lineRule="auto"/>
      </w:pPr>
      <w:r>
        <w:rPr>
          <w:b/>
          <w:bCs/>
        </w:rPr>
        <w:t xml:space="preserve">(a) Dateninhaber und Untersuchungsgegenstand. </w:t>
      </w:r>
      <w:r>
        <w:t xml:space="preserve">Untersucht wurde die allgemeine Datenschutzinformation zu </w:t>
      </w:r>
      <w:proofErr w:type="spellStart"/>
      <w:r>
        <w:t>TaHoma</w:t>
      </w:r>
      <w:proofErr w:type="spellEnd"/>
      <w:r>
        <w:t>. Ein eigenständiges, Data-Act-spezifisches Dokument war zum Untersuchungszeitpunkt nicht auffindbar.</w:t>
      </w:r>
      <w:r>
        <w:rPr>
          <w:rStyle w:val="Funotenzeichen"/>
        </w:rPr>
        <w:footnoteReference w:id="11"/>
      </w:r>
    </w:p>
    <w:p w14:paraId="2ED8845B" w14:textId="77777777" w:rsidR="003E5E7F" w:rsidRDefault="00000000">
      <w:pPr>
        <w:spacing w:after="140" w:line="276" w:lineRule="auto"/>
      </w:pPr>
      <w:r>
        <w:rPr>
          <w:b/>
          <w:bCs/>
        </w:rPr>
        <w:t xml:space="preserve">(b) Produktdaten – Art. 3 Abs. 2 </w:t>
      </w:r>
      <w:proofErr w:type="spellStart"/>
      <w:r>
        <w:rPr>
          <w:b/>
          <w:bCs/>
        </w:rPr>
        <w:t>lit</w:t>
      </w:r>
      <w:proofErr w:type="spellEnd"/>
      <w:r>
        <w:rPr>
          <w:b/>
          <w:bCs/>
        </w:rPr>
        <w:t xml:space="preserve">. a–d. </w:t>
      </w:r>
      <w:r>
        <w:t>Art und Umfang (</w:t>
      </w:r>
      <w:proofErr w:type="spellStart"/>
      <w:r>
        <w:t>lit</w:t>
      </w:r>
      <w:proofErr w:type="spellEnd"/>
      <w:r>
        <w:t>. a) bleiben generisch: genannt werden „Nutzer- und Produktdaten“ ohne produktspezifische Ausdifferenzierung. Angaben zu Echtzeit (</w:t>
      </w:r>
      <w:proofErr w:type="spellStart"/>
      <w:r>
        <w:t>lit</w:t>
      </w:r>
      <w:proofErr w:type="spellEnd"/>
      <w:r>
        <w:t>. b) und zu Speicherort/-dauer (</w:t>
      </w:r>
      <w:proofErr w:type="spellStart"/>
      <w:r>
        <w:t>lit</w:t>
      </w:r>
      <w:proofErr w:type="spellEnd"/>
      <w:r>
        <w:t>. c) im Data-Act-Sinn fehlen weitgehend. Zugangsmodalitäten (</w:t>
      </w:r>
      <w:proofErr w:type="spellStart"/>
      <w:r>
        <w:t>lit</w:t>
      </w:r>
      <w:proofErr w:type="spellEnd"/>
      <w:r>
        <w:t>. d) sind nicht Data-Act-spezifisch beschrieben.</w:t>
      </w:r>
    </w:p>
    <w:p w14:paraId="2D87712B" w14:textId="77777777" w:rsidR="00C01674" w:rsidRDefault="00000000">
      <w:pPr>
        <w:spacing w:after="140" w:line="276" w:lineRule="auto"/>
      </w:pPr>
      <w:r>
        <w:rPr>
          <w:b/>
          <w:bCs/>
        </w:rPr>
        <w:t xml:space="preserve">(c) Verbundene Dienste – Art. 3 Abs. 3 </w:t>
      </w:r>
      <w:proofErr w:type="spellStart"/>
      <w:r>
        <w:rPr>
          <w:b/>
          <w:bCs/>
        </w:rPr>
        <w:t>lit</w:t>
      </w:r>
      <w:proofErr w:type="spellEnd"/>
      <w:r>
        <w:rPr>
          <w:b/>
          <w:bCs/>
        </w:rPr>
        <w:t xml:space="preserve">. a–i. </w:t>
      </w:r>
      <w:r>
        <w:t>Zwecke (</w:t>
      </w:r>
      <w:proofErr w:type="spellStart"/>
      <w:r>
        <w:t>lit</w:t>
      </w:r>
      <w:proofErr w:type="spellEnd"/>
      <w:r>
        <w:t xml:space="preserve">. c) sind genannt: </w:t>
      </w:r>
      <w:r w:rsidR="00C01674" w:rsidRPr="00C01674">
        <w:t>Die Verarbeitungszwecke sind, vernetzte Dienste bereitzustellen (Fernunterstützung/Wartung), Produkte und Dienste über Statistiken zu verbessern, bevorzugte Nutzungen zu erkennen und Informationen zu den Diensten zu versenden</w:t>
      </w:r>
      <w:r>
        <w:t xml:space="preserve">. </w:t>
      </w:r>
    </w:p>
    <w:p w14:paraId="7D6A6714" w14:textId="77777777" w:rsidR="00C01674" w:rsidRDefault="00C01674">
      <w:pPr>
        <w:spacing w:after="140" w:line="276" w:lineRule="auto"/>
      </w:pPr>
      <w:r>
        <w:t xml:space="preserve">Zur </w:t>
      </w:r>
      <w:r w:rsidR="00000000">
        <w:t>Weitergabe (</w:t>
      </w:r>
      <w:proofErr w:type="spellStart"/>
      <w:r w:rsidR="00000000">
        <w:t>lit</w:t>
      </w:r>
      <w:proofErr w:type="spellEnd"/>
      <w:r w:rsidR="00000000">
        <w:t>. f)</w:t>
      </w:r>
      <w:r w:rsidRPr="00C01674">
        <w:rPr>
          <w:rFonts w:ascii="Georgia" w:hAnsi="Georgia"/>
          <w:color w:val="27251E"/>
        </w:rPr>
        <w:t xml:space="preserve"> </w:t>
      </w:r>
      <w:r w:rsidRPr="00C01674">
        <w:t> Daten und Kontaktdaten werden nicht ohne Einwilligung an andere Unternehmen oder Partner weitergegeben.</w:t>
      </w:r>
      <w:r>
        <w:t xml:space="preserve"> </w:t>
      </w:r>
      <w:r w:rsidRPr="00C01674">
        <w:t xml:space="preserve">Die Partnersteuerung lässt sich kontrollieren: Die Verbindung zwischen Somfy-Server und externen Diensten (Philips Hue, Sonos, Alexa, Google Assistant) ist jederzeit trennbar – über die </w:t>
      </w:r>
      <w:proofErr w:type="spellStart"/>
      <w:r w:rsidRPr="00C01674">
        <w:t>TaHoma</w:t>
      </w:r>
      <w:proofErr w:type="spellEnd"/>
      <w:r w:rsidRPr="00C01674">
        <w:t>-App oder über das Konto des Partners</w:t>
      </w:r>
      <w:r>
        <w:t>.</w:t>
      </w:r>
    </w:p>
    <w:p w14:paraId="435A6FD9" w14:textId="28CE7D0B" w:rsidR="003E5E7F" w:rsidRDefault="00000000">
      <w:pPr>
        <w:spacing w:after="140" w:line="276" w:lineRule="auto"/>
      </w:pPr>
      <w:r>
        <w:lastRenderedPageBreak/>
        <w:t>Data-Act-spezifische Pflichtangaben (</w:t>
      </w:r>
      <w:proofErr w:type="spellStart"/>
      <w:r>
        <w:t>lit</w:t>
      </w:r>
      <w:proofErr w:type="spellEnd"/>
      <w:r>
        <w:t>. g–i) sind nicht erkennbar adressiert.</w:t>
      </w:r>
      <w:r w:rsidR="00C01674">
        <w:t xml:space="preserve"> </w:t>
      </w:r>
      <w:r w:rsidR="00C01674" w:rsidRPr="00C01674">
        <w:t xml:space="preserve">Zur Privatsphäre der Kameras: Eine motorisierte Blende stoppt die Aufnahme bei Anwesenheit; bei einem Eindringen wird 30 Sekunden lang aufgezeichnet, und die Videos sind eine Woche lang kostenlos über die App Somfy </w:t>
      </w:r>
      <w:proofErr w:type="spellStart"/>
      <w:r w:rsidR="00C01674" w:rsidRPr="00C01674">
        <w:t>Protect</w:t>
      </w:r>
      <w:proofErr w:type="spellEnd"/>
      <w:r w:rsidR="00C01674" w:rsidRPr="00C01674">
        <w:t xml:space="preserve"> herunterladbar. Offline gilt: Ohne Internet bleiben lokale Befehle und Fernbedienungen aktiv; bei Alarmen sorgen eine Notstrombatterie, funktionsfähige Sirenen und SMS-Benachrichtigung für Schutz, bei bestimmten Lösungen ergänzt durch ein Notfall-Netzwerk per Abo. Bei den Betroffenenrechten nennt Somfy Auskunft, Berichtigung, Löschung/Recht auf Vergessenwerden, Einschränkung, Widerspruch, das Recht, keiner automatisierten Entscheidung unterworfen zu werden, sowie Information über die Verarbeitung. Gespeicherte und übertragene Daten werden verschlüsselt, ergänzt durch regelmäßige Audits und Serverüberwachung.</w:t>
      </w:r>
      <w:hyperlink r:id="rId8" w:history="1">
        <w:r w:rsidR="00C01674" w:rsidRPr="00C01674">
          <w:rPr>
            <w:rStyle w:val="Hyperlink"/>
          </w:rPr>
          <w:t xml:space="preserve"> </w:t>
        </w:r>
      </w:hyperlink>
    </w:p>
    <w:p w14:paraId="7F81BB09" w14:textId="77777777" w:rsidR="003E5E7F" w:rsidRDefault="00000000">
      <w:pPr>
        <w:spacing w:after="140" w:line="276" w:lineRule="auto"/>
      </w:pPr>
      <w:r>
        <w:rPr>
          <w:b/>
          <w:bCs/>
        </w:rPr>
        <w:t xml:space="preserve">(e) Bewertung. </w:t>
      </w:r>
      <w:r>
        <w:t>Die Angaben sind überwiegend DSGVO-orientiert und generisch; ein Data-Act-Hinweis fehlt. Bewertung: Existenz 1, Timing 1–2, Qualität 2, Auffindbarkeit 2–3.</w:t>
      </w:r>
      <w:r>
        <w:rPr>
          <w:rStyle w:val="Funotenzeichen"/>
        </w:rPr>
        <w:footnoteReference w:id="12"/>
      </w:r>
    </w:p>
    <w:p w14:paraId="2EF134FE" w14:textId="77777777" w:rsidR="003E5E7F" w:rsidRDefault="00000000">
      <w:pPr>
        <w:pStyle w:val="berschrift3"/>
      </w:pPr>
      <w:bookmarkStart w:id="23" w:name="_Toc232151351"/>
      <w:r>
        <w:t xml:space="preserve">4.1.4 </w:t>
      </w:r>
      <w:proofErr w:type="gramStart"/>
      <w:r>
        <w:t>Gewiss</w:t>
      </w:r>
      <w:proofErr w:type="gramEnd"/>
      <w:r>
        <w:t xml:space="preserve"> – Home Gateway </w:t>
      </w:r>
      <w:proofErr w:type="spellStart"/>
      <w:r>
        <w:t>Chorusmart</w:t>
      </w:r>
      <w:proofErr w:type="spellEnd"/>
      <w:r>
        <w:t xml:space="preserve"> (Italien)</w:t>
      </w:r>
      <w:bookmarkEnd w:id="23"/>
    </w:p>
    <w:p w14:paraId="07BE5FAE" w14:textId="77777777" w:rsidR="00C01674" w:rsidRDefault="00000000">
      <w:pPr>
        <w:spacing w:after="140" w:line="276" w:lineRule="auto"/>
        <w:rPr>
          <w:b/>
          <w:bCs/>
        </w:rPr>
      </w:pPr>
      <w:r>
        <w:rPr>
          <w:b/>
          <w:bCs/>
        </w:rPr>
        <w:t>(a) Dateninhaber und Untersuchungsgegenstand.</w:t>
      </w:r>
    </w:p>
    <w:p w14:paraId="768ABD53" w14:textId="0C599F31" w:rsidR="003E5E7F" w:rsidRDefault="00C01674">
      <w:pPr>
        <w:spacing w:after="140" w:line="276" w:lineRule="auto"/>
      </w:pPr>
      <w:proofErr w:type="spellStart"/>
      <w:r w:rsidRPr="00C01674">
        <w:t>Titolare</w:t>
      </w:r>
      <w:proofErr w:type="spellEnd"/>
      <w:r w:rsidRPr="00C01674">
        <w:t xml:space="preserve">/Verantwortlicher ist die Gewiss </w:t>
      </w:r>
      <w:proofErr w:type="spellStart"/>
      <w:r w:rsidRPr="00C01674">
        <w:t>S.p.A</w:t>
      </w:r>
      <w:proofErr w:type="spellEnd"/>
      <w:r w:rsidRPr="00C01674">
        <w:t xml:space="preserve">. (Via Domenico </w:t>
      </w:r>
      <w:proofErr w:type="spellStart"/>
      <w:r w:rsidRPr="00C01674">
        <w:t>Bosatelli</w:t>
      </w:r>
      <w:proofErr w:type="spellEnd"/>
      <w:r w:rsidRPr="00C01674">
        <w:t xml:space="preserve"> 1, Cenate Sotto/BG; DPO: </w:t>
      </w:r>
      <w:hyperlink r:id="rId9" w:history="1">
        <w:r w:rsidRPr="0059086C">
          <w:rPr>
            <w:rStyle w:val="Hyperlink"/>
          </w:rPr>
          <w:t>dpo@pec.gewiss.com</w:t>
        </w:r>
      </w:hyperlink>
      <w:r w:rsidRPr="00C01674">
        <w:t>)</w:t>
      </w:r>
      <w:r>
        <w:t xml:space="preserve">. </w:t>
      </w:r>
      <w:r w:rsidR="00000000">
        <w:t>Untersucht wurde eine Art.-13-DSGVO-Information für die Home-Gateway-App. Ein eigenständiges Data-Act-Dokument war nicht auffindbar.</w:t>
      </w:r>
      <w:r w:rsidR="00000000">
        <w:rPr>
          <w:rStyle w:val="Funotenzeichen"/>
        </w:rPr>
        <w:footnoteReference w:id="13"/>
      </w:r>
    </w:p>
    <w:p w14:paraId="3AFD5E4D" w14:textId="77777777" w:rsidR="00C01674" w:rsidRDefault="00000000">
      <w:pPr>
        <w:spacing w:after="140" w:line="276" w:lineRule="auto"/>
      </w:pPr>
      <w:r>
        <w:rPr>
          <w:b/>
          <w:bCs/>
        </w:rPr>
        <w:t xml:space="preserve">(b) Produktdaten – Art. 3 Abs. 2 </w:t>
      </w:r>
      <w:proofErr w:type="spellStart"/>
      <w:r>
        <w:rPr>
          <w:b/>
          <w:bCs/>
        </w:rPr>
        <w:t>lit</w:t>
      </w:r>
      <w:proofErr w:type="spellEnd"/>
      <w:r>
        <w:rPr>
          <w:b/>
          <w:bCs/>
        </w:rPr>
        <w:t xml:space="preserve">. a–d. </w:t>
      </w:r>
      <w:r>
        <w:t>Die Datenkategorien (</w:t>
      </w:r>
      <w:proofErr w:type="spellStart"/>
      <w:r>
        <w:t>lit</w:t>
      </w:r>
      <w:proofErr w:type="spellEnd"/>
      <w:r>
        <w:t xml:space="preserve">. a) sind detailliert: </w:t>
      </w:r>
      <w:r w:rsidR="00C01674">
        <w:t xml:space="preserve">Registrierungsdaten </w:t>
      </w:r>
      <w:r w:rsidR="00C01674" w:rsidRPr="00C01674">
        <w:t>(</w:t>
      </w:r>
      <w:r w:rsidR="00C01674" w:rsidRPr="00C01674">
        <w:t xml:space="preserve">Name, E-Mail, Geburtsdatum, Adresse; möglich ist ein </w:t>
      </w:r>
      <w:proofErr w:type="spellStart"/>
      <w:r w:rsidR="00C01674" w:rsidRPr="00C01674">
        <w:t>Social</w:t>
      </w:r>
      <w:proofErr w:type="spellEnd"/>
      <w:r w:rsidR="00C01674" w:rsidRPr="00C01674">
        <w:t xml:space="preserve"> Login über Facebook, Google oder Apple)</w:t>
      </w:r>
      <w:r w:rsidR="00C01674">
        <w:t xml:space="preserve"> </w:t>
      </w:r>
      <w:r>
        <w:t xml:space="preserve">sowie umfangreiche Nutzungs- und Gerätedaten (z. B. </w:t>
      </w:r>
      <w:r w:rsidR="00C01674" w:rsidRPr="00C01674">
        <w:t xml:space="preserve">IP/Geräte-ID und -modell, URI und Server-Logs, Status und Statusänderungen der Geräte, elektrische Messwerte (Energie/Leistung), Parametrierungen (Logik, </w:t>
      </w:r>
      <w:proofErr w:type="spellStart"/>
      <w:r w:rsidR="00C01674" w:rsidRPr="00C01674">
        <w:t>Timer</w:t>
      </w:r>
      <w:proofErr w:type="spellEnd"/>
      <w:r w:rsidR="00C01674" w:rsidRPr="00C01674">
        <w:t>, Szenarien, Bewässerung, Temperaturregelung), Interaktionen und Befehle, E-Mail/Telefon für Benachrichtigungen sowie Geolokalisierung und Bewegungssensoren des Geräts</w:t>
      </w:r>
      <w:r>
        <w:t>).</w:t>
      </w:r>
    </w:p>
    <w:p w14:paraId="49A850C5" w14:textId="222494FA" w:rsidR="00C01674" w:rsidRDefault="00C01674">
      <w:pPr>
        <w:spacing w:after="140" w:line="276" w:lineRule="auto"/>
      </w:pPr>
      <w:r w:rsidRPr="00C01674">
        <w:t xml:space="preserve">Zu Zwecken und Rechtsgrundlagen: Zugang und Nutzung der App sowie die Kommunikation mit dem Nutzer stützen sich auf die Vertragserfüllung, während Direktmarketing und </w:t>
      </w:r>
      <w:proofErr w:type="spellStart"/>
      <w:r w:rsidRPr="00C01674">
        <w:t>Profiling</w:t>
      </w:r>
      <w:proofErr w:type="spellEnd"/>
      <w:r w:rsidRPr="00C01674">
        <w:t xml:space="preserve"> jeweils auf Einwilligung beruhen. Die Speicherfristen </w:t>
      </w:r>
      <w:r>
        <w:t>(</w:t>
      </w:r>
      <w:proofErr w:type="spellStart"/>
      <w:r w:rsidRPr="00C01674">
        <w:t>lit</w:t>
      </w:r>
      <w:proofErr w:type="spellEnd"/>
      <w:r w:rsidRPr="00C01674">
        <w:t xml:space="preserve">. c) betragen Vertragsdauer plus 10 Jahre für die Dienstnutzung, 24 Monate für Marketing und 12 Monate für </w:t>
      </w:r>
      <w:proofErr w:type="spellStart"/>
      <w:r w:rsidRPr="00C01674">
        <w:t>Profiling</w:t>
      </w:r>
      <w:proofErr w:type="spellEnd"/>
      <w:r w:rsidRPr="00C01674">
        <w:t xml:space="preserve">, jeweils bis zum Widerruf. Als Empfänger nennt Gewiss Kanzleien, E-Mail-Dienstleister, Hosting- und Technikdienstleister, Marktforschung, Telekommunikationsanbieter sowie Gesellschaften der Gewiss-Gruppe und Aufsichtsbehörden. Zum Transfer: Die Verarbeitung erfolgt innerhalb des EWR, außerhalb nur mit den Garantien des Art. 46 DSGVO. Bei den Betroffenenrechten werden Widerruf, Auskunft, Berichtigung, Löschung, Einschränkung, Datenübertragbarkeit, Widerspruch und das Recht auf keine ausschließlich automatisierte Entscheidung sowie die Beschwerde beim </w:t>
      </w:r>
      <w:proofErr w:type="spellStart"/>
      <w:r w:rsidRPr="00C01674">
        <w:t>Garante</w:t>
      </w:r>
      <w:proofErr w:type="spellEnd"/>
      <w:r w:rsidRPr="00C01674">
        <w:t xml:space="preserve"> genannt. Besonderheit: Ein professioneller Installateur oder Administrator, der die App seinen Mitarbeitern bereitstellt, wird selbst </w:t>
      </w:r>
      <w:proofErr w:type="spellStart"/>
      <w:r w:rsidRPr="00C01674">
        <w:t>Titolare</w:t>
      </w:r>
      <w:proofErr w:type="spellEnd"/>
      <w:r w:rsidRPr="00C01674">
        <w:t xml:space="preserve"> und muss eine eigene Art.-13-Information bereitstellen. Zur Funktionsweise: Das System ist </w:t>
      </w:r>
      <w:proofErr w:type="spellStart"/>
      <w:r w:rsidRPr="00C01674">
        <w:t>Zigbee</w:t>
      </w:r>
      <w:proofErr w:type="spellEnd"/>
      <w:r w:rsidRPr="00C01674">
        <w:t xml:space="preserve">-basiert, </w:t>
      </w:r>
      <w:r w:rsidRPr="00C01674">
        <w:lastRenderedPageBreak/>
        <w:t>wird über die Home Gateway APP und EGO-Smart-Platten gesteuert und integriert sich mit Google Home, Amazon Alexa und IFTTT samt Sprachsteuerung über Google und Alexa.</w:t>
      </w:r>
      <w:hyperlink r:id="rId10" w:history="1">
        <w:r w:rsidRPr="00C01674">
          <w:rPr>
            <w:rStyle w:val="Hyperlink"/>
          </w:rPr>
          <w:t xml:space="preserve"> </w:t>
        </w:r>
      </w:hyperlink>
    </w:p>
    <w:p w14:paraId="730ABCBE" w14:textId="77777777" w:rsidR="003E5E7F" w:rsidRDefault="00000000">
      <w:pPr>
        <w:spacing w:after="140" w:line="276" w:lineRule="auto"/>
      </w:pPr>
      <w:r>
        <w:rPr>
          <w:b/>
          <w:bCs/>
        </w:rPr>
        <w:t xml:space="preserve">(e) Bewertung. </w:t>
      </w:r>
      <w:r>
        <w:t>Detailliert, aber rein DSGVO-basiert; Data-Act-spezifische Zugangsfragen bleiben offen. Bewertung: Existenz 1, Timing 2, Qualität 3, Auffindbarkeit 3.</w:t>
      </w:r>
      <w:r>
        <w:rPr>
          <w:rStyle w:val="Funotenzeichen"/>
        </w:rPr>
        <w:footnoteReference w:id="14"/>
      </w:r>
    </w:p>
    <w:p w14:paraId="0B762314" w14:textId="77777777" w:rsidR="0075447C" w:rsidRDefault="0075447C">
      <w:pPr>
        <w:spacing w:after="140" w:line="276" w:lineRule="auto"/>
      </w:pPr>
    </w:p>
    <w:p w14:paraId="7DF7CCB7" w14:textId="77777777" w:rsidR="003E5E7F" w:rsidRDefault="00000000">
      <w:pPr>
        <w:pStyle w:val="berschrift2"/>
      </w:pPr>
      <w:bookmarkStart w:id="24" w:name="_Toc232151352"/>
      <w:r>
        <w:t>4.2 Analyse der technischen Bereitstellungspflichten (Art. 3 Abs. 1)</w:t>
      </w:r>
      <w:bookmarkEnd w:id="24"/>
    </w:p>
    <w:p w14:paraId="267586E3" w14:textId="77777777" w:rsidR="003E5E7F" w:rsidRDefault="00000000">
      <w:pPr>
        <w:spacing w:after="140" w:line="276" w:lineRule="auto"/>
      </w:pPr>
      <w:r>
        <w:t xml:space="preserve">Dieser Abschnitt untersucht die technische Umsetzung der „Access </w:t>
      </w:r>
      <w:proofErr w:type="spellStart"/>
      <w:r>
        <w:t>by</w:t>
      </w:r>
      <w:proofErr w:type="spellEnd"/>
      <w:r>
        <w:t xml:space="preserve"> Design“-Pflicht. Bewertet werden (</w:t>
      </w:r>
      <w:proofErr w:type="spellStart"/>
      <w:r>
        <w:t>Kriteriengruppe</w:t>
      </w:r>
      <w:proofErr w:type="spellEnd"/>
      <w:r>
        <w:t xml:space="preserve"> C): Datenzugangsfunktionen, Datenformate, Kostenfreiheit, Zugriffskontrolle/Sicherheit sowie APIs.</w:t>
      </w:r>
      <w:r>
        <w:rPr>
          <w:rStyle w:val="Funotenzeichen"/>
        </w:rPr>
        <w:footnoteReference w:id="15"/>
      </w:r>
    </w:p>
    <w:p w14:paraId="2E302D2C" w14:textId="50BD055A" w:rsidR="00C01674" w:rsidRDefault="00000000">
      <w:pPr>
        <w:spacing w:after="140" w:line="276" w:lineRule="auto"/>
      </w:pPr>
      <w:r>
        <w:rPr>
          <w:b/>
          <w:bCs/>
        </w:rPr>
        <w:t xml:space="preserve">Bosch Smart Home: </w:t>
      </w:r>
      <w:r w:rsidR="00C01674" w:rsidRPr="00C01674">
        <w:t xml:space="preserve">Bosch bietet zwei technische Zugangswege: den Zugriff über die Smart Home App bzw. Smart </w:t>
      </w:r>
      <w:proofErr w:type="spellStart"/>
      <w:r w:rsidR="00C01674" w:rsidRPr="00C01674">
        <w:t>Camera</w:t>
      </w:r>
      <w:proofErr w:type="spellEnd"/>
      <w:r w:rsidR="00C01674" w:rsidRPr="00C01674">
        <w:t xml:space="preserve"> App und – Data-Act-relevant – eine maschinenlesbare lokale Schnittstelle des Smart Home Controllers, an den die Produkte angebunden sind. Für programmatischen Zugriff existiert die Smart-Home-Controller-API, deren Nutzung die Annahme der „Terms and </w:t>
      </w:r>
      <w:proofErr w:type="spellStart"/>
      <w:r w:rsidR="00C01674" w:rsidRPr="00C01674">
        <w:t>Conditions</w:t>
      </w:r>
      <w:proofErr w:type="spellEnd"/>
      <w:r w:rsidR="00C01674" w:rsidRPr="00C01674">
        <w:t xml:space="preserve"> </w:t>
      </w:r>
      <w:proofErr w:type="spellStart"/>
      <w:r w:rsidR="00C01674" w:rsidRPr="00C01674">
        <w:t>for</w:t>
      </w:r>
      <w:proofErr w:type="spellEnd"/>
      <w:r w:rsidR="00C01674" w:rsidRPr="00C01674">
        <w:t xml:space="preserve"> </w:t>
      </w:r>
      <w:proofErr w:type="spellStart"/>
      <w:r w:rsidR="00C01674" w:rsidRPr="00C01674">
        <w:t>developers</w:t>
      </w:r>
      <w:proofErr w:type="spellEnd"/>
      <w:r w:rsidR="00C01674" w:rsidRPr="00C01674">
        <w:t>“ auf GitHub voraussetzt. Ein konkretes Ausgabeformat (JSON, CSV) wird in den ausgewerteten Seiten nicht ausdrücklich benannt; die Maschinenlesbarkeit wird über die lokale Schnittstelle und die API zugesichert, das Format bleibt jedoch undokumentiert. Ein dediziertes Self-Service</w:t>
      </w:r>
      <w:r w:rsidR="0075447C" w:rsidRPr="00C01674">
        <w:t>-</w:t>
      </w:r>
      <w:r w:rsidR="0075447C">
        <w:t xml:space="preserve"> </w:t>
      </w:r>
      <w:r w:rsidR="0075447C" w:rsidRPr="00C01674">
        <w:t>„</w:t>
      </w:r>
      <w:r w:rsidR="0075447C">
        <w:t>Datenportal</w:t>
      </w:r>
      <w:r w:rsidR="00C01674" w:rsidRPr="00C01674">
        <w:t xml:space="preserve">“ für den Bulk-Export fehlt – der Zugang ist an App und </w:t>
      </w:r>
      <w:proofErr w:type="spellStart"/>
      <w:r w:rsidR="00C01674" w:rsidRPr="00C01674">
        <w:t>SingleKey</w:t>
      </w:r>
      <w:proofErr w:type="spellEnd"/>
      <w:r w:rsidR="00C01674" w:rsidRPr="00C01674">
        <w:t>-ID gekoppelt.</w:t>
      </w:r>
      <w:r w:rsidR="0075447C">
        <w:t xml:space="preserve"> </w:t>
      </w:r>
    </w:p>
    <w:p w14:paraId="6A37693A" w14:textId="6246D20A" w:rsidR="00C01674" w:rsidRPr="00C01674" w:rsidRDefault="00000000" w:rsidP="00C01674">
      <w:pPr>
        <w:spacing w:after="140" w:line="276" w:lineRule="auto"/>
      </w:pPr>
      <w:r>
        <w:rPr>
          <w:b/>
          <w:bCs/>
        </w:rPr>
        <w:t xml:space="preserve">Philips Hue: </w:t>
      </w:r>
      <w:r w:rsidR="00C01674" w:rsidRPr="00C01674">
        <w:t>Hier ist die Bereitstellung am ausgereiftesten. Es gibt direkten Zugang in Echtzeit über eine API und indirekten Zugang in Form einer Bulk-Datei per E-Mail, beantragbar über ein Online-</w:t>
      </w:r>
      <w:proofErr w:type="spellStart"/>
      <w:r w:rsidR="00C01674" w:rsidRPr="00C01674">
        <w:t>Intake</w:t>
      </w:r>
      <w:proofErr w:type="spellEnd"/>
      <w:r w:rsidR="00C01674" w:rsidRPr="00C01674">
        <w:t xml:space="preserve">-Formular; das Ausgabeformat ist ausdrücklich JSON. Technisch stehen die öffentliche </w:t>
      </w:r>
      <w:proofErr w:type="spellStart"/>
      <w:r w:rsidR="00C01674" w:rsidRPr="00C01674">
        <w:t>Zigbee</w:t>
      </w:r>
      <w:proofErr w:type="spellEnd"/>
      <w:r w:rsidR="00C01674" w:rsidRPr="00C01674">
        <w:t>-Schnittstelle (Protokoll über csa-iot.org) sowie die lokale CLIP-Schnittstelle der Hue Bridge zur Verfügung; das eingeräumte API-Recht ist eingeschränkt, widerruflich, nicht übertragbar und auf das Auslesen von Produktdaten begrenzt. Für Entwickler existiert mit developers.meethue.com ein echtes Portal. Damit erfüllt Philips die Kriterien „Exportfunktion + Portal + API + maschinenlesbares Format“ vollständig.</w:t>
      </w:r>
      <w:r w:rsidR="0075447C" w:rsidRPr="00C01674">
        <w:t xml:space="preserve"> </w:t>
      </w:r>
    </w:p>
    <w:p w14:paraId="6ACCC76F" w14:textId="77777777" w:rsidR="00C01674" w:rsidRPr="00C01674" w:rsidRDefault="00C01674" w:rsidP="00C01674">
      <w:pPr>
        <w:spacing w:after="140" w:line="276" w:lineRule="auto"/>
      </w:pPr>
    </w:p>
    <w:p w14:paraId="76FFCA1A" w14:textId="729DB89E" w:rsidR="00C01674" w:rsidRPr="00C01674" w:rsidRDefault="00000000" w:rsidP="00C01674">
      <w:pPr>
        <w:spacing w:after="140" w:line="276" w:lineRule="auto"/>
      </w:pPr>
      <w:r>
        <w:rPr>
          <w:b/>
          <w:bCs/>
        </w:rPr>
        <w:t xml:space="preserve">Somfy: </w:t>
      </w:r>
      <w:r w:rsidR="00C01674" w:rsidRPr="00C01674">
        <w:t xml:space="preserve">Es war kein Data-Act-Exportpfad und kein maschinenlesbares Datenportal auffindbar. Im Kundenkonto existiert ein Bereich „Mes </w:t>
      </w:r>
      <w:proofErr w:type="spellStart"/>
      <w:r w:rsidR="00C01674" w:rsidRPr="00C01674">
        <w:t>données</w:t>
      </w:r>
      <w:proofErr w:type="spellEnd"/>
      <w:r w:rsidR="00C01674" w:rsidRPr="00C01674">
        <w:t xml:space="preserve">“, und die Datenschutzinformation nennt allgemeine Betroffenenrechte (u. a. Auskunft und Information über die Verarbeitung); eine strukturierte Portabilität im Sinne des Data Act wird jedoch nicht beschrieben. Als einzige konkrete „Export“-Funktion lässt sich der eine Woche lang mögliche, kostenlose Video-Download über die App Somfy </w:t>
      </w:r>
      <w:proofErr w:type="spellStart"/>
      <w:r w:rsidR="00C01674" w:rsidRPr="00C01674">
        <w:t>Protect</w:t>
      </w:r>
      <w:proofErr w:type="spellEnd"/>
      <w:r w:rsidR="00C01674" w:rsidRPr="00C01674">
        <w:t xml:space="preserve"> einordnen – ohne Angabe zu Format oder Maschinenlesbarkeit. Eine API für Produktdaten ist nicht dokumentiert.</w:t>
      </w:r>
      <w:r w:rsidR="0075447C" w:rsidRPr="00C01674">
        <w:t xml:space="preserve"> </w:t>
      </w:r>
    </w:p>
    <w:p w14:paraId="7D0BDF40" w14:textId="7ACF6178" w:rsidR="00C01674" w:rsidRDefault="00000000">
      <w:pPr>
        <w:spacing w:after="140" w:line="276" w:lineRule="auto"/>
      </w:pPr>
      <w:r>
        <w:rPr>
          <w:b/>
          <w:bCs/>
        </w:rPr>
        <w:lastRenderedPageBreak/>
        <w:t xml:space="preserve">Gewiss: </w:t>
      </w:r>
      <w:r w:rsidR="00C01674" w:rsidRPr="00C01674">
        <w:t>Gewiss stützt sich technisch auf die DSGVO: Das Recht auf Datenübertragbarkeit nach Art. 20 wird genannt, also die Herausgabe der personenbezogenen Daten in einem strukturierten, gängigen und maschinenlesbaren Format und das Recht, diese an einen anderen Verantwortlichen zu übermitteln. Ein konkretes Format (JSON/CSV), eine Export-Self-Service-Funktion oder eine offene Produktdaten-API werden jedoch nicht beschrieben; der Zugang läuft praktisch über eine Anfrage an privacy@gewiss.com. Eine Data-Act-spezifische Bereitstellung der erzeugten Produktdaten fehlt.</w:t>
      </w:r>
      <w:r w:rsidR="0075447C">
        <w:t xml:space="preserve"> </w:t>
      </w:r>
    </w:p>
    <w:p w14:paraId="5B8894A1" w14:textId="77777777" w:rsidR="003E5E7F" w:rsidRDefault="00000000">
      <w:pPr>
        <w:spacing w:before="100" w:after="80"/>
        <w:rPr>
          <w:i/>
          <w:iCs/>
          <w:sz w:val="20"/>
          <w:szCs w:val="20"/>
        </w:rPr>
      </w:pPr>
      <w:r w:rsidRPr="00C01674">
        <w:rPr>
          <w:i/>
          <w:iCs/>
          <w:sz w:val="20"/>
          <w:szCs w:val="20"/>
        </w:rPr>
        <w:t>Tabelle 4.2: Bewertung der technischen Bereitstellung (</w:t>
      </w:r>
      <w:proofErr w:type="spellStart"/>
      <w:r w:rsidRPr="00C01674">
        <w:rPr>
          <w:i/>
          <w:iCs/>
          <w:sz w:val="20"/>
          <w:szCs w:val="20"/>
        </w:rPr>
        <w:t>Kriteriengruppe</w:t>
      </w:r>
      <w:proofErr w:type="spellEnd"/>
      <w:r w:rsidRPr="00C01674">
        <w:rPr>
          <w:i/>
          <w:iCs/>
          <w:sz w:val="20"/>
          <w:szCs w:val="20"/>
        </w:rPr>
        <w:t xml:space="preserve"> C).</w:t>
      </w:r>
    </w:p>
    <w:p w14:paraId="0041BA12" w14:textId="77777777" w:rsidR="00C01674" w:rsidRPr="00C01674" w:rsidRDefault="00C01674">
      <w:pPr>
        <w:spacing w:before="100" w:after="80"/>
        <w:rPr>
          <w:sz w:val="24"/>
          <w:szCs w:val="24"/>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300"/>
        <w:gridCol w:w="1300"/>
        <w:gridCol w:w="1500"/>
        <w:gridCol w:w="2260"/>
      </w:tblGrid>
      <w:tr w:rsidR="00C85447" w14:paraId="59C21032" w14:textId="77777777">
        <w:tblPrEx>
          <w:tblCellMar>
            <w:top w:w="0" w:type="dxa"/>
            <w:bottom w:w="0" w:type="dxa"/>
          </w:tblCellMar>
        </w:tblPrEx>
        <w:tc>
          <w:tcPr>
            <w:tcW w:w="1700" w:type="dxa"/>
            <w:shd w:val="clear" w:color="auto" w:fill="D9E2F3"/>
            <w:tcMar>
              <w:top w:w="60" w:type="dxa"/>
              <w:left w:w="100" w:type="dxa"/>
              <w:bottom w:w="60" w:type="dxa"/>
              <w:right w:w="100" w:type="dxa"/>
            </w:tcMar>
          </w:tcPr>
          <w:p w14:paraId="21BAD089" w14:textId="77777777" w:rsidR="003E5E7F" w:rsidRDefault="00000000">
            <w:r>
              <w:rPr>
                <w:b/>
                <w:bCs/>
                <w:sz w:val="18"/>
                <w:szCs w:val="18"/>
              </w:rPr>
              <w:t>Unternehmen</w:t>
            </w:r>
          </w:p>
        </w:tc>
        <w:tc>
          <w:tcPr>
            <w:tcW w:w="1300" w:type="dxa"/>
            <w:shd w:val="clear" w:color="auto" w:fill="D9E2F3"/>
            <w:tcMar>
              <w:top w:w="60" w:type="dxa"/>
              <w:left w:w="100" w:type="dxa"/>
              <w:bottom w:w="60" w:type="dxa"/>
              <w:right w:w="100" w:type="dxa"/>
            </w:tcMar>
          </w:tcPr>
          <w:p w14:paraId="16DEEEC4" w14:textId="77777777" w:rsidR="003E5E7F" w:rsidRDefault="00000000">
            <w:r>
              <w:rPr>
                <w:b/>
                <w:bCs/>
                <w:sz w:val="18"/>
                <w:szCs w:val="18"/>
              </w:rPr>
              <w:t>Existenz (0–2)</w:t>
            </w:r>
          </w:p>
        </w:tc>
        <w:tc>
          <w:tcPr>
            <w:tcW w:w="1300" w:type="dxa"/>
            <w:shd w:val="clear" w:color="auto" w:fill="D9E2F3"/>
            <w:tcMar>
              <w:top w:w="60" w:type="dxa"/>
              <w:left w:w="100" w:type="dxa"/>
              <w:bottom w:w="60" w:type="dxa"/>
              <w:right w:w="100" w:type="dxa"/>
            </w:tcMar>
          </w:tcPr>
          <w:p w14:paraId="017A8443" w14:textId="77777777" w:rsidR="003E5E7F" w:rsidRDefault="00000000">
            <w:r>
              <w:rPr>
                <w:b/>
                <w:bCs/>
                <w:sz w:val="18"/>
                <w:szCs w:val="18"/>
              </w:rPr>
              <w:t>Timing (0–3)</w:t>
            </w:r>
          </w:p>
        </w:tc>
        <w:tc>
          <w:tcPr>
            <w:tcW w:w="1300" w:type="dxa"/>
            <w:shd w:val="clear" w:color="auto" w:fill="D9E2F3"/>
            <w:tcMar>
              <w:top w:w="60" w:type="dxa"/>
              <w:left w:w="100" w:type="dxa"/>
              <w:bottom w:w="60" w:type="dxa"/>
              <w:right w:w="100" w:type="dxa"/>
            </w:tcMar>
          </w:tcPr>
          <w:p w14:paraId="5430B483" w14:textId="77777777" w:rsidR="003E5E7F" w:rsidRDefault="00000000">
            <w:r>
              <w:rPr>
                <w:b/>
                <w:bCs/>
                <w:sz w:val="18"/>
                <w:szCs w:val="18"/>
              </w:rPr>
              <w:t>Qualität (1–5)</w:t>
            </w:r>
          </w:p>
        </w:tc>
        <w:tc>
          <w:tcPr>
            <w:tcW w:w="1500" w:type="dxa"/>
            <w:shd w:val="clear" w:color="auto" w:fill="D9E2F3"/>
            <w:tcMar>
              <w:top w:w="60" w:type="dxa"/>
              <w:left w:w="100" w:type="dxa"/>
              <w:bottom w:w="60" w:type="dxa"/>
              <w:right w:w="100" w:type="dxa"/>
            </w:tcMar>
          </w:tcPr>
          <w:p w14:paraId="6B89EBF1" w14:textId="77777777" w:rsidR="003E5E7F" w:rsidRDefault="00000000">
            <w:r>
              <w:rPr>
                <w:b/>
                <w:bCs/>
                <w:sz w:val="18"/>
                <w:szCs w:val="18"/>
              </w:rPr>
              <w:t>Auffindbarkeit (1–5)</w:t>
            </w:r>
          </w:p>
        </w:tc>
        <w:tc>
          <w:tcPr>
            <w:tcW w:w="2260" w:type="dxa"/>
            <w:shd w:val="clear" w:color="auto" w:fill="D9E2F3"/>
            <w:tcMar>
              <w:top w:w="60" w:type="dxa"/>
              <w:left w:w="100" w:type="dxa"/>
              <w:bottom w:w="60" w:type="dxa"/>
              <w:right w:w="100" w:type="dxa"/>
            </w:tcMar>
          </w:tcPr>
          <w:p w14:paraId="252D6680" w14:textId="77777777" w:rsidR="003E5E7F" w:rsidRDefault="00000000">
            <w:r>
              <w:rPr>
                <w:b/>
                <w:bCs/>
                <w:sz w:val="18"/>
                <w:szCs w:val="18"/>
              </w:rPr>
              <w:t>Kurzbegründung</w:t>
            </w:r>
          </w:p>
        </w:tc>
      </w:tr>
      <w:tr w:rsidR="00C85447" w14:paraId="2B3B77DA" w14:textId="77777777">
        <w:tblPrEx>
          <w:tblCellMar>
            <w:top w:w="0" w:type="dxa"/>
            <w:bottom w:w="0" w:type="dxa"/>
          </w:tblCellMar>
        </w:tblPrEx>
        <w:tc>
          <w:tcPr>
            <w:tcW w:w="1700" w:type="dxa"/>
            <w:tcMar>
              <w:top w:w="60" w:type="dxa"/>
              <w:left w:w="100" w:type="dxa"/>
              <w:bottom w:w="60" w:type="dxa"/>
              <w:right w:w="100" w:type="dxa"/>
            </w:tcMar>
          </w:tcPr>
          <w:p w14:paraId="04F423E3" w14:textId="77777777" w:rsidR="003E5E7F" w:rsidRDefault="00000000">
            <w:r>
              <w:rPr>
                <w:sz w:val="18"/>
                <w:szCs w:val="18"/>
              </w:rPr>
              <w:t>Bosch</w:t>
            </w:r>
          </w:p>
        </w:tc>
        <w:tc>
          <w:tcPr>
            <w:tcW w:w="1300" w:type="dxa"/>
            <w:tcMar>
              <w:top w:w="60" w:type="dxa"/>
              <w:left w:w="100" w:type="dxa"/>
              <w:bottom w:w="60" w:type="dxa"/>
              <w:right w:w="100" w:type="dxa"/>
            </w:tcMar>
          </w:tcPr>
          <w:p w14:paraId="25116726" w14:textId="77777777" w:rsidR="003E5E7F" w:rsidRDefault="00000000">
            <w:r>
              <w:rPr>
                <w:sz w:val="18"/>
                <w:szCs w:val="18"/>
              </w:rPr>
              <w:t>2</w:t>
            </w:r>
          </w:p>
        </w:tc>
        <w:tc>
          <w:tcPr>
            <w:tcW w:w="1300" w:type="dxa"/>
            <w:tcMar>
              <w:top w:w="60" w:type="dxa"/>
              <w:left w:w="100" w:type="dxa"/>
              <w:bottom w:w="60" w:type="dxa"/>
              <w:right w:w="100" w:type="dxa"/>
            </w:tcMar>
          </w:tcPr>
          <w:p w14:paraId="27AEF2AD" w14:textId="77777777" w:rsidR="003E5E7F" w:rsidRDefault="00000000">
            <w:r>
              <w:rPr>
                <w:sz w:val="18"/>
                <w:szCs w:val="18"/>
              </w:rPr>
              <w:t>2</w:t>
            </w:r>
          </w:p>
        </w:tc>
        <w:tc>
          <w:tcPr>
            <w:tcW w:w="1300" w:type="dxa"/>
            <w:tcMar>
              <w:top w:w="60" w:type="dxa"/>
              <w:left w:w="100" w:type="dxa"/>
              <w:bottom w:w="60" w:type="dxa"/>
              <w:right w:w="100" w:type="dxa"/>
            </w:tcMar>
          </w:tcPr>
          <w:p w14:paraId="7DA09077" w14:textId="77777777" w:rsidR="003E5E7F" w:rsidRDefault="00000000">
            <w:r>
              <w:rPr>
                <w:sz w:val="18"/>
                <w:szCs w:val="18"/>
              </w:rPr>
              <w:t>4</w:t>
            </w:r>
          </w:p>
        </w:tc>
        <w:tc>
          <w:tcPr>
            <w:tcW w:w="1500" w:type="dxa"/>
            <w:tcMar>
              <w:top w:w="60" w:type="dxa"/>
              <w:left w:w="100" w:type="dxa"/>
              <w:bottom w:w="60" w:type="dxa"/>
              <w:right w:w="100" w:type="dxa"/>
            </w:tcMar>
          </w:tcPr>
          <w:p w14:paraId="13D31939" w14:textId="77777777" w:rsidR="003E5E7F" w:rsidRDefault="00000000">
            <w:r>
              <w:rPr>
                <w:sz w:val="18"/>
                <w:szCs w:val="18"/>
              </w:rPr>
              <w:t>3</w:t>
            </w:r>
          </w:p>
        </w:tc>
        <w:tc>
          <w:tcPr>
            <w:tcW w:w="2260" w:type="dxa"/>
            <w:tcMar>
              <w:top w:w="60" w:type="dxa"/>
              <w:left w:w="100" w:type="dxa"/>
              <w:bottom w:w="60" w:type="dxa"/>
              <w:right w:w="100" w:type="dxa"/>
            </w:tcMar>
          </w:tcPr>
          <w:p w14:paraId="247B5A14" w14:textId="77777777" w:rsidR="003E5E7F" w:rsidRDefault="00000000">
            <w:r>
              <w:rPr>
                <w:sz w:val="18"/>
                <w:szCs w:val="18"/>
              </w:rPr>
              <w:t>Apps + lokale maschinenlesbare Controller-Schnittstelle; API unter Entwicklerbedingungen; Premiumfunktionen kostenpflichtig.</w:t>
            </w:r>
          </w:p>
        </w:tc>
      </w:tr>
      <w:tr w:rsidR="00C85447" w14:paraId="4B835262" w14:textId="77777777">
        <w:tblPrEx>
          <w:tblCellMar>
            <w:top w:w="0" w:type="dxa"/>
            <w:bottom w:w="0" w:type="dxa"/>
          </w:tblCellMar>
        </w:tblPrEx>
        <w:tc>
          <w:tcPr>
            <w:tcW w:w="1700" w:type="dxa"/>
            <w:tcMar>
              <w:top w:w="60" w:type="dxa"/>
              <w:left w:w="100" w:type="dxa"/>
              <w:bottom w:w="60" w:type="dxa"/>
              <w:right w:w="100" w:type="dxa"/>
            </w:tcMar>
          </w:tcPr>
          <w:p w14:paraId="23719DB8" w14:textId="77777777" w:rsidR="003E5E7F" w:rsidRDefault="00000000">
            <w:r>
              <w:rPr>
                <w:sz w:val="18"/>
                <w:szCs w:val="18"/>
              </w:rPr>
              <w:t>Philips Hue</w:t>
            </w:r>
          </w:p>
        </w:tc>
        <w:tc>
          <w:tcPr>
            <w:tcW w:w="1300" w:type="dxa"/>
            <w:tcMar>
              <w:top w:w="60" w:type="dxa"/>
              <w:left w:w="100" w:type="dxa"/>
              <w:bottom w:w="60" w:type="dxa"/>
              <w:right w:w="100" w:type="dxa"/>
            </w:tcMar>
          </w:tcPr>
          <w:p w14:paraId="58BC662C" w14:textId="77777777" w:rsidR="003E5E7F" w:rsidRDefault="00000000">
            <w:r>
              <w:rPr>
                <w:sz w:val="18"/>
                <w:szCs w:val="18"/>
              </w:rPr>
              <w:t>2</w:t>
            </w:r>
          </w:p>
        </w:tc>
        <w:tc>
          <w:tcPr>
            <w:tcW w:w="1300" w:type="dxa"/>
            <w:tcMar>
              <w:top w:w="60" w:type="dxa"/>
              <w:left w:w="100" w:type="dxa"/>
              <w:bottom w:w="60" w:type="dxa"/>
              <w:right w:w="100" w:type="dxa"/>
            </w:tcMar>
          </w:tcPr>
          <w:p w14:paraId="4EA88704" w14:textId="77777777" w:rsidR="003E5E7F" w:rsidRDefault="00000000">
            <w:r>
              <w:rPr>
                <w:sz w:val="18"/>
                <w:szCs w:val="18"/>
              </w:rPr>
              <w:t>2</w:t>
            </w:r>
          </w:p>
        </w:tc>
        <w:tc>
          <w:tcPr>
            <w:tcW w:w="1300" w:type="dxa"/>
            <w:tcMar>
              <w:top w:w="60" w:type="dxa"/>
              <w:left w:w="100" w:type="dxa"/>
              <w:bottom w:w="60" w:type="dxa"/>
              <w:right w:w="100" w:type="dxa"/>
            </w:tcMar>
          </w:tcPr>
          <w:p w14:paraId="325086E9" w14:textId="77777777" w:rsidR="003E5E7F" w:rsidRDefault="00000000">
            <w:r>
              <w:rPr>
                <w:sz w:val="18"/>
                <w:szCs w:val="18"/>
              </w:rPr>
              <w:t>5</w:t>
            </w:r>
          </w:p>
        </w:tc>
        <w:tc>
          <w:tcPr>
            <w:tcW w:w="1500" w:type="dxa"/>
            <w:tcMar>
              <w:top w:w="60" w:type="dxa"/>
              <w:left w:w="100" w:type="dxa"/>
              <w:bottom w:w="60" w:type="dxa"/>
              <w:right w:w="100" w:type="dxa"/>
            </w:tcMar>
          </w:tcPr>
          <w:p w14:paraId="5654660B" w14:textId="77777777" w:rsidR="003E5E7F" w:rsidRDefault="00000000">
            <w:r>
              <w:rPr>
                <w:sz w:val="18"/>
                <w:szCs w:val="18"/>
              </w:rPr>
              <w:t>4</w:t>
            </w:r>
          </w:p>
        </w:tc>
        <w:tc>
          <w:tcPr>
            <w:tcW w:w="2260" w:type="dxa"/>
            <w:tcMar>
              <w:top w:w="60" w:type="dxa"/>
              <w:left w:w="100" w:type="dxa"/>
              <w:bottom w:w="60" w:type="dxa"/>
              <w:right w:w="100" w:type="dxa"/>
            </w:tcMar>
          </w:tcPr>
          <w:p w14:paraId="7EDBA62F" w14:textId="77777777" w:rsidR="003E5E7F" w:rsidRDefault="00000000">
            <w:r>
              <w:rPr>
                <w:sz w:val="18"/>
                <w:szCs w:val="18"/>
              </w:rPr>
              <w:t xml:space="preserve">JSON; Echtzeit-API und </w:t>
            </w:r>
            <w:proofErr w:type="spellStart"/>
            <w:r>
              <w:rPr>
                <w:sz w:val="18"/>
                <w:szCs w:val="18"/>
              </w:rPr>
              <w:t>Bulk</w:t>
            </w:r>
            <w:proofErr w:type="spellEnd"/>
            <w:r>
              <w:rPr>
                <w:sz w:val="18"/>
                <w:szCs w:val="18"/>
              </w:rPr>
              <w:t xml:space="preserve">; ausdrücklich kostenlos und widerruflich; </w:t>
            </w:r>
            <w:proofErr w:type="spellStart"/>
            <w:r>
              <w:rPr>
                <w:sz w:val="18"/>
                <w:szCs w:val="18"/>
              </w:rPr>
              <w:t>Zigbee</w:t>
            </w:r>
            <w:proofErr w:type="spellEnd"/>
            <w:r>
              <w:rPr>
                <w:sz w:val="18"/>
                <w:szCs w:val="18"/>
              </w:rPr>
              <w:t>/CLIP.</w:t>
            </w:r>
          </w:p>
        </w:tc>
      </w:tr>
      <w:tr w:rsidR="00C85447" w14:paraId="1B8254BD" w14:textId="77777777">
        <w:tblPrEx>
          <w:tblCellMar>
            <w:top w:w="0" w:type="dxa"/>
            <w:bottom w:w="0" w:type="dxa"/>
          </w:tblCellMar>
        </w:tblPrEx>
        <w:tc>
          <w:tcPr>
            <w:tcW w:w="1700" w:type="dxa"/>
            <w:tcMar>
              <w:top w:w="60" w:type="dxa"/>
              <w:left w:w="100" w:type="dxa"/>
              <w:bottom w:w="60" w:type="dxa"/>
              <w:right w:w="100" w:type="dxa"/>
            </w:tcMar>
          </w:tcPr>
          <w:p w14:paraId="07FC5671" w14:textId="77777777" w:rsidR="003E5E7F" w:rsidRDefault="00000000">
            <w:r>
              <w:rPr>
                <w:sz w:val="18"/>
                <w:szCs w:val="18"/>
              </w:rPr>
              <w:t>Somfy</w:t>
            </w:r>
          </w:p>
        </w:tc>
        <w:tc>
          <w:tcPr>
            <w:tcW w:w="1300" w:type="dxa"/>
            <w:tcMar>
              <w:top w:w="60" w:type="dxa"/>
              <w:left w:w="100" w:type="dxa"/>
              <w:bottom w:w="60" w:type="dxa"/>
              <w:right w:w="100" w:type="dxa"/>
            </w:tcMar>
          </w:tcPr>
          <w:p w14:paraId="768CE28C" w14:textId="77777777" w:rsidR="003E5E7F" w:rsidRDefault="00000000">
            <w:r>
              <w:rPr>
                <w:sz w:val="18"/>
                <w:szCs w:val="18"/>
              </w:rPr>
              <w:t>1</w:t>
            </w:r>
          </w:p>
        </w:tc>
        <w:tc>
          <w:tcPr>
            <w:tcW w:w="1300" w:type="dxa"/>
            <w:tcMar>
              <w:top w:w="60" w:type="dxa"/>
              <w:left w:w="100" w:type="dxa"/>
              <w:bottom w:w="60" w:type="dxa"/>
              <w:right w:w="100" w:type="dxa"/>
            </w:tcMar>
          </w:tcPr>
          <w:p w14:paraId="15DC093A" w14:textId="77777777" w:rsidR="003E5E7F" w:rsidRDefault="00000000">
            <w:r>
              <w:rPr>
                <w:sz w:val="18"/>
                <w:szCs w:val="18"/>
              </w:rPr>
              <w:t>1</w:t>
            </w:r>
          </w:p>
        </w:tc>
        <w:tc>
          <w:tcPr>
            <w:tcW w:w="1300" w:type="dxa"/>
            <w:tcMar>
              <w:top w:w="60" w:type="dxa"/>
              <w:left w:w="100" w:type="dxa"/>
              <w:bottom w:w="60" w:type="dxa"/>
              <w:right w:w="100" w:type="dxa"/>
            </w:tcMar>
          </w:tcPr>
          <w:p w14:paraId="355AACFE" w14:textId="77777777" w:rsidR="003E5E7F" w:rsidRDefault="00000000">
            <w:r>
              <w:rPr>
                <w:sz w:val="18"/>
                <w:szCs w:val="18"/>
              </w:rPr>
              <w:t>2</w:t>
            </w:r>
          </w:p>
        </w:tc>
        <w:tc>
          <w:tcPr>
            <w:tcW w:w="1500" w:type="dxa"/>
            <w:tcMar>
              <w:top w:w="60" w:type="dxa"/>
              <w:left w:w="100" w:type="dxa"/>
              <w:bottom w:w="60" w:type="dxa"/>
              <w:right w:w="100" w:type="dxa"/>
            </w:tcMar>
          </w:tcPr>
          <w:p w14:paraId="72AB6B94" w14:textId="77777777" w:rsidR="003E5E7F" w:rsidRDefault="00000000">
            <w:r>
              <w:rPr>
                <w:sz w:val="18"/>
                <w:szCs w:val="18"/>
              </w:rPr>
              <w:t>2</w:t>
            </w:r>
          </w:p>
        </w:tc>
        <w:tc>
          <w:tcPr>
            <w:tcW w:w="2260" w:type="dxa"/>
            <w:tcMar>
              <w:top w:w="60" w:type="dxa"/>
              <w:left w:w="100" w:type="dxa"/>
              <w:bottom w:w="60" w:type="dxa"/>
              <w:right w:w="100" w:type="dxa"/>
            </w:tcMar>
          </w:tcPr>
          <w:p w14:paraId="354B0EC4" w14:textId="77777777" w:rsidR="003E5E7F" w:rsidRDefault="00000000">
            <w:r>
              <w:rPr>
                <w:sz w:val="18"/>
                <w:szCs w:val="18"/>
              </w:rPr>
              <w:t>Keine maschinenlesbare Export-/API; nur befristeter Video-Download; Bereitstellung unzureichend.</w:t>
            </w:r>
          </w:p>
        </w:tc>
      </w:tr>
      <w:tr w:rsidR="00C85447" w14:paraId="69CD3BD5" w14:textId="77777777">
        <w:tblPrEx>
          <w:tblCellMar>
            <w:top w:w="0" w:type="dxa"/>
            <w:bottom w:w="0" w:type="dxa"/>
          </w:tblCellMar>
        </w:tblPrEx>
        <w:tc>
          <w:tcPr>
            <w:tcW w:w="1700" w:type="dxa"/>
            <w:tcMar>
              <w:top w:w="60" w:type="dxa"/>
              <w:left w:w="100" w:type="dxa"/>
              <w:bottom w:w="60" w:type="dxa"/>
              <w:right w:w="100" w:type="dxa"/>
            </w:tcMar>
          </w:tcPr>
          <w:p w14:paraId="71F9A0D6" w14:textId="77777777" w:rsidR="003E5E7F" w:rsidRDefault="00000000">
            <w:r>
              <w:rPr>
                <w:sz w:val="18"/>
                <w:szCs w:val="18"/>
              </w:rPr>
              <w:t>Gewiss</w:t>
            </w:r>
          </w:p>
        </w:tc>
        <w:tc>
          <w:tcPr>
            <w:tcW w:w="1300" w:type="dxa"/>
            <w:tcMar>
              <w:top w:w="60" w:type="dxa"/>
              <w:left w:w="100" w:type="dxa"/>
              <w:bottom w:w="60" w:type="dxa"/>
              <w:right w:w="100" w:type="dxa"/>
            </w:tcMar>
          </w:tcPr>
          <w:p w14:paraId="109C2B34" w14:textId="77777777" w:rsidR="003E5E7F" w:rsidRDefault="00000000">
            <w:r>
              <w:rPr>
                <w:sz w:val="18"/>
                <w:szCs w:val="18"/>
              </w:rPr>
              <w:t>1</w:t>
            </w:r>
          </w:p>
        </w:tc>
        <w:tc>
          <w:tcPr>
            <w:tcW w:w="1300" w:type="dxa"/>
            <w:tcMar>
              <w:top w:w="60" w:type="dxa"/>
              <w:left w:w="100" w:type="dxa"/>
              <w:bottom w:w="60" w:type="dxa"/>
              <w:right w:w="100" w:type="dxa"/>
            </w:tcMar>
          </w:tcPr>
          <w:p w14:paraId="52322E4D" w14:textId="77777777" w:rsidR="003E5E7F" w:rsidRDefault="00000000">
            <w:r>
              <w:rPr>
                <w:sz w:val="18"/>
                <w:szCs w:val="18"/>
              </w:rPr>
              <w:t>1</w:t>
            </w:r>
          </w:p>
        </w:tc>
        <w:tc>
          <w:tcPr>
            <w:tcW w:w="1300" w:type="dxa"/>
            <w:tcMar>
              <w:top w:w="60" w:type="dxa"/>
              <w:left w:w="100" w:type="dxa"/>
              <w:bottom w:w="60" w:type="dxa"/>
              <w:right w:w="100" w:type="dxa"/>
            </w:tcMar>
          </w:tcPr>
          <w:p w14:paraId="6A271397" w14:textId="77777777" w:rsidR="003E5E7F" w:rsidRDefault="00000000">
            <w:r>
              <w:rPr>
                <w:sz w:val="18"/>
                <w:szCs w:val="18"/>
              </w:rPr>
              <w:t>2</w:t>
            </w:r>
          </w:p>
        </w:tc>
        <w:tc>
          <w:tcPr>
            <w:tcW w:w="1500" w:type="dxa"/>
            <w:tcMar>
              <w:top w:w="60" w:type="dxa"/>
              <w:left w:w="100" w:type="dxa"/>
              <w:bottom w:w="60" w:type="dxa"/>
              <w:right w:w="100" w:type="dxa"/>
            </w:tcMar>
          </w:tcPr>
          <w:p w14:paraId="78277CF7" w14:textId="77777777" w:rsidR="003E5E7F" w:rsidRDefault="00000000">
            <w:r>
              <w:rPr>
                <w:sz w:val="18"/>
                <w:szCs w:val="18"/>
              </w:rPr>
              <w:t>2</w:t>
            </w:r>
          </w:p>
        </w:tc>
        <w:tc>
          <w:tcPr>
            <w:tcW w:w="2260" w:type="dxa"/>
            <w:tcMar>
              <w:top w:w="60" w:type="dxa"/>
              <w:left w:w="100" w:type="dxa"/>
              <w:bottom w:w="60" w:type="dxa"/>
              <w:right w:w="100" w:type="dxa"/>
            </w:tcMar>
          </w:tcPr>
          <w:p w14:paraId="1DF20C44" w14:textId="77777777" w:rsidR="003E5E7F" w:rsidRDefault="00000000">
            <w:proofErr w:type="spellStart"/>
            <w:r>
              <w:rPr>
                <w:sz w:val="18"/>
                <w:szCs w:val="18"/>
              </w:rPr>
              <w:t>Zigbee</w:t>
            </w:r>
            <w:proofErr w:type="spellEnd"/>
            <w:r>
              <w:rPr>
                <w:sz w:val="18"/>
                <w:szCs w:val="18"/>
              </w:rPr>
              <w:t xml:space="preserve"> + Integrationen, aber keine nutzerseitige API/Export; Zugang nur über DSGVO-Übertragbarkeit.</w:t>
            </w:r>
          </w:p>
        </w:tc>
      </w:tr>
    </w:tbl>
    <w:p w14:paraId="507E812B" w14:textId="77777777" w:rsidR="00C01674" w:rsidRDefault="00C01674">
      <w:pPr>
        <w:pStyle w:val="berschrift2"/>
      </w:pPr>
      <w:bookmarkStart w:id="25" w:name="_Toc232151353"/>
    </w:p>
    <w:p w14:paraId="017D3DE3" w14:textId="349197EF" w:rsidR="003E5E7F" w:rsidRDefault="00000000">
      <w:pPr>
        <w:pStyle w:val="berschrift2"/>
      </w:pPr>
      <w:r>
        <w:t>4.3 Usability- und Nutzerperspektive</w:t>
      </w:r>
      <w:bookmarkEnd w:id="25"/>
    </w:p>
    <w:p w14:paraId="49A13861" w14:textId="77777777" w:rsidR="00C01674" w:rsidRDefault="00C01674" w:rsidP="00C01674">
      <w:pPr>
        <w:spacing w:before="100" w:after="80"/>
      </w:pPr>
      <w:r w:rsidRPr="00C01674">
        <w:rPr>
          <w:b/>
          <w:bCs/>
        </w:rPr>
        <w:t>Auffindbarkeit der Datenzugangsoptionen.</w:t>
      </w:r>
      <w:r w:rsidRPr="00C01674">
        <w:t xml:space="preserve"> </w:t>
      </w:r>
    </w:p>
    <w:p w14:paraId="7BECE77B" w14:textId="3E43C9CB" w:rsidR="00C01674" w:rsidRPr="00C01674" w:rsidRDefault="00C01674" w:rsidP="00C01674">
      <w:pPr>
        <w:spacing w:before="100" w:after="80"/>
      </w:pPr>
      <w:r w:rsidRPr="00C01674">
        <w:t xml:space="preserve">Philips Hue ist führend: Die </w:t>
      </w:r>
      <w:proofErr w:type="spellStart"/>
      <w:r w:rsidRPr="00C01674">
        <w:rPr>
          <w:i/>
          <w:iCs/>
        </w:rPr>
        <w:t>Gegevensverklaring</w:t>
      </w:r>
      <w:proofErr w:type="spellEnd"/>
      <w:r w:rsidRPr="00C01674">
        <w:t xml:space="preserve"> ist im Footer verlinkt, enthält ein verlinktes </w:t>
      </w:r>
      <w:proofErr w:type="spellStart"/>
      <w:r w:rsidRPr="00C01674">
        <w:t>Intake</w:t>
      </w:r>
      <w:proofErr w:type="spellEnd"/>
      <w:r w:rsidRPr="00C01674">
        <w:t xml:space="preserve">-Formular und ein Glossar der Data-Act-Begriffe – der Weg vom Dokument zur Aktion ist kurz. Bei Bosch existiert eine eigene EU-Data-Act-Seite, die jedoch über regionale Länderpfade verstreut ist und deren konkreter Zugang an App und Konto gebunden bleibt. Bei Somfy und </w:t>
      </w:r>
      <w:proofErr w:type="gramStart"/>
      <w:r w:rsidRPr="00C01674">
        <w:t>Gewiss</w:t>
      </w:r>
      <w:proofErr w:type="gramEnd"/>
      <w:r w:rsidRPr="00C01674">
        <w:t xml:space="preserve"> sind Datenzugangsoptionen nur indirekt über die allgemeine Datenschutzseite bzw. eine E-Mail-Anfrage erreichbar; eine prominente, Data-Act-typische „Daten anfordern“-Funktion fehlt.</w:t>
      </w:r>
    </w:p>
    <w:p w14:paraId="47355099" w14:textId="77777777" w:rsidR="00C01674" w:rsidRDefault="00C01674" w:rsidP="00C01674">
      <w:pPr>
        <w:spacing w:before="100" w:after="80"/>
      </w:pPr>
      <w:r w:rsidRPr="00C01674">
        <w:rPr>
          <w:b/>
          <w:bCs/>
        </w:rPr>
        <w:t>Nutzerfreundlichkeit, technische Hürden, mögliche Dark Patterns.</w:t>
      </w:r>
    </w:p>
    <w:p w14:paraId="4A79444E" w14:textId="48723C9D" w:rsidR="00C01674" w:rsidRPr="00C01674" w:rsidRDefault="00C01674" w:rsidP="00C01674">
      <w:pPr>
        <w:spacing w:before="100" w:after="80"/>
      </w:pPr>
      <w:r w:rsidRPr="00C01674">
        <w:t>Trotz der inhaltlichen Reife verlangt Philips für den Direktzugang bzw. die Weitergabe, dass der Dritte sich auf developers.meethue.com registriert und die Anweisungen befolgt sowie Cloud-</w:t>
      </w:r>
      <w:proofErr w:type="spellStart"/>
      <w:r w:rsidRPr="00C01674">
        <w:t>to</w:t>
      </w:r>
      <w:proofErr w:type="spellEnd"/>
      <w:r w:rsidRPr="00C01674">
        <w:t xml:space="preserve">-Cloud-Zugangsdaten anfordert – eine technische Hürde, die Laien überfordern kann; positiv ist, dass die Weitergabe jederzeit über das Konto widerrufbar und kostenlos ist. Bosch koppelt den Zugang an ein </w:t>
      </w:r>
      <w:proofErr w:type="spellStart"/>
      <w:r w:rsidRPr="00C01674">
        <w:t>SingleKey</w:t>
      </w:r>
      <w:proofErr w:type="spellEnd"/>
      <w:r w:rsidRPr="00C01674">
        <w:t xml:space="preserve">-ID-Konto und die API zusätzlich an die Annahme separater Entwicklerbedingungen, was den Self-Service erschwert. Somfy und </w:t>
      </w:r>
      <w:proofErr w:type="gramStart"/>
      <w:r w:rsidRPr="00C01674">
        <w:t>Gewiss</w:t>
      </w:r>
      <w:proofErr w:type="gramEnd"/>
      <w:r w:rsidRPr="00C01674">
        <w:t xml:space="preserve"> setzen auf manuelle E-Mail-Anfragen, was Wartezeiten und Medienbrüche bedeutet. </w:t>
      </w:r>
      <w:r w:rsidRPr="00C01674">
        <w:lastRenderedPageBreak/>
        <w:t>Ausgeprägte, manipulative Dark Patterns sind in den ausgewerteten Texten nicht dokumentiert; reibungserhöhend wirken jedoch die Registrierungs-, Konto- und Re-Consent-Schritte (bei Gewiss erscheint wiederholt der Hinweis, die aktualisierte Datenschutzrichtlinie erneut zu bestätigen).</w:t>
      </w:r>
      <w:r w:rsidR="0075447C" w:rsidRPr="00C01674">
        <w:t xml:space="preserve"> </w:t>
      </w:r>
    </w:p>
    <w:p w14:paraId="3A392B6D" w14:textId="77777777" w:rsidR="00C01674" w:rsidRDefault="00C01674" w:rsidP="00C01674">
      <w:pPr>
        <w:spacing w:before="100" w:after="80"/>
      </w:pPr>
      <w:r w:rsidRPr="00C01674">
        <w:rPr>
          <w:b/>
          <w:bCs/>
        </w:rPr>
        <w:t>Typische Barrieren für Endnutzer.</w:t>
      </w:r>
      <w:r w:rsidRPr="00C01674">
        <w:t xml:space="preserve"> </w:t>
      </w:r>
    </w:p>
    <w:p w14:paraId="56A17677" w14:textId="48FCAD97" w:rsidR="00C01674" w:rsidRPr="00C01674" w:rsidRDefault="00C01674" w:rsidP="00C01674">
      <w:pPr>
        <w:spacing w:before="100" w:after="80"/>
      </w:pPr>
      <w:r w:rsidRPr="00C01674">
        <w:t xml:space="preserve">Quer über alle Anbieter zeigen sich vier wiederkehrende Hürden: (1) Kontozwang als Voraussetzung jeglichen Zugangs; (2) technisches Vorwissen (API, </w:t>
      </w:r>
      <w:proofErr w:type="spellStart"/>
      <w:r w:rsidRPr="00C01674">
        <w:t>Zigbee</w:t>
      </w:r>
      <w:proofErr w:type="spellEnd"/>
      <w:r w:rsidRPr="00C01674">
        <w:t>, CLIP, Formate); (3) Rollen-</w:t>
      </w:r>
      <w:proofErr w:type="spellStart"/>
      <w:r w:rsidRPr="00C01674">
        <w:t>Gating</w:t>
      </w:r>
      <w:proofErr w:type="spellEnd"/>
      <w:r w:rsidRPr="00C01674">
        <w:t xml:space="preserve"> – bei Philips hat nur der „</w:t>
      </w:r>
      <w:proofErr w:type="spellStart"/>
      <w:r w:rsidRPr="00C01674">
        <w:t>Beheerder</w:t>
      </w:r>
      <w:proofErr w:type="spellEnd"/>
      <w:r w:rsidRPr="00C01674">
        <w:t>/Eigentümer“ vollen Zugriff, während ein „autorisierter Nutzer“ nur die seinem Konto zugeordneten Daten erhält; (4) fehlende Formattransparenz, die eine sinnvolle Weiterverarbeitung erschwert (außer bei Philips mit explizitem JSON).</w:t>
      </w:r>
      <w:hyperlink r:id="rId11" w:history="1">
        <w:r w:rsidRPr="00C01674">
          <w:rPr>
            <w:rStyle w:val="Hyperlink"/>
          </w:rPr>
          <w:t xml:space="preserve"> Philips </w:t>
        </w:r>
        <w:r w:rsidRPr="00C01674">
          <w:rPr>
            <w:rStyle w:val="Hyperlink"/>
          </w:rPr>
          <w:t>H</w:t>
        </w:r>
        <w:r w:rsidRPr="00C01674">
          <w:rPr>
            <w:rStyle w:val="Hyperlink"/>
          </w:rPr>
          <w:t>ue</w:t>
        </w:r>
      </w:hyperlink>
    </w:p>
    <w:p w14:paraId="0B4A8488" w14:textId="77777777" w:rsidR="00C01674" w:rsidRPr="00C01674" w:rsidRDefault="00C01674" w:rsidP="00C01674">
      <w:pPr>
        <w:spacing w:before="100" w:after="80"/>
      </w:pPr>
    </w:p>
    <w:p w14:paraId="7352CB3A" w14:textId="77777777" w:rsidR="003E5E7F" w:rsidRDefault="00000000">
      <w:pPr>
        <w:spacing w:before="100" w:after="80"/>
        <w:rPr>
          <w:i/>
          <w:iCs/>
          <w:sz w:val="20"/>
          <w:szCs w:val="20"/>
        </w:rPr>
      </w:pPr>
      <w:r w:rsidRPr="00C01674">
        <w:rPr>
          <w:i/>
          <w:iCs/>
          <w:sz w:val="20"/>
          <w:szCs w:val="20"/>
        </w:rPr>
        <w:t>Tabelle 4.3: Bewertung der Auffindbarkeit und praktischen Nutzbarkeit (</w:t>
      </w:r>
      <w:proofErr w:type="spellStart"/>
      <w:r w:rsidRPr="00C01674">
        <w:rPr>
          <w:i/>
          <w:iCs/>
          <w:sz w:val="20"/>
          <w:szCs w:val="20"/>
        </w:rPr>
        <w:t>Kriteriengruppe</w:t>
      </w:r>
      <w:proofErr w:type="spellEnd"/>
      <w:r w:rsidRPr="00C01674">
        <w:rPr>
          <w:i/>
          <w:iCs/>
          <w:sz w:val="20"/>
          <w:szCs w:val="20"/>
        </w:rPr>
        <w:t xml:space="preserve"> D).</w:t>
      </w:r>
    </w:p>
    <w:p w14:paraId="6AA03574" w14:textId="77777777" w:rsidR="00C01674" w:rsidRPr="00C01674" w:rsidRDefault="00C01674">
      <w:pPr>
        <w:spacing w:before="100" w:after="80"/>
        <w:rPr>
          <w:sz w:val="24"/>
          <w:szCs w:val="24"/>
        </w:rPr>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1"/>
        <w:gridCol w:w="1579"/>
        <w:gridCol w:w="1063"/>
        <w:gridCol w:w="1388"/>
        <w:gridCol w:w="1943"/>
        <w:gridCol w:w="1706"/>
      </w:tblGrid>
      <w:tr w:rsidR="00C85447" w14:paraId="20CDFBB4" w14:textId="77777777" w:rsidTr="00C01674">
        <w:tblPrEx>
          <w:tblCellMar>
            <w:top w:w="0" w:type="dxa"/>
            <w:bottom w:w="0" w:type="dxa"/>
          </w:tblCellMar>
        </w:tblPrEx>
        <w:tc>
          <w:tcPr>
            <w:tcW w:w="1681" w:type="dxa"/>
            <w:shd w:val="clear" w:color="auto" w:fill="D9E2F3"/>
            <w:tcMar>
              <w:top w:w="60" w:type="dxa"/>
              <w:left w:w="100" w:type="dxa"/>
              <w:bottom w:w="60" w:type="dxa"/>
              <w:right w:w="100" w:type="dxa"/>
            </w:tcMar>
          </w:tcPr>
          <w:p w14:paraId="4A4B6D0D" w14:textId="77777777" w:rsidR="003E5E7F" w:rsidRDefault="00000000">
            <w:r>
              <w:rPr>
                <w:b/>
                <w:bCs/>
                <w:sz w:val="18"/>
                <w:szCs w:val="18"/>
              </w:rPr>
              <w:t>Unternehmen</w:t>
            </w:r>
          </w:p>
        </w:tc>
        <w:tc>
          <w:tcPr>
            <w:tcW w:w="1579" w:type="dxa"/>
            <w:shd w:val="clear" w:color="auto" w:fill="D9E2F3"/>
            <w:tcMar>
              <w:top w:w="60" w:type="dxa"/>
              <w:left w:w="100" w:type="dxa"/>
              <w:bottom w:w="60" w:type="dxa"/>
              <w:right w:w="100" w:type="dxa"/>
            </w:tcMar>
          </w:tcPr>
          <w:p w14:paraId="4AA37B97" w14:textId="77777777" w:rsidR="003E5E7F" w:rsidRDefault="00000000">
            <w:r>
              <w:rPr>
                <w:b/>
                <w:bCs/>
                <w:sz w:val="18"/>
                <w:szCs w:val="18"/>
              </w:rPr>
              <w:t>Existenz (0–2)</w:t>
            </w:r>
          </w:p>
        </w:tc>
        <w:tc>
          <w:tcPr>
            <w:tcW w:w="1063" w:type="dxa"/>
            <w:shd w:val="clear" w:color="auto" w:fill="D9E2F3"/>
            <w:tcMar>
              <w:top w:w="60" w:type="dxa"/>
              <w:left w:w="100" w:type="dxa"/>
              <w:bottom w:w="60" w:type="dxa"/>
              <w:right w:w="100" w:type="dxa"/>
            </w:tcMar>
          </w:tcPr>
          <w:p w14:paraId="7CC930F6" w14:textId="77777777" w:rsidR="003E5E7F" w:rsidRDefault="00000000">
            <w:r>
              <w:rPr>
                <w:b/>
                <w:bCs/>
                <w:sz w:val="18"/>
                <w:szCs w:val="18"/>
              </w:rPr>
              <w:t>Timing (0–3)</w:t>
            </w:r>
          </w:p>
        </w:tc>
        <w:tc>
          <w:tcPr>
            <w:tcW w:w="1388" w:type="dxa"/>
            <w:shd w:val="clear" w:color="auto" w:fill="D9E2F3"/>
            <w:tcMar>
              <w:top w:w="60" w:type="dxa"/>
              <w:left w:w="100" w:type="dxa"/>
              <w:bottom w:w="60" w:type="dxa"/>
              <w:right w:w="100" w:type="dxa"/>
            </w:tcMar>
          </w:tcPr>
          <w:p w14:paraId="4D6836CA" w14:textId="77777777" w:rsidR="003E5E7F" w:rsidRDefault="00000000">
            <w:r>
              <w:rPr>
                <w:b/>
                <w:bCs/>
                <w:sz w:val="18"/>
                <w:szCs w:val="18"/>
              </w:rPr>
              <w:t>Qualität (1–5)</w:t>
            </w:r>
          </w:p>
        </w:tc>
        <w:tc>
          <w:tcPr>
            <w:tcW w:w="1943" w:type="dxa"/>
            <w:shd w:val="clear" w:color="auto" w:fill="D9E2F3"/>
            <w:tcMar>
              <w:top w:w="60" w:type="dxa"/>
              <w:left w:w="100" w:type="dxa"/>
              <w:bottom w:w="60" w:type="dxa"/>
              <w:right w:w="100" w:type="dxa"/>
            </w:tcMar>
          </w:tcPr>
          <w:p w14:paraId="320AD31A" w14:textId="77777777" w:rsidR="003E5E7F" w:rsidRDefault="00000000">
            <w:r>
              <w:rPr>
                <w:b/>
                <w:bCs/>
                <w:sz w:val="18"/>
                <w:szCs w:val="18"/>
              </w:rPr>
              <w:t>Auffindbarkeit (1–5)</w:t>
            </w:r>
          </w:p>
        </w:tc>
        <w:tc>
          <w:tcPr>
            <w:tcW w:w="1706" w:type="dxa"/>
            <w:shd w:val="clear" w:color="auto" w:fill="D9E2F3"/>
            <w:tcMar>
              <w:top w:w="60" w:type="dxa"/>
              <w:left w:w="100" w:type="dxa"/>
              <w:bottom w:w="60" w:type="dxa"/>
              <w:right w:w="100" w:type="dxa"/>
            </w:tcMar>
          </w:tcPr>
          <w:p w14:paraId="64515F9D" w14:textId="77777777" w:rsidR="003E5E7F" w:rsidRDefault="00000000">
            <w:r>
              <w:rPr>
                <w:b/>
                <w:bCs/>
                <w:sz w:val="18"/>
                <w:szCs w:val="18"/>
              </w:rPr>
              <w:t>Kurzbegründung</w:t>
            </w:r>
          </w:p>
        </w:tc>
      </w:tr>
      <w:tr w:rsidR="00C85447" w14:paraId="219ECC54" w14:textId="77777777" w:rsidTr="00C01674">
        <w:tblPrEx>
          <w:tblCellMar>
            <w:top w:w="0" w:type="dxa"/>
            <w:bottom w:w="0" w:type="dxa"/>
          </w:tblCellMar>
        </w:tblPrEx>
        <w:tc>
          <w:tcPr>
            <w:tcW w:w="1681" w:type="dxa"/>
            <w:tcMar>
              <w:top w:w="60" w:type="dxa"/>
              <w:left w:w="100" w:type="dxa"/>
              <w:bottom w:w="60" w:type="dxa"/>
              <w:right w:w="100" w:type="dxa"/>
            </w:tcMar>
          </w:tcPr>
          <w:p w14:paraId="193DF0ED" w14:textId="77777777" w:rsidR="003E5E7F" w:rsidRDefault="00000000">
            <w:r>
              <w:rPr>
                <w:sz w:val="18"/>
                <w:szCs w:val="18"/>
              </w:rPr>
              <w:t>Bosch</w:t>
            </w:r>
          </w:p>
        </w:tc>
        <w:tc>
          <w:tcPr>
            <w:tcW w:w="1579" w:type="dxa"/>
            <w:tcMar>
              <w:top w:w="60" w:type="dxa"/>
              <w:left w:w="100" w:type="dxa"/>
              <w:bottom w:w="60" w:type="dxa"/>
              <w:right w:w="100" w:type="dxa"/>
            </w:tcMar>
          </w:tcPr>
          <w:p w14:paraId="785060FA" w14:textId="77777777" w:rsidR="003E5E7F" w:rsidRDefault="00000000">
            <w:r>
              <w:rPr>
                <w:sz w:val="18"/>
                <w:szCs w:val="18"/>
              </w:rPr>
              <w:t>2</w:t>
            </w:r>
          </w:p>
        </w:tc>
        <w:tc>
          <w:tcPr>
            <w:tcW w:w="1063" w:type="dxa"/>
            <w:tcMar>
              <w:top w:w="60" w:type="dxa"/>
              <w:left w:w="100" w:type="dxa"/>
              <w:bottom w:w="60" w:type="dxa"/>
              <w:right w:w="100" w:type="dxa"/>
            </w:tcMar>
          </w:tcPr>
          <w:p w14:paraId="3EA54F75" w14:textId="77777777" w:rsidR="003E5E7F" w:rsidRDefault="00000000">
            <w:r>
              <w:rPr>
                <w:sz w:val="18"/>
                <w:szCs w:val="18"/>
              </w:rPr>
              <w:t>2</w:t>
            </w:r>
          </w:p>
        </w:tc>
        <w:tc>
          <w:tcPr>
            <w:tcW w:w="1388" w:type="dxa"/>
            <w:tcMar>
              <w:top w:w="60" w:type="dxa"/>
              <w:left w:w="100" w:type="dxa"/>
              <w:bottom w:w="60" w:type="dxa"/>
              <w:right w:w="100" w:type="dxa"/>
            </w:tcMar>
          </w:tcPr>
          <w:p w14:paraId="66E5FFE9" w14:textId="77777777" w:rsidR="003E5E7F" w:rsidRDefault="00000000">
            <w:r>
              <w:rPr>
                <w:sz w:val="18"/>
                <w:szCs w:val="18"/>
              </w:rPr>
              <w:t>4</w:t>
            </w:r>
          </w:p>
        </w:tc>
        <w:tc>
          <w:tcPr>
            <w:tcW w:w="1943" w:type="dxa"/>
            <w:tcMar>
              <w:top w:w="60" w:type="dxa"/>
              <w:left w:w="100" w:type="dxa"/>
              <w:bottom w:w="60" w:type="dxa"/>
              <w:right w:w="100" w:type="dxa"/>
            </w:tcMar>
          </w:tcPr>
          <w:p w14:paraId="209787A1" w14:textId="77777777" w:rsidR="003E5E7F" w:rsidRDefault="00000000">
            <w:r>
              <w:rPr>
                <w:sz w:val="18"/>
                <w:szCs w:val="18"/>
              </w:rPr>
              <w:t>4</w:t>
            </w:r>
          </w:p>
        </w:tc>
        <w:tc>
          <w:tcPr>
            <w:tcW w:w="1706" w:type="dxa"/>
            <w:tcMar>
              <w:top w:w="60" w:type="dxa"/>
              <w:left w:w="100" w:type="dxa"/>
              <w:bottom w:w="60" w:type="dxa"/>
              <w:right w:w="100" w:type="dxa"/>
            </w:tcMar>
          </w:tcPr>
          <w:p w14:paraId="703AFA3C" w14:textId="77777777" w:rsidR="003E5E7F" w:rsidRDefault="00000000">
            <w:r>
              <w:rPr>
                <w:sz w:val="18"/>
                <w:szCs w:val="18"/>
              </w:rPr>
              <w:t>Eigene EU-Data-Act-Seite, strukturiert und dauerhaft auffindbar; verständliche Darstellung der Dienstkategorien.</w:t>
            </w:r>
          </w:p>
        </w:tc>
      </w:tr>
      <w:tr w:rsidR="00C85447" w14:paraId="4027242D" w14:textId="77777777" w:rsidTr="00C01674">
        <w:tblPrEx>
          <w:tblCellMar>
            <w:top w:w="0" w:type="dxa"/>
            <w:bottom w:w="0" w:type="dxa"/>
          </w:tblCellMar>
        </w:tblPrEx>
        <w:tc>
          <w:tcPr>
            <w:tcW w:w="1681" w:type="dxa"/>
            <w:tcMar>
              <w:top w:w="60" w:type="dxa"/>
              <w:left w:w="100" w:type="dxa"/>
              <w:bottom w:w="60" w:type="dxa"/>
              <w:right w:w="100" w:type="dxa"/>
            </w:tcMar>
          </w:tcPr>
          <w:p w14:paraId="64118802" w14:textId="77777777" w:rsidR="003E5E7F" w:rsidRDefault="00000000">
            <w:r>
              <w:rPr>
                <w:sz w:val="18"/>
                <w:szCs w:val="18"/>
              </w:rPr>
              <w:t>Philips Hue</w:t>
            </w:r>
          </w:p>
        </w:tc>
        <w:tc>
          <w:tcPr>
            <w:tcW w:w="1579" w:type="dxa"/>
            <w:tcMar>
              <w:top w:w="60" w:type="dxa"/>
              <w:left w:w="100" w:type="dxa"/>
              <w:bottom w:w="60" w:type="dxa"/>
              <w:right w:w="100" w:type="dxa"/>
            </w:tcMar>
          </w:tcPr>
          <w:p w14:paraId="0F9B983C" w14:textId="77777777" w:rsidR="003E5E7F" w:rsidRDefault="00000000">
            <w:r>
              <w:rPr>
                <w:sz w:val="18"/>
                <w:szCs w:val="18"/>
              </w:rPr>
              <w:t>2</w:t>
            </w:r>
          </w:p>
        </w:tc>
        <w:tc>
          <w:tcPr>
            <w:tcW w:w="1063" w:type="dxa"/>
            <w:tcMar>
              <w:top w:w="60" w:type="dxa"/>
              <w:left w:w="100" w:type="dxa"/>
              <w:bottom w:w="60" w:type="dxa"/>
              <w:right w:w="100" w:type="dxa"/>
            </w:tcMar>
          </w:tcPr>
          <w:p w14:paraId="5F2BF1AA" w14:textId="77777777" w:rsidR="003E5E7F" w:rsidRDefault="00000000">
            <w:r>
              <w:rPr>
                <w:sz w:val="18"/>
                <w:szCs w:val="18"/>
              </w:rPr>
              <w:t>2</w:t>
            </w:r>
          </w:p>
        </w:tc>
        <w:tc>
          <w:tcPr>
            <w:tcW w:w="1388" w:type="dxa"/>
            <w:tcMar>
              <w:top w:w="60" w:type="dxa"/>
              <w:left w:w="100" w:type="dxa"/>
              <w:bottom w:w="60" w:type="dxa"/>
              <w:right w:w="100" w:type="dxa"/>
            </w:tcMar>
          </w:tcPr>
          <w:p w14:paraId="33E2E59E" w14:textId="77777777" w:rsidR="003E5E7F" w:rsidRDefault="00000000">
            <w:r>
              <w:rPr>
                <w:sz w:val="18"/>
                <w:szCs w:val="18"/>
              </w:rPr>
              <w:t>5</w:t>
            </w:r>
          </w:p>
        </w:tc>
        <w:tc>
          <w:tcPr>
            <w:tcW w:w="1943" w:type="dxa"/>
            <w:tcMar>
              <w:top w:w="60" w:type="dxa"/>
              <w:left w:w="100" w:type="dxa"/>
              <w:bottom w:w="60" w:type="dxa"/>
              <w:right w:w="100" w:type="dxa"/>
            </w:tcMar>
          </w:tcPr>
          <w:p w14:paraId="228FB697" w14:textId="77777777" w:rsidR="003E5E7F" w:rsidRDefault="00000000">
            <w:r>
              <w:rPr>
                <w:sz w:val="18"/>
                <w:szCs w:val="18"/>
              </w:rPr>
              <w:t>4</w:t>
            </w:r>
          </w:p>
        </w:tc>
        <w:tc>
          <w:tcPr>
            <w:tcW w:w="1706" w:type="dxa"/>
            <w:tcMar>
              <w:top w:w="60" w:type="dxa"/>
              <w:left w:w="100" w:type="dxa"/>
              <w:bottom w:w="60" w:type="dxa"/>
              <w:right w:w="100" w:type="dxa"/>
            </w:tcMar>
          </w:tcPr>
          <w:p w14:paraId="7E5C90AC" w14:textId="77777777" w:rsidR="003E5E7F" w:rsidRDefault="00000000">
            <w:r>
              <w:rPr>
                <w:sz w:val="18"/>
                <w:szCs w:val="18"/>
              </w:rPr>
              <w:t>Produktbezogene Data-Act-Erklärung, quantifiziert und klar gegliedert; sehr hohe Interpretierbarkeit.</w:t>
            </w:r>
          </w:p>
        </w:tc>
      </w:tr>
      <w:tr w:rsidR="00C85447" w14:paraId="7A8C005B" w14:textId="77777777" w:rsidTr="00C01674">
        <w:tblPrEx>
          <w:tblCellMar>
            <w:top w:w="0" w:type="dxa"/>
            <w:bottom w:w="0" w:type="dxa"/>
          </w:tblCellMar>
        </w:tblPrEx>
        <w:tc>
          <w:tcPr>
            <w:tcW w:w="1681" w:type="dxa"/>
            <w:tcMar>
              <w:top w:w="60" w:type="dxa"/>
              <w:left w:w="100" w:type="dxa"/>
              <w:bottom w:w="60" w:type="dxa"/>
              <w:right w:w="100" w:type="dxa"/>
            </w:tcMar>
          </w:tcPr>
          <w:p w14:paraId="38A39868" w14:textId="77777777" w:rsidR="003E5E7F" w:rsidRDefault="00000000">
            <w:r>
              <w:rPr>
                <w:sz w:val="18"/>
                <w:szCs w:val="18"/>
              </w:rPr>
              <w:t>Somfy</w:t>
            </w:r>
          </w:p>
        </w:tc>
        <w:tc>
          <w:tcPr>
            <w:tcW w:w="1579" w:type="dxa"/>
            <w:tcMar>
              <w:top w:w="60" w:type="dxa"/>
              <w:left w:w="100" w:type="dxa"/>
              <w:bottom w:w="60" w:type="dxa"/>
              <w:right w:w="100" w:type="dxa"/>
            </w:tcMar>
          </w:tcPr>
          <w:p w14:paraId="771AA140" w14:textId="77777777" w:rsidR="003E5E7F" w:rsidRDefault="00000000">
            <w:r>
              <w:rPr>
                <w:sz w:val="18"/>
                <w:szCs w:val="18"/>
              </w:rPr>
              <w:t>1</w:t>
            </w:r>
          </w:p>
        </w:tc>
        <w:tc>
          <w:tcPr>
            <w:tcW w:w="1063" w:type="dxa"/>
            <w:tcMar>
              <w:top w:w="60" w:type="dxa"/>
              <w:left w:w="100" w:type="dxa"/>
              <w:bottom w:w="60" w:type="dxa"/>
              <w:right w:w="100" w:type="dxa"/>
            </w:tcMar>
          </w:tcPr>
          <w:p w14:paraId="53A8FB6D" w14:textId="77777777" w:rsidR="003E5E7F" w:rsidRDefault="00000000">
            <w:r>
              <w:rPr>
                <w:sz w:val="18"/>
                <w:szCs w:val="18"/>
              </w:rPr>
              <w:t>2</w:t>
            </w:r>
          </w:p>
        </w:tc>
        <w:tc>
          <w:tcPr>
            <w:tcW w:w="1388" w:type="dxa"/>
            <w:tcMar>
              <w:top w:w="60" w:type="dxa"/>
              <w:left w:w="100" w:type="dxa"/>
              <w:bottom w:w="60" w:type="dxa"/>
              <w:right w:w="100" w:type="dxa"/>
            </w:tcMar>
          </w:tcPr>
          <w:p w14:paraId="14C26316" w14:textId="77777777" w:rsidR="003E5E7F" w:rsidRDefault="00000000">
            <w:r>
              <w:rPr>
                <w:sz w:val="18"/>
                <w:szCs w:val="18"/>
              </w:rPr>
              <w:t>2</w:t>
            </w:r>
          </w:p>
        </w:tc>
        <w:tc>
          <w:tcPr>
            <w:tcW w:w="1943" w:type="dxa"/>
            <w:tcMar>
              <w:top w:w="60" w:type="dxa"/>
              <w:left w:w="100" w:type="dxa"/>
              <w:bottom w:w="60" w:type="dxa"/>
              <w:right w:w="100" w:type="dxa"/>
            </w:tcMar>
          </w:tcPr>
          <w:p w14:paraId="005FF858" w14:textId="77777777" w:rsidR="003E5E7F" w:rsidRDefault="00000000">
            <w:r>
              <w:rPr>
                <w:sz w:val="18"/>
                <w:szCs w:val="18"/>
              </w:rPr>
              <w:t>3</w:t>
            </w:r>
          </w:p>
        </w:tc>
        <w:tc>
          <w:tcPr>
            <w:tcW w:w="1706" w:type="dxa"/>
            <w:tcMar>
              <w:top w:w="60" w:type="dxa"/>
              <w:left w:w="100" w:type="dxa"/>
              <w:bottom w:w="60" w:type="dxa"/>
              <w:right w:w="100" w:type="dxa"/>
            </w:tcMar>
          </w:tcPr>
          <w:p w14:paraId="7CC70807" w14:textId="77777777" w:rsidR="003E5E7F" w:rsidRDefault="00000000">
            <w:r>
              <w:rPr>
                <w:sz w:val="18"/>
                <w:szCs w:val="18"/>
              </w:rPr>
              <w:t>Nur allgemeine DSGVO-Information, generische Kategorien; kein Data-Act-Hinweis auffindbar.</w:t>
            </w:r>
          </w:p>
        </w:tc>
      </w:tr>
      <w:tr w:rsidR="00C85447" w14:paraId="072CAF9D" w14:textId="77777777" w:rsidTr="00C01674">
        <w:tblPrEx>
          <w:tblCellMar>
            <w:top w:w="0" w:type="dxa"/>
            <w:bottom w:w="0" w:type="dxa"/>
          </w:tblCellMar>
        </w:tblPrEx>
        <w:tc>
          <w:tcPr>
            <w:tcW w:w="1681" w:type="dxa"/>
            <w:tcMar>
              <w:top w:w="60" w:type="dxa"/>
              <w:left w:w="100" w:type="dxa"/>
              <w:bottom w:w="60" w:type="dxa"/>
              <w:right w:w="100" w:type="dxa"/>
            </w:tcMar>
          </w:tcPr>
          <w:p w14:paraId="67F6AF66" w14:textId="77777777" w:rsidR="003E5E7F" w:rsidRDefault="00000000">
            <w:r>
              <w:rPr>
                <w:sz w:val="18"/>
                <w:szCs w:val="18"/>
              </w:rPr>
              <w:t>Gewiss</w:t>
            </w:r>
          </w:p>
        </w:tc>
        <w:tc>
          <w:tcPr>
            <w:tcW w:w="1579" w:type="dxa"/>
            <w:tcMar>
              <w:top w:w="60" w:type="dxa"/>
              <w:left w:w="100" w:type="dxa"/>
              <w:bottom w:w="60" w:type="dxa"/>
              <w:right w:w="100" w:type="dxa"/>
            </w:tcMar>
          </w:tcPr>
          <w:p w14:paraId="7DB3BE22" w14:textId="77777777" w:rsidR="003E5E7F" w:rsidRDefault="00000000">
            <w:r>
              <w:rPr>
                <w:sz w:val="18"/>
                <w:szCs w:val="18"/>
              </w:rPr>
              <w:t>1</w:t>
            </w:r>
          </w:p>
        </w:tc>
        <w:tc>
          <w:tcPr>
            <w:tcW w:w="1063" w:type="dxa"/>
            <w:tcMar>
              <w:top w:w="60" w:type="dxa"/>
              <w:left w:w="100" w:type="dxa"/>
              <w:bottom w:w="60" w:type="dxa"/>
              <w:right w:w="100" w:type="dxa"/>
            </w:tcMar>
          </w:tcPr>
          <w:p w14:paraId="739215A2" w14:textId="77777777" w:rsidR="003E5E7F" w:rsidRDefault="00000000">
            <w:r>
              <w:rPr>
                <w:sz w:val="18"/>
                <w:szCs w:val="18"/>
              </w:rPr>
              <w:t>2</w:t>
            </w:r>
          </w:p>
        </w:tc>
        <w:tc>
          <w:tcPr>
            <w:tcW w:w="1388" w:type="dxa"/>
            <w:tcMar>
              <w:top w:w="60" w:type="dxa"/>
              <w:left w:w="100" w:type="dxa"/>
              <w:bottom w:w="60" w:type="dxa"/>
              <w:right w:w="100" w:type="dxa"/>
            </w:tcMar>
          </w:tcPr>
          <w:p w14:paraId="4654EEA6" w14:textId="77777777" w:rsidR="003E5E7F" w:rsidRDefault="00000000">
            <w:r>
              <w:rPr>
                <w:sz w:val="18"/>
                <w:szCs w:val="18"/>
              </w:rPr>
              <w:t>3</w:t>
            </w:r>
          </w:p>
        </w:tc>
        <w:tc>
          <w:tcPr>
            <w:tcW w:w="1943" w:type="dxa"/>
            <w:tcMar>
              <w:top w:w="60" w:type="dxa"/>
              <w:left w:w="100" w:type="dxa"/>
              <w:bottom w:w="60" w:type="dxa"/>
              <w:right w:w="100" w:type="dxa"/>
            </w:tcMar>
          </w:tcPr>
          <w:p w14:paraId="43542774" w14:textId="77777777" w:rsidR="003E5E7F" w:rsidRDefault="00000000">
            <w:r>
              <w:rPr>
                <w:sz w:val="18"/>
                <w:szCs w:val="18"/>
              </w:rPr>
              <w:t>3</w:t>
            </w:r>
          </w:p>
        </w:tc>
        <w:tc>
          <w:tcPr>
            <w:tcW w:w="1706" w:type="dxa"/>
            <w:tcMar>
              <w:top w:w="60" w:type="dxa"/>
              <w:left w:w="100" w:type="dxa"/>
              <w:bottom w:w="60" w:type="dxa"/>
              <w:right w:w="100" w:type="dxa"/>
            </w:tcMar>
          </w:tcPr>
          <w:p w14:paraId="0E7A5C1E" w14:textId="77777777" w:rsidR="003E5E7F" w:rsidRDefault="00000000">
            <w:r>
              <w:rPr>
                <w:sz w:val="18"/>
                <w:szCs w:val="18"/>
              </w:rPr>
              <w:t>Detaillierte, aber juristisch verklausulierte Art.-13-Information; Data-Act-Zugangsfragen ausgeklammert.</w:t>
            </w:r>
          </w:p>
        </w:tc>
      </w:tr>
    </w:tbl>
    <w:p w14:paraId="7719D1C6" w14:textId="77777777" w:rsidR="00C01674" w:rsidRDefault="00C01674">
      <w:pPr>
        <w:pStyle w:val="berschrift2"/>
      </w:pPr>
      <w:bookmarkStart w:id="26" w:name="_Toc232151354"/>
    </w:p>
    <w:p w14:paraId="5859BCCD" w14:textId="4A9FFF81" w:rsidR="003E5E7F" w:rsidRDefault="00000000">
      <w:pPr>
        <w:pStyle w:val="berschrift2"/>
      </w:pPr>
      <w:r>
        <w:t>4.4 Vergleich und Musterbildung</w:t>
      </w:r>
      <w:bookmarkEnd w:id="26"/>
    </w:p>
    <w:p w14:paraId="05ACE91B" w14:textId="77777777" w:rsidR="003E5E7F" w:rsidRDefault="00000000">
      <w:pPr>
        <w:spacing w:after="140" w:line="276" w:lineRule="auto"/>
      </w:pPr>
      <w:r>
        <w:t>Die Einzelbewertungen werden je Dimension zu Mittelwerten verdichtet (Existenz 0–2; Timing 0–3; Qualität/Auffindbarkeit 1–5). Daraus ergeben sich folgende Compliance-Profile.</w:t>
      </w:r>
    </w:p>
    <w:p w14:paraId="075DA53A" w14:textId="77777777" w:rsidR="00C01674" w:rsidRDefault="00C01674">
      <w:pPr>
        <w:spacing w:after="140" w:line="276" w:lineRule="auto"/>
      </w:pPr>
    </w:p>
    <w:p w14:paraId="5577621C" w14:textId="77777777" w:rsidR="003E5E7F" w:rsidRPr="00C01674" w:rsidRDefault="00000000">
      <w:pPr>
        <w:spacing w:before="100" w:after="80"/>
        <w:rPr>
          <w:i/>
          <w:iCs/>
          <w:sz w:val="21"/>
          <w:szCs w:val="21"/>
        </w:rPr>
      </w:pPr>
      <w:r w:rsidRPr="00C01674">
        <w:rPr>
          <w:i/>
          <w:iCs/>
          <w:sz w:val="21"/>
          <w:szCs w:val="21"/>
        </w:rPr>
        <w:t>Tabelle 4.4: Aggregierte Compliance-Profile (gerundete Mittelwerte).</w:t>
      </w:r>
    </w:p>
    <w:p w14:paraId="25056E4F" w14:textId="77777777" w:rsidR="00C01674" w:rsidRDefault="00C01674">
      <w:pPr>
        <w:spacing w:before="10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50"/>
        <w:gridCol w:w="1250"/>
        <w:gridCol w:w="1300"/>
        <w:gridCol w:w="1500"/>
        <w:gridCol w:w="2560"/>
      </w:tblGrid>
      <w:tr w:rsidR="00C85447" w14:paraId="096757A1" w14:textId="77777777">
        <w:tblPrEx>
          <w:tblCellMar>
            <w:top w:w="0" w:type="dxa"/>
            <w:bottom w:w="0" w:type="dxa"/>
          </w:tblCellMar>
        </w:tblPrEx>
        <w:tc>
          <w:tcPr>
            <w:tcW w:w="1500" w:type="dxa"/>
            <w:shd w:val="clear" w:color="auto" w:fill="D9E2F3"/>
            <w:tcMar>
              <w:top w:w="60" w:type="dxa"/>
              <w:left w:w="100" w:type="dxa"/>
              <w:bottom w:w="60" w:type="dxa"/>
              <w:right w:w="100" w:type="dxa"/>
            </w:tcMar>
          </w:tcPr>
          <w:p w14:paraId="5FFBB9F1" w14:textId="77777777" w:rsidR="003E5E7F" w:rsidRDefault="00000000">
            <w:r>
              <w:rPr>
                <w:b/>
                <w:bCs/>
                <w:sz w:val="18"/>
                <w:szCs w:val="18"/>
              </w:rPr>
              <w:t>Unternehmen</w:t>
            </w:r>
          </w:p>
        </w:tc>
        <w:tc>
          <w:tcPr>
            <w:tcW w:w="1250" w:type="dxa"/>
            <w:shd w:val="clear" w:color="auto" w:fill="D9E2F3"/>
            <w:tcMar>
              <w:top w:w="60" w:type="dxa"/>
              <w:left w:w="100" w:type="dxa"/>
              <w:bottom w:w="60" w:type="dxa"/>
              <w:right w:w="100" w:type="dxa"/>
            </w:tcMar>
          </w:tcPr>
          <w:p w14:paraId="5719305C" w14:textId="77777777" w:rsidR="003E5E7F" w:rsidRDefault="00000000">
            <w:r>
              <w:rPr>
                <w:b/>
                <w:bCs/>
                <w:sz w:val="18"/>
                <w:szCs w:val="18"/>
              </w:rPr>
              <w:t>Existenz (Ø/2)</w:t>
            </w:r>
          </w:p>
        </w:tc>
        <w:tc>
          <w:tcPr>
            <w:tcW w:w="1250" w:type="dxa"/>
            <w:shd w:val="clear" w:color="auto" w:fill="D9E2F3"/>
            <w:tcMar>
              <w:top w:w="60" w:type="dxa"/>
              <w:left w:w="100" w:type="dxa"/>
              <w:bottom w:w="60" w:type="dxa"/>
              <w:right w:w="100" w:type="dxa"/>
            </w:tcMar>
          </w:tcPr>
          <w:p w14:paraId="7C612324" w14:textId="77777777" w:rsidR="003E5E7F" w:rsidRDefault="00000000">
            <w:r>
              <w:rPr>
                <w:b/>
                <w:bCs/>
                <w:sz w:val="18"/>
                <w:szCs w:val="18"/>
              </w:rPr>
              <w:t>Timing (Ø/3)</w:t>
            </w:r>
          </w:p>
        </w:tc>
        <w:tc>
          <w:tcPr>
            <w:tcW w:w="1300" w:type="dxa"/>
            <w:shd w:val="clear" w:color="auto" w:fill="D9E2F3"/>
            <w:tcMar>
              <w:top w:w="60" w:type="dxa"/>
              <w:left w:w="100" w:type="dxa"/>
              <w:bottom w:w="60" w:type="dxa"/>
              <w:right w:w="100" w:type="dxa"/>
            </w:tcMar>
          </w:tcPr>
          <w:p w14:paraId="358E2798" w14:textId="77777777" w:rsidR="003E5E7F" w:rsidRDefault="00000000">
            <w:r>
              <w:rPr>
                <w:b/>
                <w:bCs/>
                <w:sz w:val="18"/>
                <w:szCs w:val="18"/>
              </w:rPr>
              <w:t>Qualität (Ø/5)</w:t>
            </w:r>
          </w:p>
        </w:tc>
        <w:tc>
          <w:tcPr>
            <w:tcW w:w="1500" w:type="dxa"/>
            <w:shd w:val="clear" w:color="auto" w:fill="D9E2F3"/>
            <w:tcMar>
              <w:top w:w="60" w:type="dxa"/>
              <w:left w:w="100" w:type="dxa"/>
              <w:bottom w:w="60" w:type="dxa"/>
              <w:right w:w="100" w:type="dxa"/>
            </w:tcMar>
          </w:tcPr>
          <w:p w14:paraId="2991D44D" w14:textId="77777777" w:rsidR="003E5E7F" w:rsidRDefault="00000000">
            <w:r>
              <w:rPr>
                <w:b/>
                <w:bCs/>
                <w:sz w:val="18"/>
                <w:szCs w:val="18"/>
              </w:rPr>
              <w:t>Auffindbarkeit (Ø/5)</w:t>
            </w:r>
          </w:p>
        </w:tc>
        <w:tc>
          <w:tcPr>
            <w:tcW w:w="2560" w:type="dxa"/>
            <w:shd w:val="clear" w:color="auto" w:fill="D9E2F3"/>
            <w:tcMar>
              <w:top w:w="60" w:type="dxa"/>
              <w:left w:w="100" w:type="dxa"/>
              <w:bottom w:w="60" w:type="dxa"/>
              <w:right w:w="100" w:type="dxa"/>
            </w:tcMar>
          </w:tcPr>
          <w:p w14:paraId="5A8A5EE5" w14:textId="77777777" w:rsidR="003E5E7F" w:rsidRDefault="00000000">
            <w:r>
              <w:rPr>
                <w:b/>
                <w:bCs/>
                <w:sz w:val="18"/>
                <w:szCs w:val="18"/>
              </w:rPr>
              <w:t>Gesamteinordnung</w:t>
            </w:r>
          </w:p>
        </w:tc>
      </w:tr>
      <w:tr w:rsidR="00C85447" w14:paraId="1ACEBC5F" w14:textId="77777777">
        <w:tblPrEx>
          <w:tblCellMar>
            <w:top w:w="0" w:type="dxa"/>
            <w:bottom w:w="0" w:type="dxa"/>
          </w:tblCellMar>
        </w:tblPrEx>
        <w:tc>
          <w:tcPr>
            <w:tcW w:w="1500" w:type="dxa"/>
            <w:tcMar>
              <w:top w:w="60" w:type="dxa"/>
              <w:left w:w="100" w:type="dxa"/>
              <w:bottom w:w="60" w:type="dxa"/>
              <w:right w:w="100" w:type="dxa"/>
            </w:tcMar>
          </w:tcPr>
          <w:p w14:paraId="5C996632" w14:textId="77777777" w:rsidR="003E5E7F" w:rsidRDefault="00000000">
            <w:r>
              <w:rPr>
                <w:sz w:val="18"/>
                <w:szCs w:val="18"/>
              </w:rPr>
              <w:t>Philips Hue</w:t>
            </w:r>
          </w:p>
        </w:tc>
        <w:tc>
          <w:tcPr>
            <w:tcW w:w="1250" w:type="dxa"/>
            <w:tcMar>
              <w:top w:w="60" w:type="dxa"/>
              <w:left w:w="100" w:type="dxa"/>
              <w:bottom w:w="60" w:type="dxa"/>
              <w:right w:w="100" w:type="dxa"/>
            </w:tcMar>
          </w:tcPr>
          <w:p w14:paraId="03F27A8A" w14:textId="77777777" w:rsidR="003E5E7F" w:rsidRDefault="00000000">
            <w:r>
              <w:rPr>
                <w:sz w:val="18"/>
                <w:szCs w:val="18"/>
              </w:rPr>
              <w:t>2,0</w:t>
            </w:r>
          </w:p>
        </w:tc>
        <w:tc>
          <w:tcPr>
            <w:tcW w:w="1250" w:type="dxa"/>
            <w:tcMar>
              <w:top w:w="60" w:type="dxa"/>
              <w:left w:w="100" w:type="dxa"/>
              <w:bottom w:w="60" w:type="dxa"/>
              <w:right w:w="100" w:type="dxa"/>
            </w:tcMar>
          </w:tcPr>
          <w:p w14:paraId="0853A29B" w14:textId="77777777" w:rsidR="003E5E7F" w:rsidRDefault="00000000">
            <w:r>
              <w:rPr>
                <w:sz w:val="18"/>
                <w:szCs w:val="18"/>
              </w:rPr>
              <w:t>2,0</w:t>
            </w:r>
          </w:p>
        </w:tc>
        <w:tc>
          <w:tcPr>
            <w:tcW w:w="1300" w:type="dxa"/>
            <w:tcMar>
              <w:top w:w="60" w:type="dxa"/>
              <w:left w:w="100" w:type="dxa"/>
              <w:bottom w:w="60" w:type="dxa"/>
              <w:right w:w="100" w:type="dxa"/>
            </w:tcMar>
          </w:tcPr>
          <w:p w14:paraId="0B91B6B4" w14:textId="77777777" w:rsidR="003E5E7F" w:rsidRDefault="00000000">
            <w:r>
              <w:rPr>
                <w:sz w:val="18"/>
                <w:szCs w:val="18"/>
              </w:rPr>
              <w:t>5,0</w:t>
            </w:r>
          </w:p>
        </w:tc>
        <w:tc>
          <w:tcPr>
            <w:tcW w:w="1500" w:type="dxa"/>
            <w:tcMar>
              <w:top w:w="60" w:type="dxa"/>
              <w:left w:w="100" w:type="dxa"/>
              <w:bottom w:w="60" w:type="dxa"/>
              <w:right w:w="100" w:type="dxa"/>
            </w:tcMar>
          </w:tcPr>
          <w:p w14:paraId="701AD92D" w14:textId="77777777" w:rsidR="003E5E7F" w:rsidRDefault="00000000">
            <w:r>
              <w:rPr>
                <w:sz w:val="18"/>
                <w:szCs w:val="18"/>
              </w:rPr>
              <w:t>4,0</w:t>
            </w:r>
          </w:p>
        </w:tc>
        <w:tc>
          <w:tcPr>
            <w:tcW w:w="2560" w:type="dxa"/>
            <w:tcMar>
              <w:top w:w="60" w:type="dxa"/>
              <w:left w:w="100" w:type="dxa"/>
              <w:bottom w:w="60" w:type="dxa"/>
              <w:right w:w="100" w:type="dxa"/>
            </w:tcMar>
          </w:tcPr>
          <w:p w14:paraId="510A7F9E" w14:textId="77777777" w:rsidR="003E5E7F" w:rsidRDefault="00000000">
            <w:r>
              <w:rPr>
                <w:sz w:val="18"/>
                <w:szCs w:val="18"/>
              </w:rPr>
              <w:t>Vorreiter – eigenes Data-Act-Dokument; maschinenlesbarer Echtzeit- und Bulk-Zugang.</w:t>
            </w:r>
          </w:p>
        </w:tc>
      </w:tr>
      <w:tr w:rsidR="00C85447" w14:paraId="2BBE6ECD" w14:textId="77777777">
        <w:tblPrEx>
          <w:tblCellMar>
            <w:top w:w="0" w:type="dxa"/>
            <w:bottom w:w="0" w:type="dxa"/>
          </w:tblCellMar>
        </w:tblPrEx>
        <w:tc>
          <w:tcPr>
            <w:tcW w:w="1500" w:type="dxa"/>
            <w:tcMar>
              <w:top w:w="60" w:type="dxa"/>
              <w:left w:w="100" w:type="dxa"/>
              <w:bottom w:w="60" w:type="dxa"/>
              <w:right w:w="100" w:type="dxa"/>
            </w:tcMar>
          </w:tcPr>
          <w:p w14:paraId="081D588A" w14:textId="77777777" w:rsidR="003E5E7F" w:rsidRDefault="00000000">
            <w:r>
              <w:rPr>
                <w:sz w:val="18"/>
                <w:szCs w:val="18"/>
              </w:rPr>
              <w:t>Bosch</w:t>
            </w:r>
          </w:p>
        </w:tc>
        <w:tc>
          <w:tcPr>
            <w:tcW w:w="1250" w:type="dxa"/>
            <w:tcMar>
              <w:top w:w="60" w:type="dxa"/>
              <w:left w:w="100" w:type="dxa"/>
              <w:bottom w:w="60" w:type="dxa"/>
              <w:right w:w="100" w:type="dxa"/>
            </w:tcMar>
          </w:tcPr>
          <w:p w14:paraId="68DA594F" w14:textId="77777777" w:rsidR="003E5E7F" w:rsidRDefault="00000000">
            <w:r>
              <w:rPr>
                <w:sz w:val="18"/>
                <w:szCs w:val="18"/>
              </w:rPr>
              <w:t>2,0</w:t>
            </w:r>
          </w:p>
        </w:tc>
        <w:tc>
          <w:tcPr>
            <w:tcW w:w="1250" w:type="dxa"/>
            <w:tcMar>
              <w:top w:w="60" w:type="dxa"/>
              <w:left w:w="100" w:type="dxa"/>
              <w:bottom w:w="60" w:type="dxa"/>
              <w:right w:w="100" w:type="dxa"/>
            </w:tcMar>
          </w:tcPr>
          <w:p w14:paraId="1BA107DD" w14:textId="77777777" w:rsidR="003E5E7F" w:rsidRDefault="00000000">
            <w:r>
              <w:rPr>
                <w:sz w:val="18"/>
                <w:szCs w:val="18"/>
              </w:rPr>
              <w:t>2,0</w:t>
            </w:r>
          </w:p>
        </w:tc>
        <w:tc>
          <w:tcPr>
            <w:tcW w:w="1300" w:type="dxa"/>
            <w:tcMar>
              <w:top w:w="60" w:type="dxa"/>
              <w:left w:w="100" w:type="dxa"/>
              <w:bottom w:w="60" w:type="dxa"/>
              <w:right w:w="100" w:type="dxa"/>
            </w:tcMar>
          </w:tcPr>
          <w:p w14:paraId="0BB76CCD" w14:textId="77777777" w:rsidR="003E5E7F" w:rsidRDefault="00000000">
            <w:r>
              <w:rPr>
                <w:sz w:val="18"/>
                <w:szCs w:val="18"/>
              </w:rPr>
              <w:t>4,0</w:t>
            </w:r>
          </w:p>
        </w:tc>
        <w:tc>
          <w:tcPr>
            <w:tcW w:w="1500" w:type="dxa"/>
            <w:tcMar>
              <w:top w:w="60" w:type="dxa"/>
              <w:left w:w="100" w:type="dxa"/>
              <w:bottom w:w="60" w:type="dxa"/>
              <w:right w:w="100" w:type="dxa"/>
            </w:tcMar>
          </w:tcPr>
          <w:p w14:paraId="16D59AD7" w14:textId="77777777" w:rsidR="003E5E7F" w:rsidRDefault="00000000">
            <w:r>
              <w:rPr>
                <w:sz w:val="18"/>
                <w:szCs w:val="18"/>
              </w:rPr>
              <w:t>3,7</w:t>
            </w:r>
          </w:p>
        </w:tc>
        <w:tc>
          <w:tcPr>
            <w:tcW w:w="2560" w:type="dxa"/>
            <w:tcMar>
              <w:top w:w="60" w:type="dxa"/>
              <w:left w:w="100" w:type="dxa"/>
              <w:bottom w:w="60" w:type="dxa"/>
              <w:right w:w="100" w:type="dxa"/>
            </w:tcMar>
          </w:tcPr>
          <w:p w14:paraId="1BA1DD95" w14:textId="77777777" w:rsidR="003E5E7F" w:rsidRDefault="00000000">
            <w:r>
              <w:rPr>
                <w:sz w:val="18"/>
                <w:szCs w:val="18"/>
              </w:rPr>
              <w:t>Fortgeschritten – eigene Data-Act-Seite; lokale Schnittstelle; Paywall als Hürde.</w:t>
            </w:r>
          </w:p>
        </w:tc>
      </w:tr>
      <w:tr w:rsidR="00C85447" w14:paraId="78E62755" w14:textId="77777777">
        <w:tblPrEx>
          <w:tblCellMar>
            <w:top w:w="0" w:type="dxa"/>
            <w:bottom w:w="0" w:type="dxa"/>
          </w:tblCellMar>
        </w:tblPrEx>
        <w:tc>
          <w:tcPr>
            <w:tcW w:w="1500" w:type="dxa"/>
            <w:tcMar>
              <w:top w:w="60" w:type="dxa"/>
              <w:left w:w="100" w:type="dxa"/>
              <w:bottom w:w="60" w:type="dxa"/>
              <w:right w:w="100" w:type="dxa"/>
            </w:tcMar>
          </w:tcPr>
          <w:p w14:paraId="43AD87DD" w14:textId="77777777" w:rsidR="003E5E7F" w:rsidRDefault="00000000">
            <w:r>
              <w:rPr>
                <w:sz w:val="18"/>
                <w:szCs w:val="18"/>
              </w:rPr>
              <w:t>Gewiss</w:t>
            </w:r>
          </w:p>
        </w:tc>
        <w:tc>
          <w:tcPr>
            <w:tcW w:w="1250" w:type="dxa"/>
            <w:tcMar>
              <w:top w:w="60" w:type="dxa"/>
              <w:left w:w="100" w:type="dxa"/>
              <w:bottom w:w="60" w:type="dxa"/>
              <w:right w:w="100" w:type="dxa"/>
            </w:tcMar>
          </w:tcPr>
          <w:p w14:paraId="7341F782" w14:textId="77777777" w:rsidR="003E5E7F" w:rsidRDefault="00000000">
            <w:r>
              <w:rPr>
                <w:sz w:val="18"/>
                <w:szCs w:val="18"/>
              </w:rPr>
              <w:t>1,0</w:t>
            </w:r>
          </w:p>
        </w:tc>
        <w:tc>
          <w:tcPr>
            <w:tcW w:w="1250" w:type="dxa"/>
            <w:tcMar>
              <w:top w:w="60" w:type="dxa"/>
              <w:left w:w="100" w:type="dxa"/>
              <w:bottom w:w="60" w:type="dxa"/>
              <w:right w:w="100" w:type="dxa"/>
            </w:tcMar>
          </w:tcPr>
          <w:p w14:paraId="44C12858" w14:textId="77777777" w:rsidR="003E5E7F" w:rsidRDefault="00000000">
            <w:r>
              <w:rPr>
                <w:sz w:val="18"/>
                <w:szCs w:val="18"/>
              </w:rPr>
              <w:t>1,7</w:t>
            </w:r>
          </w:p>
        </w:tc>
        <w:tc>
          <w:tcPr>
            <w:tcW w:w="1300" w:type="dxa"/>
            <w:tcMar>
              <w:top w:w="60" w:type="dxa"/>
              <w:left w:w="100" w:type="dxa"/>
              <w:bottom w:w="60" w:type="dxa"/>
              <w:right w:w="100" w:type="dxa"/>
            </w:tcMar>
          </w:tcPr>
          <w:p w14:paraId="41358405" w14:textId="77777777" w:rsidR="003E5E7F" w:rsidRDefault="00000000">
            <w:r>
              <w:rPr>
                <w:sz w:val="18"/>
                <w:szCs w:val="18"/>
              </w:rPr>
              <w:t>2,7</w:t>
            </w:r>
          </w:p>
        </w:tc>
        <w:tc>
          <w:tcPr>
            <w:tcW w:w="1500" w:type="dxa"/>
            <w:tcMar>
              <w:top w:w="60" w:type="dxa"/>
              <w:left w:w="100" w:type="dxa"/>
              <w:bottom w:w="60" w:type="dxa"/>
              <w:right w:w="100" w:type="dxa"/>
            </w:tcMar>
          </w:tcPr>
          <w:p w14:paraId="3D169BAB" w14:textId="77777777" w:rsidR="003E5E7F" w:rsidRDefault="00000000">
            <w:r>
              <w:rPr>
                <w:sz w:val="18"/>
                <w:szCs w:val="18"/>
              </w:rPr>
              <w:t>2,7</w:t>
            </w:r>
          </w:p>
        </w:tc>
        <w:tc>
          <w:tcPr>
            <w:tcW w:w="2560" w:type="dxa"/>
            <w:tcMar>
              <w:top w:w="60" w:type="dxa"/>
              <w:left w:w="100" w:type="dxa"/>
              <w:bottom w:w="60" w:type="dxa"/>
              <w:right w:w="100" w:type="dxa"/>
            </w:tcMar>
          </w:tcPr>
          <w:p w14:paraId="275EBF85" w14:textId="77777777" w:rsidR="003E5E7F" w:rsidRDefault="00000000">
            <w:r>
              <w:rPr>
                <w:sz w:val="18"/>
                <w:szCs w:val="18"/>
              </w:rPr>
              <w:t>Defizitär – detaillierte, aber rein DSGVO-basierte Information; kein Nutzer-API/Export.</w:t>
            </w:r>
          </w:p>
        </w:tc>
      </w:tr>
      <w:tr w:rsidR="00C85447" w14:paraId="1C69DF85" w14:textId="77777777">
        <w:tblPrEx>
          <w:tblCellMar>
            <w:top w:w="0" w:type="dxa"/>
            <w:bottom w:w="0" w:type="dxa"/>
          </w:tblCellMar>
        </w:tblPrEx>
        <w:tc>
          <w:tcPr>
            <w:tcW w:w="1500" w:type="dxa"/>
            <w:tcMar>
              <w:top w:w="60" w:type="dxa"/>
              <w:left w:w="100" w:type="dxa"/>
              <w:bottom w:w="60" w:type="dxa"/>
              <w:right w:w="100" w:type="dxa"/>
            </w:tcMar>
          </w:tcPr>
          <w:p w14:paraId="307FD5CD" w14:textId="77777777" w:rsidR="003E5E7F" w:rsidRDefault="00000000">
            <w:r>
              <w:rPr>
                <w:sz w:val="18"/>
                <w:szCs w:val="18"/>
              </w:rPr>
              <w:t>Somfy</w:t>
            </w:r>
          </w:p>
        </w:tc>
        <w:tc>
          <w:tcPr>
            <w:tcW w:w="1250" w:type="dxa"/>
            <w:tcMar>
              <w:top w:w="60" w:type="dxa"/>
              <w:left w:w="100" w:type="dxa"/>
              <w:bottom w:w="60" w:type="dxa"/>
              <w:right w:w="100" w:type="dxa"/>
            </w:tcMar>
          </w:tcPr>
          <w:p w14:paraId="3339DEEF" w14:textId="77777777" w:rsidR="003E5E7F" w:rsidRDefault="00000000">
            <w:r>
              <w:rPr>
                <w:sz w:val="18"/>
                <w:szCs w:val="18"/>
              </w:rPr>
              <w:t>1,0</w:t>
            </w:r>
          </w:p>
        </w:tc>
        <w:tc>
          <w:tcPr>
            <w:tcW w:w="1250" w:type="dxa"/>
            <w:tcMar>
              <w:top w:w="60" w:type="dxa"/>
              <w:left w:w="100" w:type="dxa"/>
              <w:bottom w:w="60" w:type="dxa"/>
              <w:right w:w="100" w:type="dxa"/>
            </w:tcMar>
          </w:tcPr>
          <w:p w14:paraId="4E2A38E9" w14:textId="77777777" w:rsidR="003E5E7F" w:rsidRDefault="00000000">
            <w:r>
              <w:rPr>
                <w:sz w:val="18"/>
                <w:szCs w:val="18"/>
              </w:rPr>
              <w:t>1,0</w:t>
            </w:r>
          </w:p>
        </w:tc>
        <w:tc>
          <w:tcPr>
            <w:tcW w:w="1300" w:type="dxa"/>
            <w:tcMar>
              <w:top w:w="60" w:type="dxa"/>
              <w:left w:w="100" w:type="dxa"/>
              <w:bottom w:w="60" w:type="dxa"/>
              <w:right w:w="100" w:type="dxa"/>
            </w:tcMar>
          </w:tcPr>
          <w:p w14:paraId="44D6246D" w14:textId="77777777" w:rsidR="003E5E7F" w:rsidRDefault="00000000">
            <w:r>
              <w:rPr>
                <w:sz w:val="18"/>
                <w:szCs w:val="18"/>
              </w:rPr>
              <w:t>2,0</w:t>
            </w:r>
          </w:p>
        </w:tc>
        <w:tc>
          <w:tcPr>
            <w:tcW w:w="1500" w:type="dxa"/>
            <w:tcMar>
              <w:top w:w="60" w:type="dxa"/>
              <w:left w:w="100" w:type="dxa"/>
              <w:bottom w:w="60" w:type="dxa"/>
              <w:right w:w="100" w:type="dxa"/>
            </w:tcMar>
          </w:tcPr>
          <w:p w14:paraId="66404502" w14:textId="77777777" w:rsidR="003E5E7F" w:rsidRDefault="00000000">
            <w:r>
              <w:rPr>
                <w:sz w:val="18"/>
                <w:szCs w:val="18"/>
              </w:rPr>
              <w:t>2,7</w:t>
            </w:r>
          </w:p>
        </w:tc>
        <w:tc>
          <w:tcPr>
            <w:tcW w:w="2560" w:type="dxa"/>
            <w:tcMar>
              <w:top w:w="60" w:type="dxa"/>
              <w:left w:w="100" w:type="dxa"/>
              <w:bottom w:w="60" w:type="dxa"/>
              <w:right w:w="100" w:type="dxa"/>
            </w:tcMar>
          </w:tcPr>
          <w:p w14:paraId="4AA44EA5" w14:textId="77777777" w:rsidR="003E5E7F" w:rsidRDefault="00000000">
            <w:r>
              <w:rPr>
                <w:sz w:val="18"/>
                <w:szCs w:val="18"/>
              </w:rPr>
              <w:t>Defizitär – generische DSGVO-Information; keine maschinenlesbare Bereitstellung.</w:t>
            </w:r>
          </w:p>
        </w:tc>
      </w:tr>
    </w:tbl>
    <w:p w14:paraId="021ECD71" w14:textId="77777777" w:rsidR="00C01674" w:rsidRDefault="00C01674">
      <w:pPr>
        <w:spacing w:before="120"/>
        <w:rPr>
          <w:b/>
          <w:bCs/>
        </w:rPr>
      </w:pPr>
    </w:p>
    <w:p w14:paraId="24B0A10C" w14:textId="402C64AB" w:rsidR="003E5E7F" w:rsidRDefault="00000000">
      <w:pPr>
        <w:spacing w:before="120"/>
        <w:rPr>
          <w:b/>
          <w:bCs/>
        </w:rPr>
      </w:pPr>
      <w:r>
        <w:rPr>
          <w:b/>
          <w:bCs/>
        </w:rPr>
        <w:t>Identifizierte Muster (Zusammenfassung):</w:t>
      </w:r>
    </w:p>
    <w:p w14:paraId="647D8E03" w14:textId="77777777" w:rsidR="00C01674" w:rsidRDefault="00C01674">
      <w:pPr>
        <w:spacing w:before="120"/>
      </w:pPr>
    </w:p>
    <w:p w14:paraId="60B75D80" w14:textId="77777777" w:rsidR="00C01674" w:rsidRDefault="00C01674">
      <w:pPr>
        <w:pStyle w:val="Listenabsatz"/>
        <w:numPr>
          <w:ilvl w:val="0"/>
          <w:numId w:val="2"/>
        </w:numPr>
        <w:spacing w:after="60"/>
      </w:pPr>
      <w:r w:rsidRPr="00C01674">
        <w:rPr>
          <w:b/>
          <w:bCs/>
        </w:rPr>
        <w:t>Gegenüberstellung der Unternehmensergebnisse.</w:t>
      </w:r>
      <w:r w:rsidRPr="00C01674">
        <w:t xml:space="preserve"> </w:t>
      </w:r>
    </w:p>
    <w:p w14:paraId="562ACE1A" w14:textId="43319895" w:rsidR="00C01674" w:rsidRDefault="00C01674" w:rsidP="00C01674">
      <w:pPr>
        <w:spacing w:after="60"/>
        <w:ind w:left="300"/>
      </w:pPr>
      <w:r w:rsidRPr="00C01674">
        <w:t xml:space="preserve">Es zeichnet sich ein klares Zwei-Klassen-Muster ab. Die international aufgestellten Hersteller </w:t>
      </w:r>
      <w:r w:rsidRPr="00C01674">
        <w:rPr>
          <w:b/>
          <w:bCs/>
        </w:rPr>
        <w:t>Bosch</w:t>
      </w:r>
      <w:r w:rsidRPr="00C01674">
        <w:t xml:space="preserve"> und </w:t>
      </w:r>
      <w:r w:rsidRPr="00C01674">
        <w:rPr>
          <w:b/>
          <w:bCs/>
        </w:rPr>
        <w:t>Signify/Philips Hue</w:t>
      </w:r>
      <w:r w:rsidRPr="00C01674">
        <w:t xml:space="preserve"> haben den Data Act technisch und dokumentarisch verankert – mit benanntem Data Holder, eigenem Data-Act-Dokument, definierten Datenarten und konkreten Zugangswegen. </w:t>
      </w:r>
      <w:r w:rsidRPr="00C01674">
        <w:rPr>
          <w:b/>
          <w:bCs/>
        </w:rPr>
        <w:t>Somfy</w:t>
      </w:r>
      <w:r w:rsidRPr="00C01674">
        <w:t xml:space="preserve"> und </w:t>
      </w:r>
      <w:proofErr w:type="gramStart"/>
      <w:r w:rsidRPr="00C01674">
        <w:rPr>
          <w:b/>
          <w:bCs/>
        </w:rPr>
        <w:t>Gewiss</w:t>
      </w:r>
      <w:proofErr w:type="gramEnd"/>
      <w:r w:rsidRPr="00C01674">
        <w:t xml:space="preserve"> verbleiben dagegen im reinen DSGVO-Rahmen: solide Betroffenenrechte und (bei Gewiss) bezifferte Speicherfristen, aber keine Data-Act-Kartierung der erzeugten Produktdaten, keine Exportfunktion und kein maschinenlesbares Zielformat.</w:t>
      </w:r>
    </w:p>
    <w:p w14:paraId="2C403D40" w14:textId="77777777" w:rsidR="00C01674" w:rsidRPr="00C01674" w:rsidRDefault="00C01674" w:rsidP="00C01674">
      <w:pPr>
        <w:pStyle w:val="Listenabsatz"/>
        <w:numPr>
          <w:ilvl w:val="0"/>
          <w:numId w:val="2"/>
        </w:numPr>
        <w:spacing w:after="60"/>
      </w:pPr>
      <w:r>
        <w:rPr>
          <w:b/>
          <w:bCs/>
          <w:color w:val="000000"/>
        </w:rPr>
        <w:t>Best Practices.</w:t>
      </w:r>
    </w:p>
    <w:p w14:paraId="6A37C9B1" w14:textId="495FE289" w:rsidR="00C01674" w:rsidRDefault="00C01674" w:rsidP="00C01674">
      <w:pPr>
        <w:spacing w:after="60"/>
        <w:ind w:left="300"/>
        <w:rPr>
          <w:color w:val="000000"/>
        </w:rPr>
      </w:pPr>
      <w:r w:rsidRPr="00C01674">
        <w:rPr>
          <w:color w:val="000000"/>
        </w:rPr>
        <w:t xml:space="preserve">Vorbildlich ist Philips Hue mit explizitem JSON-Format, kostenloser Weitergabe, </w:t>
      </w:r>
      <w:proofErr w:type="spellStart"/>
      <w:r w:rsidRPr="00C01674">
        <w:rPr>
          <w:color w:val="000000"/>
        </w:rPr>
        <w:t>Intake</w:t>
      </w:r>
      <w:proofErr w:type="spellEnd"/>
      <w:r w:rsidRPr="00C01674">
        <w:rPr>
          <w:color w:val="000000"/>
        </w:rPr>
        <w:t>-Formular, klarer Direkt-/Indirekt-Unterscheidung, Glossar und sauberer Data-Holder-Ausnahmeregel bei Drittanbieter-Bridges. Bosch punktet mit der lokalen maschinenlesbaren Schnittstelle und einem transparenten, zustimmungsbasierten Modell für den Partnerzugriff.</w:t>
      </w:r>
    </w:p>
    <w:p w14:paraId="0C174AAD" w14:textId="7608A91A" w:rsidR="00C01674" w:rsidRPr="00C01674" w:rsidRDefault="00C01674" w:rsidP="00C01674">
      <w:pPr>
        <w:pStyle w:val="Listenabsatz"/>
        <w:numPr>
          <w:ilvl w:val="0"/>
          <w:numId w:val="2"/>
        </w:numPr>
        <w:spacing w:after="60"/>
        <w:rPr>
          <w:b/>
          <w:bCs/>
        </w:rPr>
      </w:pPr>
      <w:r w:rsidRPr="00C01674">
        <w:rPr>
          <w:b/>
          <w:bCs/>
        </w:rPr>
        <w:t>Defizite</w:t>
      </w:r>
    </w:p>
    <w:p w14:paraId="46BF3FAA" w14:textId="77777777" w:rsidR="00C01674" w:rsidRDefault="00C01674" w:rsidP="00C01674">
      <w:pPr>
        <w:pStyle w:val="Listenabsatz"/>
        <w:pageBreakBefore/>
        <w:numPr>
          <w:ilvl w:val="0"/>
          <w:numId w:val="2"/>
        </w:numPr>
        <w:spacing w:after="60"/>
      </w:pPr>
      <w:r w:rsidRPr="00C01674">
        <w:lastRenderedPageBreak/>
        <w:t>Bei Bosch fehlt die Formatangabe; bei Somfy fehlen Data-Act-Mapping, Exportpfad und Formattransparenz nahezu vollständig; bei Gewiss fehlt der Data-Act-Teil zu Zugang und Portabilität der Produktdaten trotz formal genannter Portabilität. Übergreifendes Muster: Reibung entsteht weniger durch fehlende Rechte als durch fehlende Self-Service-Werkzeuge und technische Voraussetzungen.</w:t>
      </w:r>
    </w:p>
    <w:p w14:paraId="17DBF674" w14:textId="77777777" w:rsidR="00C01674" w:rsidRPr="00C01674" w:rsidRDefault="00C01674" w:rsidP="00C01674">
      <w:pPr>
        <w:spacing w:after="60"/>
        <w:ind w:left="300"/>
      </w:pPr>
    </w:p>
    <w:p w14:paraId="5445DF11" w14:textId="77777777" w:rsidR="00C01674" w:rsidRDefault="00C01674" w:rsidP="00C01674">
      <w:pPr>
        <w:pStyle w:val="berschrift1"/>
        <w:ind w:left="720"/>
      </w:pPr>
      <w:bookmarkStart w:id="27" w:name="_Toc232151355"/>
    </w:p>
    <w:p w14:paraId="5ACCCA2D" w14:textId="77777777" w:rsidR="00C01674" w:rsidRDefault="00C01674" w:rsidP="00C01674">
      <w:pPr>
        <w:pStyle w:val="berschrift1"/>
        <w:ind w:left="720"/>
      </w:pPr>
    </w:p>
    <w:p w14:paraId="0BF3D202" w14:textId="77777777" w:rsidR="00C01674" w:rsidRDefault="00C01674" w:rsidP="00C01674">
      <w:pPr>
        <w:pStyle w:val="berschrift1"/>
        <w:ind w:left="720"/>
      </w:pPr>
    </w:p>
    <w:p w14:paraId="09188932" w14:textId="77777777" w:rsidR="00C01674" w:rsidRDefault="00C01674" w:rsidP="00C01674">
      <w:pPr>
        <w:pStyle w:val="berschrift1"/>
        <w:ind w:left="720"/>
      </w:pPr>
    </w:p>
    <w:p w14:paraId="6A493651" w14:textId="77777777" w:rsidR="00C01674" w:rsidRDefault="00C01674" w:rsidP="00C01674">
      <w:pPr>
        <w:pStyle w:val="berschrift1"/>
        <w:ind w:left="720"/>
      </w:pPr>
    </w:p>
    <w:p w14:paraId="537374C7" w14:textId="77777777" w:rsidR="00C01674" w:rsidRDefault="00C01674" w:rsidP="00C01674">
      <w:pPr>
        <w:pStyle w:val="berschrift1"/>
        <w:ind w:left="720"/>
      </w:pPr>
    </w:p>
    <w:p w14:paraId="1CD7A05D" w14:textId="77777777" w:rsidR="00C01674" w:rsidRDefault="00C01674" w:rsidP="00C01674">
      <w:pPr>
        <w:pStyle w:val="berschrift1"/>
        <w:ind w:left="720"/>
      </w:pPr>
    </w:p>
    <w:p w14:paraId="1FD58255" w14:textId="77777777" w:rsidR="00C01674" w:rsidRDefault="00C01674" w:rsidP="00C01674">
      <w:pPr>
        <w:pStyle w:val="berschrift1"/>
        <w:ind w:left="720"/>
      </w:pPr>
    </w:p>
    <w:p w14:paraId="5855CE10" w14:textId="77777777" w:rsidR="00C01674" w:rsidRDefault="00C01674" w:rsidP="00C01674">
      <w:pPr>
        <w:pStyle w:val="berschrift1"/>
        <w:ind w:left="720"/>
      </w:pPr>
    </w:p>
    <w:p w14:paraId="1E0AA4F7" w14:textId="77777777" w:rsidR="00C01674" w:rsidRDefault="00C01674" w:rsidP="00C01674">
      <w:pPr>
        <w:pStyle w:val="berschrift1"/>
        <w:ind w:left="720"/>
      </w:pPr>
    </w:p>
    <w:p w14:paraId="2D85E1DB" w14:textId="77777777" w:rsidR="00C01674" w:rsidRDefault="00C01674" w:rsidP="00C01674">
      <w:pPr>
        <w:pStyle w:val="berschrift1"/>
        <w:ind w:left="720"/>
      </w:pPr>
    </w:p>
    <w:p w14:paraId="328FCDEC" w14:textId="77777777" w:rsidR="00C01674" w:rsidRDefault="00C01674" w:rsidP="00C01674">
      <w:pPr>
        <w:pStyle w:val="berschrift1"/>
        <w:ind w:left="720"/>
      </w:pPr>
    </w:p>
    <w:p w14:paraId="734E51DE" w14:textId="77777777" w:rsidR="00C01674" w:rsidRDefault="00C01674" w:rsidP="00C01674">
      <w:pPr>
        <w:pStyle w:val="berschrift1"/>
        <w:ind w:left="720"/>
      </w:pPr>
    </w:p>
    <w:p w14:paraId="1E4E38C3" w14:textId="77777777" w:rsidR="00C01674" w:rsidRDefault="00C01674" w:rsidP="00C01674">
      <w:pPr>
        <w:pStyle w:val="berschrift1"/>
        <w:ind w:left="720"/>
      </w:pPr>
    </w:p>
    <w:p w14:paraId="0571055A" w14:textId="77777777" w:rsidR="00C01674" w:rsidRDefault="00C01674" w:rsidP="00C01674">
      <w:pPr>
        <w:pStyle w:val="berschrift1"/>
        <w:ind w:left="720"/>
      </w:pPr>
    </w:p>
    <w:p w14:paraId="4769EF10" w14:textId="77777777" w:rsidR="00C01674" w:rsidRDefault="00C01674" w:rsidP="00C01674">
      <w:pPr>
        <w:pStyle w:val="berschrift1"/>
        <w:ind w:left="720"/>
      </w:pPr>
    </w:p>
    <w:p w14:paraId="4B7E4448" w14:textId="77777777" w:rsidR="00C01674" w:rsidRDefault="00C01674" w:rsidP="00C01674">
      <w:pPr>
        <w:pStyle w:val="berschrift1"/>
        <w:ind w:left="720"/>
      </w:pPr>
    </w:p>
    <w:p w14:paraId="2D055DD2" w14:textId="77777777" w:rsidR="00C01674" w:rsidRDefault="00C01674" w:rsidP="00C01674">
      <w:pPr>
        <w:pStyle w:val="berschrift1"/>
        <w:ind w:left="720"/>
      </w:pPr>
    </w:p>
    <w:p w14:paraId="4044F204" w14:textId="77777777" w:rsidR="00C01674" w:rsidRDefault="00C01674" w:rsidP="00C01674">
      <w:pPr>
        <w:pStyle w:val="berschrift1"/>
        <w:ind w:left="720"/>
      </w:pPr>
    </w:p>
    <w:p w14:paraId="51555AC6" w14:textId="2D73F334" w:rsidR="00C01674" w:rsidRDefault="00000000" w:rsidP="00C01674">
      <w:pPr>
        <w:pStyle w:val="berschrift1"/>
        <w:numPr>
          <w:ilvl w:val="0"/>
          <w:numId w:val="26"/>
        </w:numPr>
      </w:pPr>
      <w:r>
        <w:lastRenderedPageBreak/>
        <w:t>Diskussion und Fazit</w:t>
      </w:r>
      <w:bookmarkEnd w:id="27"/>
    </w:p>
    <w:p w14:paraId="5160DC87" w14:textId="77777777" w:rsidR="00C01674" w:rsidRDefault="00C01674" w:rsidP="00C01674">
      <w:pPr>
        <w:pStyle w:val="berschrift1"/>
      </w:pPr>
    </w:p>
    <w:p w14:paraId="1E618859" w14:textId="77777777" w:rsidR="003E5E7F" w:rsidRDefault="00000000">
      <w:pPr>
        <w:pStyle w:val="berschrift2"/>
      </w:pPr>
      <w:bookmarkStart w:id="28" w:name="_Toc232151356"/>
      <w:r>
        <w:t>5.1 Diskussion der Diskrepanz zwischen Soll- und Ist-Zustand</w:t>
      </w:r>
      <w:bookmarkEnd w:id="28"/>
    </w:p>
    <w:p w14:paraId="1EB890FB" w14:textId="77777777" w:rsidR="003E5E7F" w:rsidRDefault="00000000">
      <w:pPr>
        <w:spacing w:after="140" w:line="276" w:lineRule="auto"/>
      </w:pPr>
      <w:r>
        <w:t>Der rechtliche Soll-Zustand nach Art. 3 verlangt vollständige, klare und vorvertragliche Transparenz sowie einen standardmäßig leichten, sicheren, kostenfreien und maschinenlesbaren Datenzugang. Die empirische Analyse zeigt ein heterogenes Bild: Nur ein Teil der Anbieter nähert sich diesem Anspruch substanziell an.</w:t>
      </w:r>
    </w:p>
    <w:p w14:paraId="299EAE13" w14:textId="77777777" w:rsidR="003E5E7F" w:rsidRDefault="00000000">
      <w:pPr>
        <w:spacing w:after="140" w:line="276" w:lineRule="auto"/>
      </w:pPr>
      <w:r>
        <w:t>Als Ursachen lassen sich (i) rechtlich-konzeptionelle Missverständnisse (Gleichsetzung DSGVO- und Data-Act-Pflichten), (ii) organisatorische Faktoren (Ressourcen, Bewusstsein, frühe Umsetzungsphase) und (iii) technische Faktoren (Datenarchitektur/Ökosystemstruktur) identifizieren. Bei der Einordnung ist die gestaffelte Geltung des Data Act zu berücksichtigen.</w:t>
      </w:r>
      <w:r>
        <w:rPr>
          <w:rStyle w:val="Funotenzeichen"/>
        </w:rPr>
        <w:footnoteReference w:id="16"/>
      </w:r>
    </w:p>
    <w:p w14:paraId="4788CDEB" w14:textId="77777777" w:rsidR="003E5E7F" w:rsidRDefault="00000000">
      <w:pPr>
        <w:pStyle w:val="berschrift2"/>
      </w:pPr>
      <w:bookmarkStart w:id="29" w:name="_Toc232151357"/>
      <w:r>
        <w:t>5.2 Beantwortung der Forschungsfragen</w:t>
      </w:r>
      <w:bookmarkEnd w:id="29"/>
    </w:p>
    <w:p w14:paraId="665080FE" w14:textId="77777777" w:rsidR="003E5E7F" w:rsidRDefault="00000000">
      <w:pPr>
        <w:spacing w:after="140" w:line="276" w:lineRule="auto"/>
      </w:pPr>
      <w:r>
        <w:t xml:space="preserve">Die Umsetzung der Transparenz- und Bereitstellungspflichten ist insgesamt nur partiell. Philips Hue und Bosch zeigen substanzielle Data-Act-spezifische Ansätze; Somfy und </w:t>
      </w:r>
      <w:proofErr w:type="gramStart"/>
      <w:r>
        <w:t>Gewiss</w:t>
      </w:r>
      <w:proofErr w:type="gramEnd"/>
      <w:r>
        <w:t xml:space="preserve"> weisen deutliche Lücken insbesondere bei Data-Act-spezifischer Vorvertrags-Transparenz und beim maschinenlesbaren Zugang auf.</w:t>
      </w:r>
    </w:p>
    <w:p w14:paraId="39717B32" w14:textId="77777777" w:rsidR="003E5E7F" w:rsidRDefault="00000000">
      <w:pPr>
        <w:pStyle w:val="berschrift2"/>
      </w:pPr>
      <w:bookmarkStart w:id="30" w:name="_Toc232151358"/>
      <w:r>
        <w:t>5.3 Ausblick und Handlungsempfehlungen</w:t>
      </w:r>
      <w:bookmarkEnd w:id="30"/>
    </w:p>
    <w:p w14:paraId="51900EB8" w14:textId="77777777" w:rsidR="003E5E7F" w:rsidRDefault="00000000">
      <w:pPr>
        <w:spacing w:after="140" w:line="276" w:lineRule="auto"/>
      </w:pPr>
      <w:r>
        <w:rPr>
          <w:b/>
          <w:bCs/>
        </w:rPr>
        <w:t>Empfehlungen für Unternehmen:</w:t>
      </w:r>
    </w:p>
    <w:p w14:paraId="1E9195B8" w14:textId="77777777" w:rsidR="003E5E7F" w:rsidRDefault="00000000">
      <w:pPr>
        <w:pStyle w:val="Listenabsatz"/>
        <w:numPr>
          <w:ilvl w:val="0"/>
          <w:numId w:val="2"/>
        </w:numPr>
        <w:spacing w:after="60"/>
      </w:pPr>
      <w:r>
        <w:t>Eigenständiger, von der Datenschutzerklärung getrennter Data-Act-Hinweis</w:t>
      </w:r>
    </w:p>
    <w:p w14:paraId="52296466" w14:textId="77777777" w:rsidR="003E5E7F" w:rsidRDefault="00000000">
      <w:pPr>
        <w:pStyle w:val="Listenabsatz"/>
        <w:numPr>
          <w:ilvl w:val="0"/>
          <w:numId w:val="2"/>
        </w:numPr>
        <w:spacing w:after="60"/>
      </w:pPr>
      <w:r>
        <w:t>Quantifizierte Offenlegung von Datenarten, Formaten und -mengen</w:t>
      </w:r>
    </w:p>
    <w:p w14:paraId="18FD6B82" w14:textId="77777777" w:rsidR="003E5E7F" w:rsidRDefault="00000000">
      <w:pPr>
        <w:pStyle w:val="Listenabsatz"/>
        <w:numPr>
          <w:ilvl w:val="0"/>
          <w:numId w:val="2"/>
        </w:numPr>
        <w:spacing w:after="60"/>
      </w:pPr>
      <w:r>
        <w:t>Standardisierter maschinenlesbarer Export + dokumentierte API</w:t>
      </w:r>
    </w:p>
    <w:p w14:paraId="4D121485" w14:textId="77777777" w:rsidR="003E5E7F" w:rsidRDefault="00000000">
      <w:pPr>
        <w:pStyle w:val="Listenabsatz"/>
        <w:numPr>
          <w:ilvl w:val="0"/>
          <w:numId w:val="2"/>
        </w:numPr>
        <w:spacing w:after="60"/>
      </w:pPr>
      <w:r>
        <w:t>Kostenlose und widerrufliche Drittweitergabe</w:t>
      </w:r>
    </w:p>
    <w:p w14:paraId="49AA184B" w14:textId="77777777" w:rsidR="003E5E7F" w:rsidRDefault="00000000">
      <w:pPr>
        <w:pStyle w:val="Listenabsatz"/>
        <w:numPr>
          <w:ilvl w:val="0"/>
          <w:numId w:val="2"/>
        </w:numPr>
        <w:spacing w:after="60"/>
      </w:pPr>
      <w:r>
        <w:t>Prominente Platzierung der Informationen bereits im vorvertraglichen Kaufprozess</w:t>
      </w:r>
    </w:p>
    <w:p w14:paraId="1D72D741" w14:textId="77777777" w:rsidR="003E5E7F" w:rsidRDefault="00000000">
      <w:pPr>
        <w:spacing w:after="140" w:line="276" w:lineRule="auto"/>
      </w:pPr>
      <w:r>
        <w:rPr>
          <w:b/>
          <w:bCs/>
        </w:rPr>
        <w:t>Empfehlungen für Gesetzgeber/Aufsicht:</w:t>
      </w:r>
    </w:p>
    <w:p w14:paraId="59B8A291" w14:textId="77777777" w:rsidR="003E5E7F" w:rsidRDefault="00000000">
      <w:pPr>
        <w:pStyle w:val="Listenabsatz"/>
        <w:numPr>
          <w:ilvl w:val="0"/>
          <w:numId w:val="2"/>
        </w:numPr>
        <w:spacing w:after="60"/>
      </w:pPr>
      <w:r>
        <w:t>Sektorspezifische Leitlinien und Musterformulare</w:t>
      </w:r>
    </w:p>
    <w:p w14:paraId="1B41793B" w14:textId="77777777" w:rsidR="003E5E7F" w:rsidRDefault="00000000">
      <w:pPr>
        <w:pStyle w:val="Listenabsatz"/>
        <w:numPr>
          <w:ilvl w:val="0"/>
          <w:numId w:val="2"/>
        </w:numPr>
        <w:spacing w:after="60"/>
      </w:pPr>
      <w:r>
        <w:t>Klarstellung der Abgrenzung zwischen DSGVO und Data Act</w:t>
      </w:r>
    </w:p>
    <w:p w14:paraId="39D49D22" w14:textId="77777777" w:rsidR="003E5E7F" w:rsidRDefault="00000000">
      <w:pPr>
        <w:pStyle w:val="Listenabsatz"/>
        <w:numPr>
          <w:ilvl w:val="0"/>
          <w:numId w:val="2"/>
        </w:numPr>
        <w:spacing w:after="60"/>
      </w:pPr>
      <w:r>
        <w:t>Standardisierte Formatvorgaben und Prüfkataloge</w:t>
      </w:r>
    </w:p>
    <w:p w14:paraId="2C9CECE1" w14:textId="77777777" w:rsidR="003E5E7F" w:rsidRDefault="00000000">
      <w:pPr>
        <w:spacing w:after="140" w:line="276" w:lineRule="auto"/>
      </w:pPr>
      <w:r>
        <w:rPr>
          <w:b/>
          <w:bCs/>
        </w:rPr>
        <w:t>Weiterer Forschungsbedarf:</w:t>
      </w:r>
    </w:p>
    <w:p w14:paraId="1B38512D" w14:textId="77777777" w:rsidR="003E5E7F" w:rsidRDefault="00000000">
      <w:pPr>
        <w:pStyle w:val="Listenabsatz"/>
        <w:numPr>
          <w:ilvl w:val="0"/>
          <w:numId w:val="2"/>
        </w:numPr>
        <w:spacing w:after="60"/>
      </w:pPr>
      <w:r>
        <w:t>Größere Stichprobe und Längsschnitt zur Beobachtung der Umsetzung über die Zeit</w:t>
      </w:r>
    </w:p>
    <w:p w14:paraId="5A8EF23B" w14:textId="77777777" w:rsidR="003E5E7F" w:rsidRDefault="00000000">
      <w:pPr>
        <w:pStyle w:val="Listenabsatz"/>
        <w:numPr>
          <w:ilvl w:val="0"/>
          <w:numId w:val="2"/>
        </w:numPr>
        <w:spacing w:after="60"/>
      </w:pPr>
      <w:r>
        <w:t>Schnittstellen zur KI-Verordnung und zu IT-Sicherheitsregimen</w:t>
      </w:r>
    </w:p>
    <w:p w14:paraId="38EF94D4" w14:textId="77777777" w:rsidR="003E5E7F" w:rsidRDefault="00000000">
      <w:pPr>
        <w:pStyle w:val="Listenabsatz"/>
        <w:numPr>
          <w:ilvl w:val="0"/>
          <w:numId w:val="2"/>
        </w:numPr>
        <w:spacing w:after="60"/>
      </w:pPr>
      <w:r>
        <w:t>Streitbeilegung und praktische Durchsetzung unter dem Data Act</w:t>
      </w:r>
    </w:p>
    <w:p w14:paraId="5A2D6939" w14:textId="77777777" w:rsidR="003E5E7F" w:rsidRDefault="003E5E7F" w:rsidP="00C01674">
      <w:pPr>
        <w:pageBreakBefore/>
        <w:spacing w:after="60"/>
      </w:pPr>
    </w:p>
    <w:p w14:paraId="1B2A923E" w14:textId="77777777" w:rsidR="003E5E7F" w:rsidRDefault="00000000">
      <w:pPr>
        <w:pStyle w:val="berschrift1"/>
      </w:pPr>
      <w:bookmarkStart w:id="31" w:name="_Toc232151359"/>
      <w:r>
        <w:t>6. Literaturverzeichnis</w:t>
      </w:r>
      <w:bookmarkEnd w:id="31"/>
    </w:p>
    <w:p w14:paraId="4B390287" w14:textId="77777777" w:rsidR="003E5E7F" w:rsidRDefault="00000000">
      <w:pPr>
        <w:pStyle w:val="berschrift2"/>
      </w:pPr>
      <w:bookmarkStart w:id="32" w:name="_Toc232151360"/>
      <w:r>
        <w:t>6.1 Rechtsquellen und amtliche Dokumente</w:t>
      </w:r>
      <w:bookmarkEnd w:id="32"/>
    </w:p>
    <w:p w14:paraId="6522E31C" w14:textId="77777777" w:rsidR="003E5E7F" w:rsidRDefault="00000000">
      <w:pPr>
        <w:pStyle w:val="Listenabsatz"/>
        <w:numPr>
          <w:ilvl w:val="0"/>
          <w:numId w:val="2"/>
        </w:numPr>
        <w:spacing w:after="60"/>
      </w:pPr>
      <w:r>
        <w:t xml:space="preserve">Verordnung (EU) 2023/2854 des Europäischen Parlaments und des Rates vom 13. Dezember 2023 über harmonisierte Vorschriften für einen fairen Datenzugang und eine faire Datennutzung (Data Act). </w:t>
      </w:r>
      <w:proofErr w:type="spellStart"/>
      <w:r>
        <w:t>ABl.</w:t>
      </w:r>
      <w:proofErr w:type="spellEnd"/>
      <w:r>
        <w:t xml:space="preserve"> L, 2023/2854.</w:t>
      </w:r>
    </w:p>
    <w:p w14:paraId="066FA2DC" w14:textId="12447647" w:rsidR="003E5E7F" w:rsidRDefault="00000000">
      <w:pPr>
        <w:pStyle w:val="Listenabsatz"/>
        <w:numPr>
          <w:ilvl w:val="0"/>
          <w:numId w:val="2"/>
        </w:numPr>
        <w:spacing w:after="60"/>
      </w:pPr>
      <w:r>
        <w:t xml:space="preserve">Europäische Kommission (2020). Eine europäische Datenstrategie. Mitteilung, </w:t>
      </w:r>
      <w:r w:rsidR="00C01674">
        <w:t>COM (</w:t>
      </w:r>
      <w:r>
        <w:t>2020) 66 final, Brüssel.</w:t>
      </w:r>
    </w:p>
    <w:p w14:paraId="03C784CD" w14:textId="60D75C36" w:rsidR="003E5E7F" w:rsidRDefault="00000000">
      <w:pPr>
        <w:pStyle w:val="Listenabsatz"/>
        <w:numPr>
          <w:ilvl w:val="0"/>
          <w:numId w:val="2"/>
        </w:numPr>
        <w:spacing w:after="60"/>
      </w:pPr>
      <w:r>
        <w:t xml:space="preserve">Europäische Kommission (2022). Impact Assessment Report on </w:t>
      </w:r>
      <w:proofErr w:type="spellStart"/>
      <w:r>
        <w:t>the</w:t>
      </w:r>
      <w:proofErr w:type="spellEnd"/>
      <w:r>
        <w:t xml:space="preserve"> Data Act. </w:t>
      </w:r>
      <w:r w:rsidR="00C01674">
        <w:t>SWD (</w:t>
      </w:r>
      <w:r>
        <w:t>2022) 34 final, Brüssel.</w:t>
      </w:r>
    </w:p>
    <w:p w14:paraId="183E6CC4" w14:textId="77777777" w:rsidR="003E5E7F" w:rsidRDefault="00000000">
      <w:pPr>
        <w:pStyle w:val="Listenabsatz"/>
        <w:numPr>
          <w:ilvl w:val="0"/>
          <w:numId w:val="2"/>
        </w:numPr>
        <w:spacing w:after="60"/>
      </w:pPr>
      <w:r>
        <w:t xml:space="preserve">Rat der Europäischen Union (2023). Mandate </w:t>
      </w:r>
      <w:proofErr w:type="spellStart"/>
      <w:r>
        <w:t>for</w:t>
      </w:r>
      <w:proofErr w:type="spellEnd"/>
      <w:r>
        <w:t xml:space="preserve"> </w:t>
      </w:r>
      <w:proofErr w:type="spellStart"/>
      <w:r>
        <w:t>negotiations</w:t>
      </w:r>
      <w:proofErr w:type="spellEnd"/>
      <w:r>
        <w:t xml:space="preserve"> (Data Act), 7413/23, Brüssel.</w:t>
      </w:r>
    </w:p>
    <w:p w14:paraId="2DDF48D6" w14:textId="77777777" w:rsidR="003E5E7F" w:rsidRDefault="00000000">
      <w:pPr>
        <w:pStyle w:val="berschrift2"/>
      </w:pPr>
      <w:bookmarkStart w:id="33" w:name="_Toc232151361"/>
      <w:r>
        <w:t>6.2 Rechtsprechung</w:t>
      </w:r>
      <w:bookmarkEnd w:id="33"/>
    </w:p>
    <w:p w14:paraId="69FA04F8" w14:textId="77777777" w:rsidR="003E5E7F" w:rsidRDefault="00000000">
      <w:pPr>
        <w:pStyle w:val="Listenabsatz"/>
        <w:numPr>
          <w:ilvl w:val="0"/>
          <w:numId w:val="2"/>
        </w:numPr>
        <w:spacing w:after="60"/>
      </w:pPr>
      <w:r>
        <w:t xml:space="preserve">Europäischer Gerichtshof (EuGH), Urteil vom 19.10.2016 – </w:t>
      </w:r>
      <w:proofErr w:type="spellStart"/>
      <w:r>
        <w:t>Rs</w:t>
      </w:r>
      <w:proofErr w:type="spellEnd"/>
      <w:r>
        <w:t>. C-582/14 (Patrick Breyer/Bundesrepublik Deutschland).</w:t>
      </w:r>
    </w:p>
    <w:p w14:paraId="379D8605" w14:textId="77777777" w:rsidR="003E5E7F" w:rsidRDefault="00000000">
      <w:pPr>
        <w:pStyle w:val="berschrift2"/>
      </w:pPr>
      <w:bookmarkStart w:id="34" w:name="_Toc232151362"/>
      <w:r>
        <w:t>6.3 Fachliteratur</w:t>
      </w:r>
      <w:bookmarkEnd w:id="34"/>
    </w:p>
    <w:p w14:paraId="312B452F" w14:textId="77777777" w:rsidR="003E5E7F" w:rsidRDefault="00000000">
      <w:pPr>
        <w:pStyle w:val="Listenabsatz"/>
        <w:numPr>
          <w:ilvl w:val="0"/>
          <w:numId w:val="2"/>
        </w:numPr>
        <w:spacing w:after="60"/>
      </w:pPr>
      <w:proofErr w:type="spellStart"/>
      <w:r>
        <w:t>Dieler</w:t>
      </w:r>
      <w:proofErr w:type="spellEnd"/>
      <w:r>
        <w:t xml:space="preserve">, P. (2025). Pay </w:t>
      </w:r>
      <w:proofErr w:type="spellStart"/>
      <w:r>
        <w:t>for</w:t>
      </w:r>
      <w:proofErr w:type="spellEnd"/>
      <w:r>
        <w:t xml:space="preserve"> Okay – Nutzungsrecht und -ausschluss bei maschinengenerierten Daten nach dem Data Act. Kommunikation &amp; Recht (K&amp;R), 10/2025.</w:t>
      </w:r>
    </w:p>
    <w:p w14:paraId="6409EDF8" w14:textId="77777777" w:rsidR="003E5E7F" w:rsidRDefault="00000000">
      <w:pPr>
        <w:pStyle w:val="Listenabsatz"/>
        <w:numPr>
          <w:ilvl w:val="0"/>
          <w:numId w:val="2"/>
        </w:numPr>
        <w:spacing w:after="60"/>
      </w:pPr>
      <w:r>
        <w:t>Ebersberger, S. &amp; Falk, R. (2025). IoT-Hersteller und der Data Act: Ein Compliance-Praxisleitfaden. Betriebs-Berater (BB), 35.2025.</w:t>
      </w:r>
    </w:p>
    <w:p w14:paraId="6BFB3163" w14:textId="77777777" w:rsidR="003E5E7F" w:rsidRDefault="00000000">
      <w:pPr>
        <w:pStyle w:val="Listenabsatz"/>
        <w:numPr>
          <w:ilvl w:val="0"/>
          <w:numId w:val="2"/>
        </w:numPr>
        <w:spacing w:after="60"/>
      </w:pPr>
      <w:r>
        <w:t xml:space="preserve">Eckardt, M. &amp; Kerber, W. (2024). Property </w:t>
      </w:r>
      <w:proofErr w:type="spellStart"/>
      <w:r>
        <w:t>rights</w:t>
      </w:r>
      <w:proofErr w:type="spellEnd"/>
      <w:r>
        <w:t xml:space="preserve"> </w:t>
      </w:r>
      <w:proofErr w:type="spellStart"/>
      <w:r>
        <w:t>theory</w:t>
      </w:r>
      <w:proofErr w:type="spellEnd"/>
      <w:r>
        <w:t xml:space="preserve">, </w:t>
      </w:r>
      <w:proofErr w:type="spellStart"/>
      <w:r>
        <w:t>bundles</w:t>
      </w:r>
      <w:proofErr w:type="spellEnd"/>
      <w:r>
        <w:t xml:space="preserve"> </w:t>
      </w:r>
      <w:proofErr w:type="spellStart"/>
      <w:r>
        <w:t>of</w:t>
      </w:r>
      <w:proofErr w:type="spellEnd"/>
      <w:r>
        <w:t xml:space="preserve"> </w:t>
      </w:r>
      <w:proofErr w:type="spellStart"/>
      <w:r>
        <w:t>rights</w:t>
      </w:r>
      <w:proofErr w:type="spellEnd"/>
      <w:r>
        <w:t xml:space="preserve"> on IoT </w:t>
      </w:r>
      <w:proofErr w:type="spellStart"/>
      <w:r>
        <w:t>data</w:t>
      </w:r>
      <w:proofErr w:type="spellEnd"/>
      <w:r>
        <w:t xml:space="preserve">, and </w:t>
      </w:r>
      <w:proofErr w:type="spellStart"/>
      <w:r>
        <w:t>the</w:t>
      </w:r>
      <w:proofErr w:type="spellEnd"/>
      <w:r>
        <w:t xml:space="preserve"> EU Data Act. European Journal </w:t>
      </w:r>
      <w:proofErr w:type="spellStart"/>
      <w:r>
        <w:t>of</w:t>
      </w:r>
      <w:proofErr w:type="spellEnd"/>
      <w:r>
        <w:t xml:space="preserve"> Law and Economics. https://doi.org/10.1007/s10657-023-09791-8</w:t>
      </w:r>
    </w:p>
    <w:p w14:paraId="1EA28B31" w14:textId="77777777" w:rsidR="003E5E7F" w:rsidRDefault="00000000">
      <w:pPr>
        <w:pStyle w:val="Listenabsatz"/>
        <w:numPr>
          <w:ilvl w:val="0"/>
          <w:numId w:val="2"/>
        </w:numPr>
        <w:spacing w:after="60"/>
      </w:pPr>
      <w:r>
        <w:t>Eckhardt, J. (2025). Compliance bei IoT-Systemen – Ein Überblick über die Rechtslage.</w:t>
      </w:r>
    </w:p>
    <w:p w14:paraId="5CC2A3C0" w14:textId="77777777" w:rsidR="003E5E7F" w:rsidRDefault="00000000">
      <w:pPr>
        <w:pStyle w:val="Listenabsatz"/>
        <w:numPr>
          <w:ilvl w:val="0"/>
          <w:numId w:val="2"/>
        </w:numPr>
        <w:spacing w:after="60"/>
      </w:pPr>
      <w:r>
        <w:t>Geber, F. (2026). Die Leitlinien der EU-Kommission zur Anwendung des Data Act auf Fahrzeugdaten. Recht der Automobilwirtschaft (RAW), 1/2026.</w:t>
      </w:r>
    </w:p>
    <w:p w14:paraId="3210EB7F" w14:textId="77777777" w:rsidR="003E5E7F" w:rsidRDefault="00000000">
      <w:pPr>
        <w:pStyle w:val="Listenabsatz"/>
        <w:numPr>
          <w:ilvl w:val="0"/>
          <w:numId w:val="2"/>
        </w:numPr>
        <w:spacing w:after="60"/>
      </w:pPr>
      <w:r>
        <w:t xml:space="preserve">Knittl, S. et al. (2022). Das Internet </w:t>
      </w:r>
      <w:proofErr w:type="spellStart"/>
      <w:r>
        <w:t>of</w:t>
      </w:r>
      <w:proofErr w:type="spellEnd"/>
      <w:r>
        <w:t xml:space="preserve"> Things – zwischen Usability und Verlust der Datensouveränität. Edition HMD. Wiesbaden: Springer. https://doi.org/10.1007/978-3-658-34524-2_16</w:t>
      </w:r>
    </w:p>
    <w:p w14:paraId="4E272C72" w14:textId="77777777" w:rsidR="003E5E7F" w:rsidRDefault="00000000">
      <w:pPr>
        <w:pStyle w:val="Listenabsatz"/>
        <w:numPr>
          <w:ilvl w:val="0"/>
          <w:numId w:val="2"/>
        </w:numPr>
        <w:spacing w:after="60"/>
      </w:pPr>
      <w:r>
        <w:t xml:space="preserve">Kop, M. (2020). The Right </w:t>
      </w:r>
      <w:proofErr w:type="spellStart"/>
      <w:r>
        <w:t>to</w:t>
      </w:r>
      <w:proofErr w:type="spellEnd"/>
      <w:r>
        <w:t xml:space="preserve"> </w:t>
      </w:r>
      <w:proofErr w:type="spellStart"/>
      <w:r>
        <w:t>Process</w:t>
      </w:r>
      <w:proofErr w:type="spellEnd"/>
      <w:r>
        <w:t xml:space="preserve"> Data </w:t>
      </w:r>
      <w:proofErr w:type="spellStart"/>
      <w:r>
        <w:t>for</w:t>
      </w:r>
      <w:proofErr w:type="spellEnd"/>
      <w:r>
        <w:t xml:space="preserve"> </w:t>
      </w:r>
      <w:proofErr w:type="spellStart"/>
      <w:r>
        <w:t>Machine</w:t>
      </w:r>
      <w:proofErr w:type="spellEnd"/>
      <w:r>
        <w:t xml:space="preserve"> Learning </w:t>
      </w:r>
      <w:proofErr w:type="spellStart"/>
      <w:r>
        <w:t>Purposes</w:t>
      </w:r>
      <w:proofErr w:type="spellEnd"/>
      <w:r>
        <w:t xml:space="preserve"> in </w:t>
      </w:r>
      <w:proofErr w:type="spellStart"/>
      <w:r>
        <w:t>the</w:t>
      </w:r>
      <w:proofErr w:type="spellEnd"/>
      <w:r>
        <w:t xml:space="preserve"> EU. Stanford Law School, Stanford.</w:t>
      </w:r>
    </w:p>
    <w:p w14:paraId="4FE0EBED" w14:textId="77777777" w:rsidR="003E5E7F" w:rsidRDefault="00000000">
      <w:pPr>
        <w:pStyle w:val="Listenabsatz"/>
        <w:numPr>
          <w:ilvl w:val="0"/>
          <w:numId w:val="2"/>
        </w:numPr>
        <w:spacing w:after="60"/>
      </w:pPr>
      <w:r>
        <w:t>Leicht, M. (2025). Risikobasierte Regulierung der IT-Sicherheit von Produkten. Dissertation, Universität des Saarlandes, Saarbrücken.</w:t>
      </w:r>
    </w:p>
    <w:p w14:paraId="02C7CD20" w14:textId="77777777" w:rsidR="003E5E7F" w:rsidRDefault="00000000">
      <w:pPr>
        <w:pStyle w:val="Listenabsatz"/>
        <w:numPr>
          <w:ilvl w:val="0"/>
          <w:numId w:val="2"/>
        </w:numPr>
        <w:spacing w:after="60"/>
      </w:pPr>
      <w:proofErr w:type="spellStart"/>
      <w:r>
        <w:t>Rammos</w:t>
      </w:r>
      <w:proofErr w:type="spellEnd"/>
      <w:r>
        <w:t>, T. &amp; Wilken, T. (2022). Der Data Act – Chancen und Risiken für Unternehmen durch das geplante europäische Datengesetz. Der Betrieb (DB).</w:t>
      </w:r>
    </w:p>
    <w:p w14:paraId="4614F8ED" w14:textId="77777777" w:rsidR="003E5E7F" w:rsidRDefault="00000000">
      <w:pPr>
        <w:pStyle w:val="Listenabsatz"/>
        <w:numPr>
          <w:ilvl w:val="0"/>
          <w:numId w:val="2"/>
        </w:numPr>
        <w:spacing w:after="60"/>
      </w:pPr>
      <w:r>
        <w:t xml:space="preserve">Thouvenin, F. et al. (Hrsg.) (2024). Kreation Innovation Märkte – </w:t>
      </w:r>
      <w:proofErr w:type="spellStart"/>
      <w:r>
        <w:t>Creation</w:t>
      </w:r>
      <w:proofErr w:type="spellEnd"/>
      <w:r>
        <w:t xml:space="preserve"> Innovation </w:t>
      </w:r>
      <w:proofErr w:type="spellStart"/>
      <w:r>
        <w:t>Markets</w:t>
      </w:r>
      <w:proofErr w:type="spellEnd"/>
      <w:r>
        <w:t xml:space="preserve"> (Festschrift Reto M. Hilty). Berlin/Heidelberg: Springer. https://doi.org/10.1007/978-3-662-68599-0</w:t>
      </w:r>
    </w:p>
    <w:p w14:paraId="2D9E6DB3" w14:textId="55439648" w:rsidR="003E5E7F" w:rsidRDefault="00000000">
      <w:pPr>
        <w:pStyle w:val="Listenabsatz"/>
        <w:numPr>
          <w:ilvl w:val="0"/>
          <w:numId w:val="2"/>
        </w:numPr>
        <w:spacing w:after="60"/>
      </w:pPr>
      <w:r>
        <w:t xml:space="preserve">Ulrich, A. (2023). Dispute Resolution </w:t>
      </w:r>
      <w:proofErr w:type="spellStart"/>
      <w:r>
        <w:t>under</w:t>
      </w:r>
      <w:proofErr w:type="spellEnd"/>
      <w:r>
        <w:t xml:space="preserve"> </w:t>
      </w:r>
      <w:proofErr w:type="spellStart"/>
      <w:r>
        <w:t>the</w:t>
      </w:r>
      <w:proofErr w:type="spellEnd"/>
      <w:r>
        <w:t xml:space="preserve"> EU Data Act. </w:t>
      </w:r>
      <w:r w:rsidR="00C01674">
        <w:t>Masterthesis</w:t>
      </w:r>
      <w:r>
        <w:t>, Universität Wien, Wien.</w:t>
      </w:r>
    </w:p>
    <w:p w14:paraId="31E32F17" w14:textId="77777777" w:rsidR="003E5E7F" w:rsidRDefault="00000000">
      <w:pPr>
        <w:pStyle w:val="berschrift2"/>
      </w:pPr>
      <w:bookmarkStart w:id="35" w:name="_Toc232151363"/>
      <w:r>
        <w:t>6.4 Untersuchte Primärdokumente der Anbieter (Stand Oktober 2025)</w:t>
      </w:r>
      <w:bookmarkEnd w:id="35"/>
    </w:p>
    <w:p w14:paraId="73924EA2" w14:textId="77777777" w:rsidR="003E5E7F" w:rsidRDefault="00000000">
      <w:pPr>
        <w:pStyle w:val="Listenabsatz"/>
        <w:numPr>
          <w:ilvl w:val="0"/>
          <w:numId w:val="2"/>
        </w:numPr>
        <w:spacing w:after="60"/>
      </w:pPr>
      <w:r>
        <w:t>Robert Bosch Smart Home GmbH: EU-Data-Act-Informationsseite, https://www.bosch-smarthome.com/de/de/eu-data-act/ (abgerufen am [TT.MM.JJJJ]).</w:t>
      </w:r>
    </w:p>
    <w:p w14:paraId="4EDF8F6B" w14:textId="77777777" w:rsidR="003E5E7F" w:rsidRDefault="00000000">
      <w:pPr>
        <w:pStyle w:val="Listenabsatz"/>
        <w:numPr>
          <w:ilvl w:val="0"/>
          <w:numId w:val="2"/>
        </w:numPr>
        <w:spacing w:after="60"/>
      </w:pPr>
      <w:r>
        <w:lastRenderedPageBreak/>
        <w:t xml:space="preserve">Signify </w:t>
      </w:r>
      <w:proofErr w:type="spellStart"/>
      <w:r>
        <w:t>Netherlands</w:t>
      </w:r>
      <w:proofErr w:type="spellEnd"/>
      <w:r>
        <w:t xml:space="preserve"> B.V.: Philips Hue Data Notice (Oktober 2025), https://www.philips-hue.com/en-us/support/legal/data-notice (abgerufen am [TT.MM.JJJJ]).</w:t>
      </w:r>
    </w:p>
    <w:p w14:paraId="718DCB5E" w14:textId="77777777" w:rsidR="003E5E7F" w:rsidRDefault="00000000">
      <w:pPr>
        <w:pStyle w:val="Listenabsatz"/>
        <w:numPr>
          <w:ilvl w:val="0"/>
          <w:numId w:val="2"/>
        </w:numPr>
        <w:spacing w:after="60"/>
      </w:pPr>
      <w:r>
        <w:t xml:space="preserve">Somfy: Datenschutzinformation </w:t>
      </w:r>
      <w:proofErr w:type="spellStart"/>
      <w:r>
        <w:t>TaHoma</w:t>
      </w:r>
      <w:proofErr w:type="spellEnd"/>
      <w:r>
        <w:t>, https://www.somfy.fr/a-propos-de-somfy/vie-privee (abgerufen am [TT.MM.JJJJ]).</w:t>
      </w:r>
    </w:p>
    <w:p w14:paraId="67BFCAA2" w14:textId="77777777" w:rsidR="003E5E7F" w:rsidRDefault="00000000">
      <w:pPr>
        <w:pStyle w:val="Listenabsatz"/>
        <w:numPr>
          <w:ilvl w:val="0"/>
          <w:numId w:val="2"/>
        </w:numPr>
        <w:spacing w:after="60"/>
      </w:pPr>
      <w:r>
        <w:t xml:space="preserve">Gewiss </w:t>
      </w:r>
      <w:proofErr w:type="spellStart"/>
      <w:r>
        <w:t>S.p.A</w:t>
      </w:r>
      <w:proofErr w:type="spellEnd"/>
      <w:r>
        <w:t xml:space="preserve">.: </w:t>
      </w:r>
      <w:proofErr w:type="spellStart"/>
      <w:r>
        <w:t>Informativa</w:t>
      </w:r>
      <w:proofErr w:type="spellEnd"/>
      <w:r>
        <w:t xml:space="preserve"> </w:t>
      </w:r>
      <w:proofErr w:type="spellStart"/>
      <w:r>
        <w:t>privacy</w:t>
      </w:r>
      <w:proofErr w:type="spellEnd"/>
      <w:r>
        <w:t xml:space="preserve"> art. 13 GDPR (Home Gateway/</w:t>
      </w:r>
      <w:proofErr w:type="spellStart"/>
      <w:r>
        <w:t>Chorusmart</w:t>
      </w:r>
      <w:proofErr w:type="spellEnd"/>
      <w:r>
        <w:t>), https://www.gewiss.com/ (abgerufen am [TT.MM.JJJJ]).</w:t>
      </w:r>
    </w:p>
    <w:p w14:paraId="43CDA1DC" w14:textId="77777777" w:rsidR="003E5E7F" w:rsidRDefault="003E5E7F">
      <w:pPr>
        <w:pageBreakBefore/>
      </w:pPr>
    </w:p>
    <w:p w14:paraId="42C75C2C" w14:textId="77777777" w:rsidR="003E5E7F" w:rsidRDefault="00000000">
      <w:pPr>
        <w:pStyle w:val="berschrift1"/>
      </w:pPr>
      <w:bookmarkStart w:id="36" w:name="_Toc232151364"/>
      <w:r>
        <w:t>7. Anhang</w:t>
      </w:r>
      <w:bookmarkEnd w:id="36"/>
    </w:p>
    <w:p w14:paraId="51CBF573" w14:textId="362E02CB" w:rsidR="00C01674" w:rsidRPr="00C01674" w:rsidRDefault="00000000">
      <w:pPr>
        <w:pStyle w:val="berschrift2"/>
      </w:pPr>
      <w:bookmarkStart w:id="37" w:name="_Toc232151365"/>
      <w:r>
        <w:t>Anhang A</w:t>
      </w:r>
      <w:bookmarkEnd w:id="37"/>
      <w:r w:rsidR="00C01674">
        <w:t xml:space="preserve">: </w:t>
      </w:r>
      <w:r w:rsidR="00C01674" w:rsidRPr="00C01674">
        <w:rPr>
          <w:b w:val="0"/>
          <w:bCs w:val="0"/>
          <w:color w:val="000000" w:themeColor="text1"/>
        </w:rPr>
        <w:t>vollständige URL, Abrufdatum/Stand und Klickpfad.</w:t>
      </w:r>
    </w:p>
    <w:p w14:paraId="15C786AF" w14:textId="77777777" w:rsidR="00C01674" w:rsidRPr="00C01674" w:rsidRDefault="00C01674">
      <w:pPr>
        <w:pStyle w:val="berschrift2"/>
        <w:rPr>
          <w:b w:val="0"/>
          <w:bCs w:val="0"/>
          <w:color w:val="000000" w:themeColor="text1"/>
        </w:rPr>
      </w:pPr>
    </w:p>
    <w:tbl>
      <w:tblPr>
        <w:tblW w:w="11170" w:type="dxa"/>
        <w:tblInd w:w="-974" w:type="dxa"/>
        <w:tblCellMar>
          <w:top w:w="15" w:type="dxa"/>
          <w:left w:w="15" w:type="dxa"/>
          <w:bottom w:w="15" w:type="dxa"/>
          <w:right w:w="15" w:type="dxa"/>
        </w:tblCellMar>
        <w:tblLook w:val="04A0" w:firstRow="1" w:lastRow="0" w:firstColumn="1" w:lastColumn="0" w:noHBand="0" w:noVBand="1"/>
      </w:tblPr>
      <w:tblGrid>
        <w:gridCol w:w="1809"/>
        <w:gridCol w:w="2115"/>
        <w:gridCol w:w="3085"/>
        <w:gridCol w:w="2624"/>
        <w:gridCol w:w="1537"/>
      </w:tblGrid>
      <w:tr w:rsidR="00C01674" w14:paraId="2C524BD0" w14:textId="77777777" w:rsidTr="00C016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621FE"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30CBA" w14:textId="77777777" w:rsidR="00C01674" w:rsidRDefault="00C01674">
            <w:pPr>
              <w:pStyle w:val="StandardWeb"/>
            </w:pPr>
            <w:r>
              <w:rPr>
                <w:rFonts w:ascii="Georgia" w:hAnsi="Georgia"/>
                <w:color w:val="27251E"/>
              </w:rPr>
              <w:t>Produktseite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C145D" w14:textId="77777777" w:rsidR="00C01674" w:rsidRDefault="00C01674">
            <w:pPr>
              <w:pStyle w:val="StandardWeb"/>
            </w:pPr>
            <w:r>
              <w:rPr>
                <w:rFonts w:ascii="Georgia" w:hAnsi="Georgia"/>
                <w:color w:val="27251E"/>
              </w:rPr>
              <w:t>AGB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5F0A1" w14:textId="77777777" w:rsidR="00C01674" w:rsidRDefault="00C01674">
            <w:pPr>
              <w:pStyle w:val="StandardWeb"/>
            </w:pPr>
            <w:r>
              <w:rPr>
                <w:rFonts w:ascii="Georgia" w:hAnsi="Georgia"/>
                <w:color w:val="27251E"/>
              </w:rPr>
              <w:t>Datenschutzerklärung</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D16D9" w14:textId="77777777" w:rsidR="00C01674" w:rsidRDefault="00C01674">
            <w:pPr>
              <w:pStyle w:val="StandardWeb"/>
            </w:pPr>
            <w:r>
              <w:rPr>
                <w:rFonts w:ascii="Georgia" w:hAnsi="Georgia"/>
                <w:color w:val="27251E"/>
              </w:rPr>
              <w:t xml:space="preserve">Hilfeseiten / </w:t>
            </w:r>
            <w:r w:rsidRPr="00C01674">
              <w:rPr>
                <w:rFonts w:ascii="Georgia" w:hAnsi="Georgia"/>
                <w:color w:val="27251E"/>
                <w:sz w:val="22"/>
                <w:szCs w:val="22"/>
              </w:rPr>
              <w:t>FAQ</w:t>
            </w:r>
            <w:r w:rsidRPr="00C01674">
              <w:rPr>
                <w:rFonts w:ascii="Arial" w:hAnsi="Arial" w:cs="Arial"/>
                <w:color w:val="000000"/>
                <w:sz w:val="22"/>
                <w:szCs w:val="22"/>
              </w:rPr>
              <w:t> </w:t>
            </w:r>
          </w:p>
        </w:tc>
      </w:tr>
      <w:tr w:rsidR="00C01674" w14:paraId="2098CB27" w14:textId="77777777" w:rsidTr="00C016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34141" w14:textId="77777777" w:rsidR="00C01674" w:rsidRPr="00C01674" w:rsidRDefault="00C01674">
            <w:pPr>
              <w:pStyle w:val="berschrift1"/>
              <w:shd w:val="clear" w:color="auto" w:fill="FFFFFF"/>
              <w:spacing w:before="0" w:after="120"/>
              <w:rPr>
                <w:sz w:val="22"/>
                <w:szCs w:val="22"/>
              </w:rPr>
            </w:pPr>
            <w:r w:rsidRPr="00C01674">
              <w:rPr>
                <w:b w:val="0"/>
                <w:bCs w:val="0"/>
                <w:color w:val="000000"/>
                <w:sz w:val="22"/>
                <w:szCs w:val="22"/>
              </w:rPr>
              <w:t>Bosch Alarmsystem (Deutschland)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5B3A87" w14:textId="77777777" w:rsidR="00C01674" w:rsidRDefault="00C01674">
            <w:pPr>
              <w:pStyle w:val="StandardWeb"/>
            </w:pPr>
            <w:hyperlink r:id="rId12" w:history="1">
              <w:r>
                <w:rPr>
                  <w:rStyle w:val="Hyperlink"/>
                  <w:rFonts w:ascii="Arial" w:hAnsi="Arial" w:cs="Arial"/>
                  <w:color w:val="1155CC"/>
                  <w:sz w:val="22"/>
                  <w:szCs w:val="22"/>
                </w:rPr>
                <w:t>Alarmsystem kaufen | Smart Home</w:t>
              </w:r>
            </w:hyperlink>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0ED57" w14:textId="77777777" w:rsidR="00C01674" w:rsidRDefault="00C01674">
            <w:pPr>
              <w:pStyle w:val="StandardWeb"/>
            </w:pPr>
            <w:hyperlink r:id="rId13" w:history="1">
              <w:r>
                <w:rPr>
                  <w:rStyle w:val="Hyperlink"/>
                  <w:rFonts w:ascii="Arial" w:hAnsi="Arial" w:cs="Arial"/>
                  <w:color w:val="1155CC"/>
                  <w:sz w:val="22"/>
                  <w:szCs w:val="22"/>
                </w:rPr>
                <w:t>bosch-smarthome.com/de/de/</w:t>
              </w:r>
              <w:proofErr w:type="spellStart"/>
              <w:r>
                <w:rPr>
                  <w:rStyle w:val="Hyperlink"/>
                  <w:rFonts w:ascii="Arial" w:hAnsi="Arial" w:cs="Arial"/>
                  <w:color w:val="1155CC"/>
                  <w:sz w:val="22"/>
                  <w:szCs w:val="22"/>
                </w:rPr>
                <w:t>terms</w:t>
              </w:r>
              <w:proofErr w:type="spellEnd"/>
              <w:r>
                <w:rPr>
                  <w:rStyle w:val="Hyperlink"/>
                  <w:rFonts w:ascii="Arial" w:hAnsi="Arial" w:cs="Arial"/>
                  <w:color w:val="1155CC"/>
                  <w:sz w:val="22"/>
                  <w:szCs w:val="22"/>
                </w:rPr>
                <w:t>-and-</w:t>
              </w:r>
              <w:proofErr w:type="spellStart"/>
              <w:r>
                <w:rPr>
                  <w:rStyle w:val="Hyperlink"/>
                  <w:rFonts w:ascii="Arial" w:hAnsi="Arial" w:cs="Arial"/>
                  <w:color w:val="1155CC"/>
                  <w:sz w:val="22"/>
                  <w:szCs w:val="22"/>
                </w:rPr>
                <w:t>conditions</w:t>
              </w:r>
              <w:proofErr w:type="spellEnd"/>
              <w:r>
                <w:rPr>
                  <w:rStyle w:val="Hyperlink"/>
                  <w:rFonts w:ascii="Arial" w:hAnsi="Arial" w:cs="Arial"/>
                  <w:color w:val="1155CC"/>
                  <w:sz w:val="22"/>
                  <w:szCs w:val="22"/>
                </w:rPr>
                <w:t>/</w:t>
              </w:r>
              <w:proofErr w:type="spellStart"/>
              <w:r>
                <w:rPr>
                  <w:rStyle w:val="Hyperlink"/>
                  <w:rFonts w:ascii="Arial" w:hAnsi="Arial" w:cs="Arial"/>
                  <w:color w:val="1155CC"/>
                  <w:sz w:val="22"/>
                  <w:szCs w:val="22"/>
                </w:rPr>
                <w:t>system</w:t>
              </w:r>
              <w:proofErr w:type="spellEnd"/>
              <w:r>
                <w:rPr>
                  <w:rStyle w:val="Hyperlink"/>
                  <w:rFonts w:ascii="Arial" w:hAnsi="Arial" w:cs="Arial"/>
                  <w:color w:val="1155CC"/>
                  <w:sz w:val="22"/>
                  <w:szCs w:val="22"/>
                </w:rPr>
                <w:t>/</w:t>
              </w:r>
            </w:hyperlink>
            <w:r>
              <w:rPr>
                <w:rFonts w:ascii="Arial" w:hAnsi="Arial" w:cs="Arial"/>
                <w:color w:val="000000"/>
                <w:sz w:val="22"/>
                <w:szCs w:val="22"/>
              </w:rPr>
              <w:t> </w:t>
            </w:r>
          </w:p>
          <w:p w14:paraId="2AFDE119" w14:textId="77777777" w:rsidR="00C01674" w:rsidRDefault="00C01674"/>
          <w:p w14:paraId="68B1424A" w14:textId="77777777" w:rsidR="00C01674" w:rsidRDefault="00C01674">
            <w:pPr>
              <w:pStyle w:val="StandardWeb"/>
            </w:pPr>
            <w:hyperlink r:id="rId14" w:history="1">
              <w:r>
                <w:rPr>
                  <w:rStyle w:val="Hyperlink"/>
                  <w:rFonts w:ascii="Arial" w:hAnsi="Arial" w:cs="Arial"/>
                  <w:color w:val="1155CC"/>
                  <w:sz w:val="22"/>
                  <w:szCs w:val="22"/>
                </w:rPr>
                <w:t>bosch-smarthome.com/de/de/</w:t>
              </w:r>
              <w:proofErr w:type="spellStart"/>
              <w:r>
                <w:rPr>
                  <w:rStyle w:val="Hyperlink"/>
                  <w:rFonts w:ascii="Arial" w:hAnsi="Arial" w:cs="Arial"/>
                  <w:color w:val="1155CC"/>
                  <w:sz w:val="22"/>
                  <w:szCs w:val="22"/>
                </w:rPr>
                <w:t>terms</w:t>
              </w:r>
              <w:proofErr w:type="spellEnd"/>
              <w:r>
                <w:rPr>
                  <w:rStyle w:val="Hyperlink"/>
                  <w:rFonts w:ascii="Arial" w:hAnsi="Arial" w:cs="Arial"/>
                  <w:color w:val="1155CC"/>
                  <w:sz w:val="22"/>
                  <w:szCs w:val="22"/>
                </w:rPr>
                <w:t>-and-</w:t>
              </w:r>
              <w:proofErr w:type="spellStart"/>
              <w:r>
                <w:rPr>
                  <w:rStyle w:val="Hyperlink"/>
                  <w:rFonts w:ascii="Arial" w:hAnsi="Arial" w:cs="Arial"/>
                  <w:color w:val="1155CC"/>
                  <w:sz w:val="22"/>
                  <w:szCs w:val="22"/>
                </w:rPr>
                <w:t>conditions</w:t>
              </w:r>
              <w:proofErr w:type="spellEnd"/>
              <w:r>
                <w:rPr>
                  <w:rStyle w:val="Hyperlink"/>
                  <w:rFonts w:ascii="Arial" w:hAnsi="Arial" w:cs="Arial"/>
                  <w:color w:val="1155CC"/>
                  <w:sz w:val="22"/>
                  <w:szCs w:val="22"/>
                </w:rPr>
                <w:t>/</w:t>
              </w:r>
              <w:proofErr w:type="spellStart"/>
              <w:r>
                <w:rPr>
                  <w:rStyle w:val="Hyperlink"/>
                  <w:rFonts w:ascii="Arial" w:hAnsi="Arial" w:cs="Arial"/>
                  <w:color w:val="1155CC"/>
                  <w:sz w:val="22"/>
                  <w:szCs w:val="22"/>
                </w:rPr>
                <w:t>website</w:t>
              </w:r>
              <w:proofErr w:type="spellEnd"/>
              <w:r>
                <w:rPr>
                  <w:rStyle w:val="Hyperlink"/>
                  <w:rFonts w:ascii="Arial" w:hAnsi="Arial" w:cs="Arial"/>
                  <w:color w:val="1155CC"/>
                  <w:sz w:val="22"/>
                  <w:szCs w:val="22"/>
                </w:rPr>
                <w:t>/</w:t>
              </w:r>
            </w:hyperlink>
            <w:r>
              <w:rPr>
                <w:rFonts w:ascii="Arial" w:hAnsi="Arial" w:cs="Arial"/>
                <w:color w:val="000000"/>
                <w:sz w:val="22"/>
                <w:szCs w:val="22"/>
              </w:rPr>
              <w:t> </w:t>
            </w:r>
          </w:p>
          <w:p w14:paraId="7348F249" w14:textId="77777777" w:rsidR="00C01674" w:rsidRDefault="00C01674"/>
          <w:p w14:paraId="5083DFD1" w14:textId="77777777" w:rsidR="00C01674" w:rsidRDefault="00C01674">
            <w:pPr>
              <w:pStyle w:val="StandardWeb"/>
            </w:pPr>
            <w:hyperlink r:id="rId15" w:history="1">
              <w:r>
                <w:rPr>
                  <w:rStyle w:val="Hyperlink"/>
                  <w:rFonts w:ascii="Arial" w:hAnsi="Arial" w:cs="Arial"/>
                  <w:color w:val="1155CC"/>
                  <w:sz w:val="22"/>
                  <w:szCs w:val="22"/>
                </w:rPr>
                <w:t>bosch-smarthome.com/de/de/</w:t>
              </w:r>
              <w:proofErr w:type="spellStart"/>
              <w:r>
                <w:rPr>
                  <w:rStyle w:val="Hyperlink"/>
                  <w:rFonts w:ascii="Arial" w:hAnsi="Arial" w:cs="Arial"/>
                  <w:color w:val="1155CC"/>
                  <w:sz w:val="22"/>
                  <w:szCs w:val="22"/>
                </w:rPr>
                <w:t>terms</w:t>
              </w:r>
              <w:proofErr w:type="spellEnd"/>
              <w:r>
                <w:rPr>
                  <w:rStyle w:val="Hyperlink"/>
                  <w:rFonts w:ascii="Arial" w:hAnsi="Arial" w:cs="Arial"/>
                  <w:color w:val="1155CC"/>
                  <w:sz w:val="22"/>
                  <w:szCs w:val="22"/>
                </w:rPr>
                <w:t>-and-</w:t>
              </w:r>
              <w:proofErr w:type="spellStart"/>
              <w:r>
                <w:rPr>
                  <w:rStyle w:val="Hyperlink"/>
                  <w:rFonts w:ascii="Arial" w:hAnsi="Arial" w:cs="Arial"/>
                  <w:color w:val="1155CC"/>
                  <w:sz w:val="22"/>
                  <w:szCs w:val="22"/>
                </w:rPr>
                <w:t>conditions</w:t>
              </w:r>
              <w:proofErr w:type="spellEnd"/>
              <w:r>
                <w:rPr>
                  <w:rStyle w:val="Hyperlink"/>
                  <w:rFonts w:ascii="Arial" w:hAnsi="Arial" w:cs="Arial"/>
                  <w:color w:val="1155CC"/>
                  <w:sz w:val="22"/>
                  <w:szCs w:val="22"/>
                </w:rPr>
                <w:t>/</w:t>
              </w:r>
              <w:proofErr w:type="spellStart"/>
              <w:r>
                <w:rPr>
                  <w:rStyle w:val="Hyperlink"/>
                  <w:rFonts w:ascii="Arial" w:hAnsi="Arial" w:cs="Arial"/>
                  <w:color w:val="1155CC"/>
                  <w:sz w:val="22"/>
                  <w:szCs w:val="22"/>
                </w:rPr>
                <w:t>camera</w:t>
              </w:r>
              <w:proofErr w:type="spellEnd"/>
              <w:r>
                <w:rPr>
                  <w:rStyle w:val="Hyperlink"/>
                  <w:rFonts w:ascii="Arial" w:hAnsi="Arial" w:cs="Arial"/>
                  <w:color w:val="1155CC"/>
                  <w:sz w:val="22"/>
                  <w:szCs w:val="22"/>
                </w:rPr>
                <w:t>/</w:t>
              </w:r>
            </w:hyperlink>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E3428" w14:textId="77777777" w:rsidR="00C01674" w:rsidRDefault="00C01674">
            <w:pPr>
              <w:pStyle w:val="StandardWeb"/>
            </w:pPr>
            <w:hyperlink r:id="rId16" w:history="1">
              <w:r>
                <w:rPr>
                  <w:rStyle w:val="Hyperlink"/>
                  <w:rFonts w:ascii="Arial" w:hAnsi="Arial" w:cs="Arial"/>
                  <w:color w:val="1155CC"/>
                  <w:sz w:val="22"/>
                  <w:szCs w:val="22"/>
                </w:rPr>
                <w:t>Datenschutz | Rechtliches | Smart Home</w:t>
              </w:r>
            </w:hyperlink>
            <w:r>
              <w:rPr>
                <w:rFonts w:ascii="Arial" w:hAnsi="Arial" w:cs="Arial"/>
                <w:color w:val="000000"/>
                <w:sz w:val="22"/>
                <w:szCs w:val="22"/>
              </w:rPr>
              <w:t> </w:t>
            </w:r>
          </w:p>
          <w:p w14:paraId="7D93DD8F" w14:textId="77777777" w:rsidR="00C01674" w:rsidRDefault="00C01674"/>
          <w:p w14:paraId="366752CE" w14:textId="77777777" w:rsidR="00C01674" w:rsidRDefault="00C01674">
            <w:pPr>
              <w:pStyle w:val="StandardWeb"/>
              <w:rPr>
                <w:rFonts w:ascii="Arial" w:hAnsi="Arial" w:cs="Arial"/>
                <w:color w:val="000000"/>
                <w:sz w:val="22"/>
                <w:szCs w:val="22"/>
              </w:rPr>
            </w:pPr>
            <w:hyperlink r:id="rId17" w:anchor="system" w:history="1">
              <w:r>
                <w:rPr>
                  <w:rStyle w:val="Hyperlink"/>
                  <w:rFonts w:ascii="Arial" w:hAnsi="Arial" w:cs="Arial"/>
                  <w:color w:val="1155CC"/>
                  <w:sz w:val="22"/>
                  <w:szCs w:val="22"/>
                </w:rPr>
                <w:t>EU Data Act | Smart Home</w:t>
              </w:r>
            </w:hyperlink>
            <w:r>
              <w:rPr>
                <w:rFonts w:ascii="Arial" w:hAnsi="Arial" w:cs="Arial"/>
                <w:color w:val="000000"/>
                <w:sz w:val="22"/>
                <w:szCs w:val="22"/>
              </w:rPr>
              <w:t> </w:t>
            </w:r>
          </w:p>
          <w:p w14:paraId="241BD75C" w14:textId="77777777" w:rsidR="00BB2FC9" w:rsidRDefault="00BB2FC9">
            <w:pPr>
              <w:pStyle w:val="StandardWeb"/>
              <w:rPr>
                <w:color w:val="000000"/>
              </w:rPr>
            </w:pPr>
          </w:p>
          <w:p w14:paraId="53881C88" w14:textId="6B65ECD4" w:rsidR="00BB2FC9" w:rsidRDefault="00BB2FC9">
            <w:pPr>
              <w:pStyle w:val="StandardWeb"/>
            </w:pPr>
            <w:hyperlink r:id="rId18" w:history="1">
              <w:r w:rsidRPr="0059086C">
                <w:rPr>
                  <w:rStyle w:val="Hyperlink"/>
                </w:rPr>
                <w:t>https://www.bosch-smarthome.com/privacy-statement/</w:t>
              </w:r>
            </w:hyperlink>
          </w:p>
          <w:p w14:paraId="2CA7C0E5" w14:textId="3FFA2B42" w:rsidR="00BB2FC9" w:rsidRDefault="00BB2FC9">
            <w:pPr>
              <w:pStyle w:val="StandardWeb"/>
            </w:pP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FD41A" w14:textId="77777777" w:rsidR="00C01674" w:rsidRDefault="00C01674">
            <w:pPr>
              <w:pStyle w:val="StandardWeb"/>
            </w:pPr>
            <w:hyperlink r:id="rId19" w:history="1">
              <w:r>
                <w:rPr>
                  <w:rStyle w:val="Hyperlink"/>
                  <w:rFonts w:ascii="Arial" w:hAnsi="Arial" w:cs="Arial"/>
                  <w:color w:val="1155CC"/>
                  <w:sz w:val="22"/>
                  <w:szCs w:val="22"/>
                </w:rPr>
                <w:t>Hilfe zu Produkten | Smart Ho</w:t>
              </w:r>
              <w:r>
                <w:rPr>
                  <w:rStyle w:val="Hyperlink"/>
                  <w:rFonts w:ascii="Arial" w:hAnsi="Arial" w:cs="Arial"/>
                  <w:color w:val="1155CC"/>
                  <w:sz w:val="22"/>
                  <w:szCs w:val="22"/>
                </w:rPr>
                <w:t>m</w:t>
              </w:r>
              <w:r>
                <w:rPr>
                  <w:rStyle w:val="Hyperlink"/>
                  <w:rFonts w:ascii="Arial" w:hAnsi="Arial" w:cs="Arial"/>
                  <w:color w:val="1155CC"/>
                  <w:sz w:val="22"/>
                  <w:szCs w:val="22"/>
                </w:rPr>
                <w:t>e</w:t>
              </w:r>
            </w:hyperlink>
            <w:r>
              <w:rPr>
                <w:rFonts w:ascii="Arial" w:hAnsi="Arial" w:cs="Arial"/>
                <w:color w:val="000000"/>
                <w:sz w:val="22"/>
                <w:szCs w:val="22"/>
              </w:rPr>
              <w:t> </w:t>
            </w:r>
          </w:p>
        </w:tc>
      </w:tr>
      <w:tr w:rsidR="00C01674" w14:paraId="1DB2E53E" w14:textId="77777777" w:rsidTr="00C016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66B9D" w14:textId="77777777" w:rsidR="00C01674" w:rsidRPr="00C01674" w:rsidRDefault="00C01674">
            <w:pPr>
              <w:pStyle w:val="berschrift1"/>
              <w:shd w:val="clear" w:color="auto" w:fill="F9F9F9"/>
              <w:spacing w:before="0" w:after="0"/>
              <w:rPr>
                <w:sz w:val="22"/>
                <w:szCs w:val="22"/>
              </w:rPr>
            </w:pPr>
            <w:proofErr w:type="spellStart"/>
            <w:r w:rsidRPr="00C01674">
              <w:rPr>
                <w:b w:val="0"/>
                <w:bCs w:val="0"/>
                <w:color w:val="101010"/>
                <w:sz w:val="22"/>
                <w:szCs w:val="22"/>
              </w:rPr>
              <w:t>Bedrade</w:t>
            </w:r>
            <w:proofErr w:type="spellEnd"/>
            <w:r w:rsidRPr="00C01674">
              <w:rPr>
                <w:b w:val="0"/>
                <w:bCs w:val="0"/>
                <w:color w:val="101010"/>
                <w:sz w:val="22"/>
                <w:szCs w:val="22"/>
              </w:rPr>
              <w:t xml:space="preserve"> Secure 2K </w:t>
            </w:r>
            <w:proofErr w:type="spellStart"/>
            <w:r w:rsidRPr="00C01674">
              <w:rPr>
                <w:b w:val="0"/>
                <w:bCs w:val="0"/>
                <w:color w:val="101010"/>
                <w:sz w:val="22"/>
                <w:szCs w:val="22"/>
              </w:rPr>
              <w:t>camera</w:t>
            </w:r>
            <w:proofErr w:type="spellEnd"/>
          </w:p>
          <w:p w14:paraId="114B34B7" w14:textId="77777777" w:rsidR="00C01674" w:rsidRPr="00C01674" w:rsidRDefault="00C01674">
            <w:pPr>
              <w:pStyle w:val="berschrift1"/>
              <w:shd w:val="clear" w:color="auto" w:fill="FFFFFF"/>
              <w:spacing w:before="0" w:after="120"/>
              <w:rPr>
                <w:sz w:val="22"/>
                <w:szCs w:val="22"/>
              </w:rPr>
            </w:pPr>
            <w:r w:rsidRPr="00C01674">
              <w:rPr>
                <w:b w:val="0"/>
                <w:bCs w:val="0"/>
                <w:color w:val="000000"/>
                <w:sz w:val="22"/>
                <w:szCs w:val="22"/>
              </w:rPr>
              <w:t>(Niederlande)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1F952" w14:textId="77777777" w:rsidR="00C01674" w:rsidRDefault="00C01674">
            <w:pPr>
              <w:pStyle w:val="StandardWeb"/>
            </w:pPr>
            <w:hyperlink r:id="rId20" w:history="1">
              <w:proofErr w:type="spellStart"/>
              <w:r>
                <w:rPr>
                  <w:rStyle w:val="Hyperlink"/>
                  <w:rFonts w:ascii="Arial" w:hAnsi="Arial" w:cs="Arial"/>
                  <w:color w:val="1155CC"/>
                  <w:sz w:val="22"/>
                  <w:szCs w:val="22"/>
                </w:rPr>
                <w:t>Bedrade</w:t>
              </w:r>
              <w:proofErr w:type="spellEnd"/>
              <w:r>
                <w:rPr>
                  <w:rStyle w:val="Hyperlink"/>
                  <w:rFonts w:ascii="Arial" w:hAnsi="Arial" w:cs="Arial"/>
                  <w:color w:val="1155CC"/>
                  <w:sz w:val="22"/>
                  <w:szCs w:val="22"/>
                </w:rPr>
                <w:t xml:space="preserve"> Philips Hue 2K </w:t>
              </w:r>
              <w:proofErr w:type="spellStart"/>
              <w:r>
                <w:rPr>
                  <w:rStyle w:val="Hyperlink"/>
                  <w:rFonts w:ascii="Arial" w:hAnsi="Arial" w:cs="Arial"/>
                  <w:color w:val="1155CC"/>
                  <w:sz w:val="22"/>
                  <w:szCs w:val="22"/>
                </w:rPr>
                <w:t>beveiligingscamera</w:t>
              </w:r>
              <w:proofErr w:type="spellEnd"/>
              <w:r>
                <w:rPr>
                  <w:rStyle w:val="Hyperlink"/>
                  <w:rFonts w:ascii="Arial" w:hAnsi="Arial" w:cs="Arial"/>
                  <w:color w:val="1155CC"/>
                  <w:sz w:val="22"/>
                  <w:szCs w:val="22"/>
                </w:rPr>
                <w:t xml:space="preserve"> – </w:t>
              </w:r>
              <w:proofErr w:type="spellStart"/>
              <w:r>
                <w:rPr>
                  <w:rStyle w:val="Hyperlink"/>
                  <w:rFonts w:ascii="Arial" w:hAnsi="Arial" w:cs="Arial"/>
                  <w:color w:val="1155CC"/>
                  <w:sz w:val="22"/>
                  <w:szCs w:val="22"/>
                </w:rPr>
                <w:t>zwart</w:t>
              </w:r>
              <w:proofErr w:type="spellEnd"/>
              <w:r>
                <w:rPr>
                  <w:rStyle w:val="Hyperlink"/>
                  <w:rFonts w:ascii="Arial" w:hAnsi="Arial" w:cs="Arial"/>
                  <w:color w:val="1155CC"/>
                  <w:sz w:val="22"/>
                  <w:szCs w:val="22"/>
                </w:rPr>
                <w:t xml:space="preserve"> | Philips Hue NL</w:t>
              </w:r>
            </w:hyperlink>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36720A" w14:textId="77777777" w:rsidR="00C01674" w:rsidRDefault="00C0167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1CCC4" w14:textId="77777777" w:rsidR="00C01674" w:rsidRDefault="00C01674">
            <w:pPr>
              <w:pStyle w:val="StandardWeb"/>
            </w:pPr>
            <w:hyperlink r:id="rId21" w:history="1">
              <w:proofErr w:type="spellStart"/>
              <w:r>
                <w:rPr>
                  <w:rStyle w:val="Hyperlink"/>
                  <w:rFonts w:ascii="Arial" w:hAnsi="Arial" w:cs="Arial"/>
                  <w:color w:val="1155CC"/>
                  <w:sz w:val="22"/>
                  <w:szCs w:val="22"/>
                </w:rPr>
                <w:t>Conformiteitsverklaring</w:t>
              </w:r>
              <w:proofErr w:type="spellEnd"/>
              <w:r>
                <w:rPr>
                  <w:rStyle w:val="Hyperlink"/>
                  <w:rFonts w:ascii="Arial" w:hAnsi="Arial" w:cs="Arial"/>
                  <w:color w:val="1155CC"/>
                  <w:sz w:val="22"/>
                  <w:szCs w:val="22"/>
                </w:rPr>
                <w:t xml:space="preserve"> | Philips Hue NL</w:t>
              </w:r>
            </w:hyperlink>
            <w:r>
              <w:rPr>
                <w:rFonts w:ascii="Arial" w:hAnsi="Arial" w:cs="Arial"/>
                <w:color w:val="000000"/>
                <w:sz w:val="22"/>
                <w:szCs w:val="22"/>
              </w:rPr>
              <w:t> </w:t>
            </w:r>
          </w:p>
          <w:p w14:paraId="15D93A98" w14:textId="77777777" w:rsidR="00C01674" w:rsidRDefault="00C01674">
            <w:pPr>
              <w:pStyle w:val="StandardWeb"/>
            </w:pPr>
            <w:r>
              <w:rPr>
                <w:rFonts w:ascii="Arial" w:hAnsi="Arial" w:cs="Arial"/>
                <w:color w:val="000000"/>
                <w:sz w:val="22"/>
                <w:szCs w:val="22"/>
              </w:rPr>
              <w:t> </w:t>
            </w:r>
            <w:hyperlink r:id="rId22" w:history="1">
              <w:r>
                <w:rPr>
                  <w:rStyle w:val="Hyperlink"/>
                  <w:rFonts w:ascii="Arial" w:hAnsi="Arial" w:cs="Arial"/>
                  <w:color w:val="1155CC"/>
                  <w:sz w:val="22"/>
                  <w:szCs w:val="22"/>
                </w:rPr>
                <w:t xml:space="preserve">Philips Hue Support - </w:t>
              </w:r>
              <w:proofErr w:type="spellStart"/>
              <w:r>
                <w:rPr>
                  <w:rStyle w:val="Hyperlink"/>
                  <w:rFonts w:ascii="Arial" w:hAnsi="Arial" w:cs="Arial"/>
                  <w:color w:val="1155CC"/>
                  <w:sz w:val="22"/>
                  <w:szCs w:val="22"/>
                </w:rPr>
                <w:t>Overzicht</w:t>
              </w:r>
              <w:proofErr w:type="spellEnd"/>
              <w:r>
                <w:rPr>
                  <w:rStyle w:val="Hyperlink"/>
                  <w:rFonts w:ascii="Arial" w:hAnsi="Arial" w:cs="Arial"/>
                  <w:color w:val="1155CC"/>
                  <w:sz w:val="22"/>
                  <w:szCs w:val="22"/>
                </w:rPr>
                <w:t xml:space="preserve"> van </w:t>
              </w:r>
              <w:proofErr w:type="spellStart"/>
              <w:r>
                <w:rPr>
                  <w:rStyle w:val="Hyperlink"/>
                  <w:rFonts w:ascii="Arial" w:hAnsi="Arial" w:cs="Arial"/>
                  <w:color w:val="1155CC"/>
                  <w:sz w:val="22"/>
                  <w:szCs w:val="22"/>
                </w:rPr>
                <w:t>productvoorwaarden</w:t>
              </w:r>
              <w:proofErr w:type="spellEnd"/>
              <w:r>
                <w:rPr>
                  <w:rStyle w:val="Hyperlink"/>
                  <w:rFonts w:ascii="Arial" w:hAnsi="Arial" w:cs="Arial"/>
                  <w:color w:val="1155CC"/>
                  <w:sz w:val="22"/>
                  <w:szCs w:val="22"/>
                </w:rPr>
                <w:t xml:space="preserve"> | Philips Hue NL</w:t>
              </w:r>
            </w:hyperlink>
            <w:r>
              <w:rPr>
                <w:rFonts w:ascii="Arial" w:hAnsi="Arial" w:cs="Arial"/>
                <w:color w:val="000000"/>
                <w:sz w:val="22"/>
                <w:szCs w:val="22"/>
              </w:rPr>
              <w:t> </w:t>
            </w:r>
          </w:p>
          <w:p w14:paraId="49A9A652" w14:textId="77777777" w:rsidR="00C01674" w:rsidRDefault="00C01674">
            <w:pPr>
              <w:pStyle w:val="StandardWeb"/>
            </w:pPr>
            <w:hyperlink r:id="rId23" w:history="1">
              <w:proofErr w:type="spellStart"/>
              <w:r>
                <w:rPr>
                  <w:rStyle w:val="Hyperlink"/>
                  <w:rFonts w:ascii="Arial" w:hAnsi="Arial" w:cs="Arial"/>
                  <w:color w:val="1155CC"/>
                  <w:sz w:val="22"/>
                  <w:szCs w:val="22"/>
                </w:rPr>
                <w:t>Privacyverklaring</w:t>
              </w:r>
              <w:proofErr w:type="spellEnd"/>
              <w:r>
                <w:rPr>
                  <w:rStyle w:val="Hyperlink"/>
                  <w:rFonts w:ascii="Arial" w:hAnsi="Arial" w:cs="Arial"/>
                  <w:color w:val="1155CC"/>
                  <w:sz w:val="22"/>
                  <w:szCs w:val="22"/>
                </w:rPr>
                <w:t xml:space="preserve"> | Philips Hue NL</w:t>
              </w:r>
            </w:hyperlink>
            <w:r>
              <w:rPr>
                <w:rFonts w:ascii="Arial" w:hAnsi="Arial" w:cs="Arial"/>
                <w:color w:val="000000"/>
                <w:sz w:val="22"/>
                <w:szCs w:val="22"/>
              </w:rPr>
              <w:t> </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E6E1C" w14:textId="77777777" w:rsidR="00C01674" w:rsidRDefault="00C01674">
            <w:pPr>
              <w:pStyle w:val="StandardWeb"/>
            </w:pPr>
            <w:hyperlink r:id="rId24" w:history="1">
              <w:proofErr w:type="spellStart"/>
              <w:r>
                <w:rPr>
                  <w:rStyle w:val="Hyperlink"/>
                  <w:rFonts w:ascii="Arial" w:hAnsi="Arial" w:cs="Arial"/>
                  <w:color w:val="1155CC"/>
                  <w:sz w:val="22"/>
                  <w:szCs w:val="22"/>
                </w:rPr>
                <w:t>Vragen</w:t>
              </w:r>
              <w:proofErr w:type="spellEnd"/>
              <w:r>
                <w:rPr>
                  <w:rStyle w:val="Hyperlink"/>
                  <w:rFonts w:ascii="Arial" w:hAnsi="Arial" w:cs="Arial"/>
                  <w:color w:val="1155CC"/>
                  <w:sz w:val="22"/>
                  <w:szCs w:val="22"/>
                </w:rPr>
                <w:t xml:space="preserve"> </w:t>
              </w:r>
              <w:proofErr w:type="spellStart"/>
              <w:r>
                <w:rPr>
                  <w:rStyle w:val="Hyperlink"/>
                  <w:rFonts w:ascii="Arial" w:hAnsi="Arial" w:cs="Arial"/>
                  <w:color w:val="1155CC"/>
                  <w:sz w:val="22"/>
                  <w:szCs w:val="22"/>
                </w:rPr>
                <w:t>over</w:t>
              </w:r>
              <w:proofErr w:type="spellEnd"/>
              <w:r>
                <w:rPr>
                  <w:rStyle w:val="Hyperlink"/>
                  <w:rFonts w:ascii="Arial" w:hAnsi="Arial" w:cs="Arial"/>
                  <w:color w:val="1155CC"/>
                  <w:sz w:val="22"/>
                  <w:szCs w:val="22"/>
                </w:rPr>
                <w:t xml:space="preserve"> </w:t>
              </w:r>
              <w:proofErr w:type="spellStart"/>
              <w:r>
                <w:rPr>
                  <w:rStyle w:val="Hyperlink"/>
                  <w:rFonts w:ascii="Arial" w:hAnsi="Arial" w:cs="Arial"/>
                  <w:color w:val="1155CC"/>
                  <w:sz w:val="22"/>
                  <w:szCs w:val="22"/>
                </w:rPr>
                <w:t>slimme</w:t>
              </w:r>
              <w:proofErr w:type="spellEnd"/>
              <w:r>
                <w:rPr>
                  <w:rStyle w:val="Hyperlink"/>
                  <w:rFonts w:ascii="Arial" w:hAnsi="Arial" w:cs="Arial"/>
                  <w:color w:val="1155CC"/>
                  <w:sz w:val="22"/>
                  <w:szCs w:val="22"/>
                </w:rPr>
                <w:t xml:space="preserve"> </w:t>
              </w:r>
              <w:proofErr w:type="spellStart"/>
              <w:r>
                <w:rPr>
                  <w:rStyle w:val="Hyperlink"/>
                  <w:rFonts w:ascii="Arial" w:hAnsi="Arial" w:cs="Arial"/>
                  <w:color w:val="1155CC"/>
                  <w:sz w:val="22"/>
                  <w:szCs w:val="22"/>
                </w:rPr>
                <w:t>verlichting</w:t>
              </w:r>
              <w:proofErr w:type="spellEnd"/>
              <w:r>
                <w:rPr>
                  <w:rStyle w:val="Hyperlink"/>
                  <w:rFonts w:ascii="Arial" w:hAnsi="Arial" w:cs="Arial"/>
                  <w:color w:val="1155CC"/>
                  <w:sz w:val="22"/>
                  <w:szCs w:val="22"/>
                </w:rPr>
                <w:t xml:space="preserve"> en </w:t>
              </w:r>
              <w:proofErr w:type="spellStart"/>
              <w:r>
                <w:rPr>
                  <w:rStyle w:val="Hyperlink"/>
                  <w:rFonts w:ascii="Arial" w:hAnsi="Arial" w:cs="Arial"/>
                  <w:color w:val="1155CC"/>
                  <w:sz w:val="22"/>
                  <w:szCs w:val="22"/>
                </w:rPr>
                <w:t>slimme</w:t>
              </w:r>
              <w:proofErr w:type="spellEnd"/>
              <w:r>
                <w:rPr>
                  <w:rStyle w:val="Hyperlink"/>
                  <w:rFonts w:ascii="Arial" w:hAnsi="Arial" w:cs="Arial"/>
                  <w:color w:val="1155CC"/>
                  <w:sz w:val="22"/>
                  <w:szCs w:val="22"/>
                </w:rPr>
                <w:t xml:space="preserve"> </w:t>
              </w:r>
              <w:proofErr w:type="spellStart"/>
              <w:r>
                <w:rPr>
                  <w:rStyle w:val="Hyperlink"/>
                  <w:rFonts w:ascii="Arial" w:hAnsi="Arial" w:cs="Arial"/>
                  <w:color w:val="1155CC"/>
                  <w:sz w:val="22"/>
                  <w:szCs w:val="22"/>
                </w:rPr>
                <w:t>beveiliging</w:t>
              </w:r>
              <w:proofErr w:type="spellEnd"/>
              <w:r>
                <w:rPr>
                  <w:rStyle w:val="Hyperlink"/>
                  <w:rFonts w:ascii="Arial" w:hAnsi="Arial" w:cs="Arial"/>
                  <w:color w:val="1155CC"/>
                  <w:sz w:val="22"/>
                  <w:szCs w:val="22"/>
                </w:rPr>
                <w:t xml:space="preserve"> | Philips Hue NL</w:t>
              </w:r>
            </w:hyperlink>
            <w:r>
              <w:rPr>
                <w:rFonts w:ascii="Arial" w:hAnsi="Arial" w:cs="Arial"/>
                <w:color w:val="000000"/>
                <w:sz w:val="22"/>
                <w:szCs w:val="22"/>
              </w:rPr>
              <w:t> </w:t>
            </w:r>
          </w:p>
        </w:tc>
      </w:tr>
      <w:tr w:rsidR="00C01674" w14:paraId="790AF838" w14:textId="77777777" w:rsidTr="00C016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1306C" w14:textId="77777777" w:rsidR="00C01674" w:rsidRPr="00C01674" w:rsidRDefault="00C01674">
            <w:pPr>
              <w:pStyle w:val="berschrift1"/>
              <w:shd w:val="clear" w:color="auto" w:fill="FFFFFF"/>
              <w:spacing w:before="0" w:after="120"/>
              <w:rPr>
                <w:sz w:val="22"/>
                <w:szCs w:val="22"/>
              </w:rPr>
            </w:pPr>
            <w:r w:rsidRPr="00C01674">
              <w:rPr>
                <w:b w:val="0"/>
                <w:bCs w:val="0"/>
                <w:color w:val="262626"/>
                <w:sz w:val="22"/>
                <w:szCs w:val="22"/>
              </w:rPr>
              <w:t xml:space="preserve">box </w:t>
            </w:r>
            <w:proofErr w:type="spellStart"/>
            <w:r w:rsidRPr="00C01674">
              <w:rPr>
                <w:b w:val="0"/>
                <w:bCs w:val="0"/>
                <w:color w:val="262626"/>
                <w:sz w:val="22"/>
                <w:szCs w:val="22"/>
              </w:rPr>
              <w:t>domotique</w:t>
            </w:r>
            <w:proofErr w:type="spellEnd"/>
            <w:r w:rsidRPr="00C01674">
              <w:rPr>
                <w:b w:val="0"/>
                <w:bCs w:val="0"/>
                <w:color w:val="262626"/>
                <w:sz w:val="22"/>
                <w:szCs w:val="22"/>
              </w:rPr>
              <w:t xml:space="preserve"> (</w:t>
            </w:r>
            <w:proofErr w:type="spellStart"/>
            <w:r w:rsidRPr="00C01674">
              <w:rPr>
                <w:b w:val="0"/>
                <w:bCs w:val="0"/>
                <w:color w:val="262626"/>
                <w:sz w:val="22"/>
                <w:szCs w:val="22"/>
              </w:rPr>
              <w:t>Frankeit</w:t>
            </w:r>
            <w:proofErr w:type="spellEnd"/>
            <w:r w:rsidRPr="00C01674">
              <w:rPr>
                <w:b w:val="0"/>
                <w:bCs w:val="0"/>
                <w:color w:val="262626"/>
                <w:sz w:val="22"/>
                <w:szCs w:val="22"/>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B8236" w14:textId="77777777" w:rsidR="00C01674" w:rsidRDefault="00C01674">
            <w:pPr>
              <w:pStyle w:val="StandardWeb"/>
            </w:pPr>
            <w:hyperlink r:id="rId25" w:history="1">
              <w:r>
                <w:rPr>
                  <w:rStyle w:val="Hyperlink"/>
                  <w:rFonts w:ascii="Arial" w:hAnsi="Arial" w:cs="Arial"/>
                  <w:color w:val="1155CC"/>
                  <w:sz w:val="22"/>
                  <w:szCs w:val="22"/>
                </w:rPr>
                <w:t xml:space="preserve">La box </w:t>
              </w:r>
              <w:proofErr w:type="spellStart"/>
              <w:r>
                <w:rPr>
                  <w:rStyle w:val="Hyperlink"/>
                  <w:rFonts w:ascii="Arial" w:hAnsi="Arial" w:cs="Arial"/>
                  <w:color w:val="1155CC"/>
                  <w:sz w:val="22"/>
                  <w:szCs w:val="22"/>
                </w:rPr>
                <w:t>domotique</w:t>
              </w:r>
              <w:proofErr w:type="spellEnd"/>
              <w:r>
                <w:rPr>
                  <w:rStyle w:val="Hyperlink"/>
                  <w:rFonts w:ascii="Arial" w:hAnsi="Arial" w:cs="Arial"/>
                  <w:color w:val="1155CC"/>
                  <w:sz w:val="22"/>
                  <w:szCs w:val="22"/>
                </w:rPr>
                <w:t xml:space="preserve"> </w:t>
              </w:r>
              <w:proofErr w:type="spellStart"/>
              <w:r>
                <w:rPr>
                  <w:rStyle w:val="Hyperlink"/>
                  <w:rFonts w:ascii="Arial" w:hAnsi="Arial" w:cs="Arial"/>
                  <w:color w:val="1155CC"/>
                  <w:sz w:val="22"/>
                  <w:szCs w:val="22"/>
                </w:rPr>
                <w:t>TaHoma</w:t>
              </w:r>
              <w:proofErr w:type="spellEnd"/>
              <w:r>
                <w:rPr>
                  <w:rStyle w:val="Hyperlink"/>
                  <w:rFonts w:ascii="Arial" w:hAnsi="Arial" w:cs="Arial"/>
                  <w:color w:val="1155CC"/>
                  <w:sz w:val="22"/>
                  <w:szCs w:val="22"/>
                </w:rPr>
                <w:t>® switch | Somfy</w:t>
              </w:r>
            </w:hyperlink>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F4FE0" w14:textId="77777777" w:rsidR="00C01674" w:rsidRDefault="00C01674">
            <w:pPr>
              <w:pStyle w:val="StandardWeb"/>
            </w:pPr>
            <w:hyperlink r:id="rId26" w:history="1">
              <w:proofErr w:type="spellStart"/>
              <w:r>
                <w:rPr>
                  <w:rStyle w:val="Hyperlink"/>
                  <w:rFonts w:ascii="Arial" w:hAnsi="Arial" w:cs="Arial"/>
                  <w:color w:val="1155CC"/>
                  <w:sz w:val="22"/>
                  <w:szCs w:val="22"/>
                </w:rPr>
                <w:t>Informations</w:t>
              </w:r>
              <w:proofErr w:type="spellEnd"/>
              <w:r>
                <w:rPr>
                  <w:rStyle w:val="Hyperlink"/>
                  <w:rFonts w:ascii="Arial" w:hAnsi="Arial" w:cs="Arial"/>
                  <w:color w:val="1155CC"/>
                  <w:sz w:val="22"/>
                  <w:szCs w:val="22"/>
                </w:rPr>
                <w:t xml:space="preserve"> </w:t>
              </w:r>
              <w:proofErr w:type="spellStart"/>
              <w:r>
                <w:rPr>
                  <w:rStyle w:val="Hyperlink"/>
                  <w:rFonts w:ascii="Arial" w:hAnsi="Arial" w:cs="Arial"/>
                  <w:color w:val="1155CC"/>
                  <w:sz w:val="22"/>
                  <w:szCs w:val="22"/>
                </w:rPr>
                <w:t>légales</w:t>
              </w:r>
              <w:proofErr w:type="spellEnd"/>
              <w:r>
                <w:rPr>
                  <w:rStyle w:val="Hyperlink"/>
                  <w:rFonts w:ascii="Arial" w:hAnsi="Arial" w:cs="Arial"/>
                  <w:color w:val="1155CC"/>
                  <w:sz w:val="22"/>
                  <w:szCs w:val="22"/>
                </w:rPr>
                <w:t xml:space="preserve"> I Somfy</w:t>
              </w:r>
            </w:hyperlink>
            <w:r>
              <w:rPr>
                <w:rFonts w:ascii="Arial" w:hAnsi="Arial" w:cs="Arial"/>
                <w:color w:val="000000"/>
                <w:sz w:val="22"/>
                <w:szCs w:val="22"/>
              </w:rPr>
              <w:t> </w:t>
            </w:r>
          </w:p>
          <w:p w14:paraId="7DE7FA65" w14:textId="77777777" w:rsidR="00C01674" w:rsidRDefault="00C01674"/>
          <w:p w14:paraId="477DF378" w14:textId="77777777" w:rsidR="00C01674" w:rsidRDefault="00C01674">
            <w:pPr>
              <w:pStyle w:val="StandardWeb"/>
            </w:pPr>
            <w:hyperlink r:id="rId27" w:history="1">
              <w:proofErr w:type="spellStart"/>
              <w:r>
                <w:rPr>
                  <w:rStyle w:val="Hyperlink"/>
                  <w:rFonts w:ascii="Arial" w:hAnsi="Arial" w:cs="Arial"/>
                  <w:color w:val="1155CC"/>
                  <w:sz w:val="22"/>
                  <w:szCs w:val="22"/>
                </w:rPr>
                <w:t>Conditions</w:t>
              </w:r>
              <w:proofErr w:type="spellEnd"/>
              <w:r>
                <w:rPr>
                  <w:rStyle w:val="Hyperlink"/>
                  <w:rFonts w:ascii="Arial" w:hAnsi="Arial" w:cs="Arial"/>
                  <w:color w:val="1155CC"/>
                  <w:sz w:val="22"/>
                  <w:szCs w:val="22"/>
                </w:rPr>
                <w:t xml:space="preserve"> </w:t>
              </w:r>
              <w:proofErr w:type="spellStart"/>
              <w:r>
                <w:rPr>
                  <w:rStyle w:val="Hyperlink"/>
                  <w:rFonts w:ascii="Arial" w:hAnsi="Arial" w:cs="Arial"/>
                  <w:color w:val="1155CC"/>
                  <w:sz w:val="22"/>
                  <w:szCs w:val="22"/>
                </w:rPr>
                <w:t>générales</w:t>
              </w:r>
              <w:proofErr w:type="spellEnd"/>
            </w:hyperlink>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85060" w14:textId="77777777" w:rsidR="00C01674" w:rsidRDefault="00C01674">
            <w:pPr>
              <w:pStyle w:val="StandardWeb"/>
              <w:rPr>
                <w:rFonts w:ascii="Arial" w:hAnsi="Arial" w:cs="Arial"/>
                <w:color w:val="000000"/>
                <w:sz w:val="22"/>
                <w:szCs w:val="22"/>
              </w:rPr>
            </w:pPr>
            <w:hyperlink r:id="rId28" w:history="1">
              <w:proofErr w:type="spellStart"/>
              <w:r>
                <w:rPr>
                  <w:rStyle w:val="Hyperlink"/>
                  <w:rFonts w:ascii="Arial" w:hAnsi="Arial" w:cs="Arial"/>
                  <w:color w:val="1155CC"/>
                  <w:sz w:val="22"/>
                  <w:szCs w:val="22"/>
                </w:rPr>
                <w:t>Protection</w:t>
              </w:r>
              <w:proofErr w:type="spellEnd"/>
              <w:r>
                <w:rPr>
                  <w:rStyle w:val="Hyperlink"/>
                  <w:rFonts w:ascii="Arial" w:hAnsi="Arial" w:cs="Arial"/>
                  <w:color w:val="1155CC"/>
                  <w:sz w:val="22"/>
                  <w:szCs w:val="22"/>
                </w:rPr>
                <w:t xml:space="preserve"> des </w:t>
              </w:r>
              <w:proofErr w:type="spellStart"/>
              <w:r>
                <w:rPr>
                  <w:rStyle w:val="Hyperlink"/>
                  <w:rFonts w:ascii="Arial" w:hAnsi="Arial" w:cs="Arial"/>
                  <w:color w:val="1155CC"/>
                  <w:sz w:val="22"/>
                  <w:szCs w:val="22"/>
                </w:rPr>
                <w:t>données</w:t>
              </w:r>
              <w:proofErr w:type="spellEnd"/>
              <w:r>
                <w:rPr>
                  <w:rStyle w:val="Hyperlink"/>
                  <w:rFonts w:ascii="Arial" w:hAnsi="Arial" w:cs="Arial"/>
                  <w:color w:val="1155CC"/>
                  <w:sz w:val="22"/>
                  <w:szCs w:val="22"/>
                </w:rPr>
                <w:t xml:space="preserve"> </w:t>
              </w:r>
              <w:proofErr w:type="spellStart"/>
              <w:r>
                <w:rPr>
                  <w:rStyle w:val="Hyperlink"/>
                  <w:rFonts w:ascii="Arial" w:hAnsi="Arial" w:cs="Arial"/>
                  <w:color w:val="1155CC"/>
                  <w:sz w:val="22"/>
                  <w:szCs w:val="22"/>
                </w:rPr>
                <w:t>personnelles</w:t>
              </w:r>
              <w:proofErr w:type="spellEnd"/>
            </w:hyperlink>
            <w:r>
              <w:rPr>
                <w:rFonts w:ascii="Arial" w:hAnsi="Arial" w:cs="Arial"/>
                <w:color w:val="000000"/>
                <w:sz w:val="22"/>
                <w:szCs w:val="22"/>
              </w:rPr>
              <w:t> </w:t>
            </w:r>
          </w:p>
          <w:p w14:paraId="729A336D" w14:textId="77777777" w:rsidR="00FB6651" w:rsidRDefault="00FB6651">
            <w:pPr>
              <w:pStyle w:val="StandardWeb"/>
              <w:rPr>
                <w:color w:val="000000"/>
              </w:rPr>
            </w:pPr>
          </w:p>
          <w:p w14:paraId="24D1E697" w14:textId="36994332" w:rsidR="00FB6651" w:rsidRDefault="00FB6651">
            <w:pPr>
              <w:pStyle w:val="StandardWeb"/>
            </w:pPr>
            <w:hyperlink r:id="rId29" w:history="1">
              <w:r w:rsidRPr="0059086C">
                <w:rPr>
                  <w:rStyle w:val="Hyperlink"/>
                </w:rPr>
                <w:t>https://www.somfy.fr/a-propos-de-somfy/vie-privee</w:t>
              </w:r>
            </w:hyperlink>
          </w:p>
          <w:p w14:paraId="45F22952" w14:textId="0EC3F017" w:rsidR="00FB6651" w:rsidRDefault="00FB6651">
            <w:pPr>
              <w:pStyle w:val="StandardWeb"/>
            </w:pP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809C0" w14:textId="77777777" w:rsidR="00C01674" w:rsidRDefault="00C01674">
            <w:pPr>
              <w:pStyle w:val="StandardWeb"/>
            </w:pPr>
            <w:hyperlink r:id="rId30" w:history="1">
              <w:r>
                <w:rPr>
                  <w:rStyle w:val="Hyperlink"/>
                  <w:rFonts w:ascii="Arial" w:hAnsi="Arial" w:cs="Arial"/>
                  <w:color w:val="1155CC"/>
                  <w:sz w:val="22"/>
                  <w:szCs w:val="22"/>
                </w:rPr>
                <w:t xml:space="preserve">La box </w:t>
              </w:r>
              <w:proofErr w:type="spellStart"/>
              <w:r>
                <w:rPr>
                  <w:rStyle w:val="Hyperlink"/>
                  <w:rFonts w:ascii="Arial" w:hAnsi="Arial" w:cs="Arial"/>
                  <w:color w:val="1155CC"/>
                  <w:sz w:val="22"/>
                  <w:szCs w:val="22"/>
                </w:rPr>
                <w:t>domotique</w:t>
              </w:r>
              <w:proofErr w:type="spellEnd"/>
              <w:r>
                <w:rPr>
                  <w:rStyle w:val="Hyperlink"/>
                  <w:rFonts w:ascii="Arial" w:hAnsi="Arial" w:cs="Arial"/>
                  <w:color w:val="1155CC"/>
                  <w:sz w:val="22"/>
                  <w:szCs w:val="22"/>
                </w:rPr>
                <w:t xml:space="preserve"> </w:t>
              </w:r>
              <w:proofErr w:type="spellStart"/>
              <w:r>
                <w:rPr>
                  <w:rStyle w:val="Hyperlink"/>
                  <w:rFonts w:ascii="Arial" w:hAnsi="Arial" w:cs="Arial"/>
                  <w:color w:val="1155CC"/>
                  <w:sz w:val="22"/>
                  <w:szCs w:val="22"/>
                </w:rPr>
                <w:t>TaHoma</w:t>
              </w:r>
              <w:proofErr w:type="spellEnd"/>
              <w:r>
                <w:rPr>
                  <w:rStyle w:val="Hyperlink"/>
                  <w:rFonts w:ascii="Arial" w:hAnsi="Arial" w:cs="Arial"/>
                  <w:color w:val="1155CC"/>
                  <w:sz w:val="22"/>
                  <w:szCs w:val="22"/>
                </w:rPr>
                <w:t>® switch | Somfy</w:t>
              </w:r>
            </w:hyperlink>
            <w:r>
              <w:rPr>
                <w:rFonts w:ascii="Arial" w:hAnsi="Arial" w:cs="Arial"/>
                <w:color w:val="000000"/>
                <w:sz w:val="22"/>
                <w:szCs w:val="22"/>
              </w:rPr>
              <w:t> </w:t>
            </w:r>
          </w:p>
        </w:tc>
      </w:tr>
      <w:tr w:rsidR="00C01674" w14:paraId="2AABBDC2" w14:textId="77777777" w:rsidTr="00C0167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164B8" w14:textId="77777777" w:rsidR="00C01674" w:rsidRPr="00C01674" w:rsidRDefault="00C01674">
            <w:pPr>
              <w:pStyle w:val="berschrift1"/>
              <w:shd w:val="clear" w:color="auto" w:fill="FFFFFF"/>
              <w:spacing w:before="0" w:after="300"/>
              <w:rPr>
                <w:sz w:val="22"/>
                <w:szCs w:val="22"/>
              </w:rPr>
            </w:pPr>
            <w:r w:rsidRPr="00C01674">
              <w:rPr>
                <w:b w:val="0"/>
                <w:bCs w:val="0"/>
                <w:color w:val="3C3839"/>
                <w:sz w:val="22"/>
                <w:szCs w:val="22"/>
              </w:rPr>
              <w:t xml:space="preserve">HOME GATEWAY - 100-240 V </w:t>
            </w:r>
            <w:proofErr w:type="spellStart"/>
            <w:r w:rsidRPr="00C01674">
              <w:rPr>
                <w:b w:val="0"/>
                <w:bCs w:val="0"/>
                <w:color w:val="3C3839"/>
                <w:sz w:val="22"/>
                <w:szCs w:val="22"/>
              </w:rPr>
              <w:t>ac</w:t>
            </w:r>
            <w:proofErr w:type="spellEnd"/>
            <w:r w:rsidRPr="00C01674">
              <w:rPr>
                <w:b w:val="0"/>
                <w:bCs w:val="0"/>
                <w:color w:val="3C3839"/>
                <w:sz w:val="22"/>
                <w:szCs w:val="22"/>
              </w:rPr>
              <w:t xml:space="preserve"> 50/60 Hz - 2 MODULI - BIANCO LUCIDO - CHORUSMART (Italia)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1C1BB" w14:textId="77777777" w:rsidR="00C01674" w:rsidRDefault="00C01674">
            <w:pPr>
              <w:pStyle w:val="StandardWeb"/>
            </w:pPr>
            <w:hyperlink r:id="rId31" w:history="1">
              <w:r>
                <w:rPr>
                  <w:rStyle w:val="Hyperlink"/>
                  <w:rFonts w:ascii="Arial" w:hAnsi="Arial" w:cs="Arial"/>
                  <w:color w:val="1155CC"/>
                  <w:sz w:val="22"/>
                  <w:szCs w:val="22"/>
                </w:rPr>
                <w:t xml:space="preserve">HOME GATEWAY - 100-240 V </w:t>
              </w:r>
              <w:proofErr w:type="spellStart"/>
              <w:r>
                <w:rPr>
                  <w:rStyle w:val="Hyperlink"/>
                  <w:rFonts w:ascii="Arial" w:hAnsi="Arial" w:cs="Arial"/>
                  <w:color w:val="1155CC"/>
                  <w:sz w:val="22"/>
                  <w:szCs w:val="22"/>
                </w:rPr>
                <w:t>ac</w:t>
              </w:r>
              <w:proofErr w:type="spellEnd"/>
              <w:r>
                <w:rPr>
                  <w:rStyle w:val="Hyperlink"/>
                  <w:rFonts w:ascii="Arial" w:hAnsi="Arial" w:cs="Arial"/>
                  <w:color w:val="1155CC"/>
                  <w:sz w:val="22"/>
                  <w:szCs w:val="22"/>
                </w:rPr>
                <w:t xml:space="preserve"> 50/60 Hz - 2 MODULI - BIANCO LUCIDO - CHORUSMART | </w:t>
              </w:r>
              <w:proofErr w:type="gramStart"/>
              <w:r>
                <w:rPr>
                  <w:rStyle w:val="Hyperlink"/>
                  <w:rFonts w:ascii="Arial" w:hAnsi="Arial" w:cs="Arial"/>
                  <w:color w:val="1155CC"/>
                  <w:sz w:val="22"/>
                  <w:szCs w:val="22"/>
                </w:rPr>
                <w:t>Gewiss</w:t>
              </w:r>
              <w:proofErr w:type="gramEnd"/>
            </w:hyperlink>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D20971" w14:textId="77777777" w:rsidR="00C01674" w:rsidRDefault="00C01674">
            <w:pPr>
              <w:pStyle w:val="StandardWeb"/>
            </w:pPr>
            <w:hyperlink r:id="rId32" w:history="1">
              <w:r>
                <w:rPr>
                  <w:rStyle w:val="Hyperlink"/>
                  <w:rFonts w:ascii="Arial" w:hAnsi="Arial" w:cs="Arial"/>
                  <w:color w:val="1155CC"/>
                  <w:sz w:val="22"/>
                  <w:szCs w:val="22"/>
                </w:rPr>
                <w:t xml:space="preserve">Legal | </w:t>
              </w:r>
              <w:proofErr w:type="gramStart"/>
              <w:r>
                <w:rPr>
                  <w:rStyle w:val="Hyperlink"/>
                  <w:rFonts w:ascii="Arial" w:hAnsi="Arial" w:cs="Arial"/>
                  <w:color w:val="1155CC"/>
                  <w:sz w:val="22"/>
                  <w:szCs w:val="22"/>
                </w:rPr>
                <w:t>Gewiss</w:t>
              </w:r>
              <w:proofErr w:type="gramEnd"/>
            </w:hyperlink>
            <w:r>
              <w:rPr>
                <w:rFonts w:ascii="Arial" w:hAnsi="Arial" w:cs="Arial"/>
                <w:color w:val="000000"/>
                <w:sz w:val="22"/>
                <w:szCs w:val="22"/>
              </w:rPr>
              <w:t> </w:t>
            </w:r>
          </w:p>
          <w:p w14:paraId="14C0D3C0" w14:textId="77777777" w:rsidR="00C01674" w:rsidRDefault="00C01674"/>
          <w:p w14:paraId="448819DC" w14:textId="77777777" w:rsidR="00C01674" w:rsidRDefault="00C01674">
            <w:pPr>
              <w:pStyle w:val="StandardWeb"/>
            </w:pPr>
            <w:hyperlink r:id="rId33" w:history="1">
              <w:r>
                <w:rPr>
                  <w:rStyle w:val="Hyperlink"/>
                  <w:rFonts w:ascii="Arial" w:hAnsi="Arial" w:cs="Arial"/>
                  <w:color w:val="1155CC"/>
                  <w:sz w:val="22"/>
                  <w:szCs w:val="22"/>
                </w:rPr>
                <w:t xml:space="preserve">Standard Sales </w:t>
              </w:r>
              <w:proofErr w:type="spellStart"/>
              <w:r>
                <w:rPr>
                  <w:rStyle w:val="Hyperlink"/>
                  <w:rFonts w:ascii="Arial" w:hAnsi="Arial" w:cs="Arial"/>
                  <w:color w:val="1155CC"/>
                  <w:sz w:val="22"/>
                  <w:szCs w:val="22"/>
                </w:rPr>
                <w:t>Conditions</w:t>
              </w:r>
              <w:proofErr w:type="spellEnd"/>
              <w:r>
                <w:rPr>
                  <w:rStyle w:val="Hyperlink"/>
                  <w:rFonts w:ascii="Arial" w:hAnsi="Arial" w:cs="Arial"/>
                  <w:color w:val="1155CC"/>
                  <w:sz w:val="22"/>
                  <w:szCs w:val="22"/>
                </w:rPr>
                <w:t xml:space="preserve"> | </w:t>
              </w:r>
              <w:proofErr w:type="gramStart"/>
              <w:r>
                <w:rPr>
                  <w:rStyle w:val="Hyperlink"/>
                  <w:rFonts w:ascii="Arial" w:hAnsi="Arial" w:cs="Arial"/>
                  <w:color w:val="1155CC"/>
                  <w:sz w:val="22"/>
                  <w:szCs w:val="22"/>
                </w:rPr>
                <w:t>Gewiss</w:t>
              </w:r>
              <w:proofErr w:type="gramEnd"/>
            </w:hyperlink>
            <w:r>
              <w:rPr>
                <w:rFonts w:ascii="Arial" w:hAnsi="Arial" w:cs="Arial"/>
                <w:color w:val="000000"/>
                <w:sz w:val="22"/>
                <w:szCs w:val="22"/>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4D93D" w14:textId="77777777" w:rsidR="00C01674" w:rsidRDefault="00C01674">
            <w:pPr>
              <w:pStyle w:val="StandardWeb"/>
            </w:pPr>
            <w:hyperlink r:id="rId34" w:history="1">
              <w:r>
                <w:rPr>
                  <w:rStyle w:val="Hyperlink"/>
                  <w:rFonts w:ascii="Arial" w:hAnsi="Arial" w:cs="Arial"/>
                  <w:color w:val="1155CC"/>
                  <w:sz w:val="22"/>
                  <w:szCs w:val="22"/>
                </w:rPr>
                <w:t xml:space="preserve">Privacy </w:t>
              </w:r>
              <w:r>
                <w:rPr>
                  <w:rStyle w:val="Hyperlink"/>
                  <w:rFonts w:ascii="Arial" w:hAnsi="Arial" w:cs="Arial"/>
                  <w:color w:val="1155CC"/>
                  <w:sz w:val="22"/>
                  <w:szCs w:val="22"/>
                </w:rPr>
                <w:t>P</w:t>
              </w:r>
              <w:r>
                <w:rPr>
                  <w:rStyle w:val="Hyperlink"/>
                  <w:rFonts w:ascii="Arial" w:hAnsi="Arial" w:cs="Arial"/>
                  <w:color w:val="1155CC"/>
                  <w:sz w:val="22"/>
                  <w:szCs w:val="22"/>
                </w:rPr>
                <w:t xml:space="preserve">olicy | </w:t>
              </w:r>
              <w:proofErr w:type="gramStart"/>
              <w:r>
                <w:rPr>
                  <w:rStyle w:val="Hyperlink"/>
                  <w:rFonts w:ascii="Arial" w:hAnsi="Arial" w:cs="Arial"/>
                  <w:color w:val="1155CC"/>
                  <w:sz w:val="22"/>
                  <w:szCs w:val="22"/>
                </w:rPr>
                <w:t>Gewiss</w:t>
              </w:r>
              <w:proofErr w:type="gramEnd"/>
            </w:hyperlink>
            <w:r>
              <w:rPr>
                <w:rFonts w:ascii="Arial" w:hAnsi="Arial" w:cs="Arial"/>
                <w:color w:val="000000"/>
                <w:sz w:val="22"/>
                <w:szCs w:val="22"/>
              </w:rPr>
              <w:t> </w:t>
            </w:r>
          </w:p>
          <w:p w14:paraId="361EBFE5" w14:textId="77777777" w:rsidR="00C01674" w:rsidRDefault="00C01674"/>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479A6" w14:textId="77777777" w:rsidR="00C01674" w:rsidRDefault="00C01674"/>
        </w:tc>
      </w:tr>
    </w:tbl>
    <w:p w14:paraId="3922CA48" w14:textId="77777777" w:rsidR="00C01674" w:rsidRDefault="00C01674">
      <w:pPr>
        <w:pStyle w:val="berschrift2"/>
        <w:rPr>
          <w:b w:val="0"/>
          <w:bCs w:val="0"/>
        </w:rPr>
      </w:pPr>
    </w:p>
    <w:p w14:paraId="1E310CCD" w14:textId="2396A3A9" w:rsidR="00C01674" w:rsidRPr="00C01674" w:rsidRDefault="00C01674">
      <w:pPr>
        <w:pStyle w:val="berschrift2"/>
        <w:rPr>
          <w:b w:val="0"/>
          <w:bCs w:val="0"/>
        </w:rPr>
      </w:pPr>
      <w:r>
        <w:lastRenderedPageBreak/>
        <w:t xml:space="preserve">Anhang </w:t>
      </w:r>
      <w:r>
        <w:t>B</w:t>
      </w:r>
      <w:r>
        <w:t xml:space="preserve"> – Belegdokumentation</w:t>
      </w:r>
    </w:p>
    <w:p w14:paraId="17306569" w14:textId="15CC2A8C" w:rsidR="003E5E7F" w:rsidRDefault="00C01674">
      <w:pPr>
        <w:spacing w:after="140" w:line="276" w:lineRule="auto"/>
      </w:pPr>
      <w:r>
        <w:t xml:space="preserve">Siehe </w:t>
      </w:r>
      <w:r w:rsidR="006B6D51">
        <w:t>zusätzlich</w:t>
      </w:r>
      <w:r>
        <w:t xml:space="preserve"> Pfd. mit: </w:t>
      </w:r>
    </w:p>
    <w:p w14:paraId="36AF31B4" w14:textId="5C3EE598" w:rsidR="003E5E7F" w:rsidRDefault="00000000">
      <w:pPr>
        <w:pStyle w:val="Listenabsatz"/>
        <w:numPr>
          <w:ilvl w:val="0"/>
          <w:numId w:val="2"/>
        </w:numPr>
        <w:spacing w:after="60"/>
      </w:pPr>
      <w:r>
        <w:t>A.1 Bosch Smart Home: Screenshots der EU-Data-Act-Seite und des Datenschutzhinweises</w:t>
      </w:r>
      <w:r w:rsidR="00E372DA">
        <w:t>.</w:t>
      </w:r>
    </w:p>
    <w:p w14:paraId="7A12A7F2" w14:textId="0752843B" w:rsidR="003E5E7F" w:rsidRDefault="00000000">
      <w:pPr>
        <w:pStyle w:val="Listenabsatz"/>
        <w:numPr>
          <w:ilvl w:val="0"/>
          <w:numId w:val="2"/>
        </w:numPr>
        <w:spacing w:after="60"/>
      </w:pPr>
      <w:r>
        <w:t>A.2 Philips Hue/Signify: Screenshots der Data Notice (Oktober 2025)</w:t>
      </w:r>
      <w:r w:rsidR="00E372DA">
        <w:t>.</w:t>
      </w:r>
    </w:p>
    <w:p w14:paraId="38C1DBC9" w14:textId="19D66426" w:rsidR="003E5E7F" w:rsidRDefault="00000000">
      <w:pPr>
        <w:pStyle w:val="Listenabsatz"/>
        <w:numPr>
          <w:ilvl w:val="0"/>
          <w:numId w:val="2"/>
        </w:numPr>
        <w:spacing w:after="60"/>
      </w:pPr>
      <w:r>
        <w:t>A.3 Somfy</w:t>
      </w:r>
    </w:p>
    <w:p w14:paraId="1767C2E7" w14:textId="3C4B391C" w:rsidR="00E372DA" w:rsidRDefault="00000000" w:rsidP="00E372DA">
      <w:pPr>
        <w:pStyle w:val="Listenabsatz"/>
        <w:numPr>
          <w:ilvl w:val="0"/>
          <w:numId w:val="2"/>
        </w:numPr>
        <w:spacing w:before="120" w:after="60"/>
      </w:pPr>
      <w:r>
        <w:t xml:space="preserve">A.4 </w:t>
      </w:r>
      <w:proofErr w:type="gramStart"/>
      <w:r>
        <w:t>Gewiss</w:t>
      </w:r>
      <w:proofErr w:type="gramEnd"/>
    </w:p>
    <w:sectPr w:rsidR="00E372DA">
      <w:footerReference w:type="default" r:id="rId35"/>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D5DE1" w14:textId="77777777" w:rsidR="00AD0BB0" w:rsidRDefault="00AD0BB0">
      <w:r>
        <w:separator/>
      </w:r>
    </w:p>
  </w:endnote>
  <w:endnote w:type="continuationSeparator" w:id="0">
    <w:p w14:paraId="7712A928" w14:textId="77777777" w:rsidR="00AD0BB0" w:rsidRDefault="00AD0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FBD19" w14:textId="77777777" w:rsidR="003E5E7F" w:rsidRDefault="00000000">
    <w:pPr>
      <w:jc w:val="center"/>
    </w:pPr>
    <w:r>
      <w:t xml:space="preserve">Seite </w:t>
    </w:r>
    <w:r>
      <w:fldChar w:fldCharType="begin"/>
    </w:r>
    <w:r>
      <w:instrText>PAGE</w:instrText>
    </w:r>
    <w:r>
      <w:fldChar w:fldCharType="separate"/>
    </w:r>
    <w:r w:rsidR="00C85447">
      <w:rPr>
        <w:noProof/>
      </w:rPr>
      <w:t>2</w:t>
    </w:r>
    <w:r>
      <w:fldChar w:fldCharType="end"/>
    </w:r>
    <w:r>
      <w:t xml:space="preserve"> von </w:t>
    </w:r>
    <w:r>
      <w:fldChar w:fldCharType="begin"/>
    </w:r>
    <w:r>
      <w:instrText>NUMPAGES</w:instrText>
    </w:r>
    <w:r>
      <w:fldChar w:fldCharType="separate"/>
    </w:r>
    <w:r w:rsidR="00C854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20721" w14:textId="77777777" w:rsidR="00AD0BB0" w:rsidRDefault="00AD0BB0">
      <w:r>
        <w:separator/>
      </w:r>
    </w:p>
  </w:footnote>
  <w:footnote w:type="continuationSeparator" w:id="0">
    <w:p w14:paraId="586BB99E" w14:textId="77777777" w:rsidR="00AD0BB0" w:rsidRDefault="00AD0BB0">
      <w:r>
        <w:continuationSeparator/>
      </w:r>
    </w:p>
  </w:footnote>
  <w:footnote w:id="1">
    <w:p w14:paraId="18FD699F" w14:textId="77777777" w:rsidR="003E5E7F" w:rsidRPr="00C01674" w:rsidRDefault="00000000">
      <w:r w:rsidRPr="00C01674">
        <w:rPr>
          <w:rStyle w:val="Funotenzeichen"/>
        </w:rPr>
        <w:footnoteRef/>
      </w:r>
      <w:r w:rsidRPr="00C01674">
        <w:t xml:space="preserve">Verordnung (EU) 2023/2854 des Europäischen Parlaments und des Rates v. 13.12.2023 über harmonisierte Vorschriften für einen fairen Datenzugang und eine faire Datennutzung (Data Act), </w:t>
      </w:r>
      <w:proofErr w:type="spellStart"/>
      <w:r w:rsidRPr="00C01674">
        <w:t>ABl.</w:t>
      </w:r>
      <w:proofErr w:type="spellEnd"/>
      <w:r w:rsidRPr="00C01674">
        <w:t xml:space="preserve"> L, 2023/2854. Zur Einordnung in die Europäische Datenstrategie Europäische Kommission, </w:t>
      </w:r>
      <w:proofErr w:type="gramStart"/>
      <w:r w:rsidRPr="00C01674">
        <w:t>KOM(</w:t>
      </w:r>
      <w:proofErr w:type="gramEnd"/>
      <w:r w:rsidRPr="00C01674">
        <w:t xml:space="preserve">2020) 66 final. Zum Verhältnis zur DSGVO Art. 1 Abs. 5 Data Act sowie </w:t>
      </w:r>
      <w:proofErr w:type="spellStart"/>
      <w:r w:rsidRPr="00C01674">
        <w:t>ErwG</w:t>
      </w:r>
      <w:proofErr w:type="spellEnd"/>
      <w:r w:rsidRPr="00C01674">
        <w:t xml:space="preserve"> 7 Data Act.</w:t>
      </w:r>
    </w:p>
  </w:footnote>
  <w:footnote w:id="2">
    <w:p w14:paraId="3BD0FCAD" w14:textId="41319615" w:rsidR="00C01674" w:rsidRPr="00C01674" w:rsidRDefault="00C01674" w:rsidP="00C01674">
      <w:pPr>
        <w:spacing w:before="100" w:beforeAutospacing="1" w:after="100" w:afterAutospacing="1"/>
        <w:rPr>
          <w:rFonts w:eastAsia="Times New Roman"/>
          <w:color w:val="000000"/>
        </w:rPr>
      </w:pPr>
      <w:r w:rsidRPr="00C01674">
        <w:t>DSGVO</w:t>
      </w:r>
      <w:r w:rsidRPr="00C01674">
        <w:t>:</w:t>
      </w:r>
      <w:r w:rsidRPr="00C01674">
        <w:rPr>
          <w:color w:val="1F1F1F"/>
          <w:shd w:val="clear" w:color="auto" w:fill="FFFFFF"/>
        </w:rPr>
        <w:t xml:space="preserve"> </w:t>
      </w:r>
      <w:r w:rsidRPr="00C01674">
        <w:rPr>
          <w:color w:val="1F1F1F"/>
          <w:shd w:val="clear" w:color="auto" w:fill="FFFFFF"/>
        </w:rPr>
        <w:t>Die Datenschutz-Grundverordnung ist eine Verordnung der Europäischen Union, mit der die Regeln zur Verarbeitung personenbezogener Daten durch die meisten Datenverarbeiter, sowohl private wie öffentliche, EU-weit vereinheitlicht werden.</w:t>
      </w:r>
    </w:p>
  </w:footnote>
  <w:footnote w:id="3">
    <w:p w14:paraId="3E2820D7" w14:textId="77777777" w:rsidR="003E5E7F" w:rsidRPr="00C01674" w:rsidRDefault="00000000">
      <w:r w:rsidRPr="00C01674">
        <w:rPr>
          <w:rStyle w:val="Funotenzeichen"/>
        </w:rPr>
        <w:footnoteRef/>
      </w:r>
      <w:r w:rsidRPr="00C01674">
        <w:t xml:space="preserve">Art. 3 Abs. 2 </w:t>
      </w:r>
      <w:proofErr w:type="spellStart"/>
      <w:r w:rsidRPr="00C01674">
        <w:t>lit</w:t>
      </w:r>
      <w:proofErr w:type="spellEnd"/>
      <w:r w:rsidRPr="00C01674">
        <w:t>. a–d Data Act.</w:t>
      </w:r>
    </w:p>
  </w:footnote>
  <w:footnote w:id="4">
    <w:p w14:paraId="2480BA30" w14:textId="77777777" w:rsidR="003E5E7F" w:rsidRPr="00C01674" w:rsidRDefault="00000000">
      <w:r w:rsidRPr="00C01674">
        <w:rPr>
          <w:rStyle w:val="Funotenzeichen"/>
        </w:rPr>
        <w:footnoteRef/>
      </w:r>
      <w:r w:rsidRPr="00C01674">
        <w:t xml:space="preserve">Art. 3 Abs. 3 </w:t>
      </w:r>
      <w:proofErr w:type="spellStart"/>
      <w:r w:rsidRPr="00C01674">
        <w:t>lit</w:t>
      </w:r>
      <w:proofErr w:type="spellEnd"/>
      <w:r w:rsidRPr="00C01674">
        <w:t>. a–i Data Act.</w:t>
      </w:r>
    </w:p>
  </w:footnote>
  <w:footnote w:id="5">
    <w:p w14:paraId="34CAD704" w14:textId="77777777" w:rsidR="00C01674" w:rsidRPr="00C01674" w:rsidRDefault="00C01674" w:rsidP="00C01674">
      <w:r w:rsidRPr="00C01674">
        <w:rPr>
          <w:rStyle w:val="Funotenzeichen"/>
        </w:rPr>
        <w:footnoteRef/>
      </w:r>
      <w:r w:rsidRPr="00C01674">
        <w:t xml:space="preserve">Vgl. </w:t>
      </w:r>
      <w:proofErr w:type="spellStart"/>
      <w:r w:rsidRPr="00C01674">
        <w:t>ErwG</w:t>
      </w:r>
      <w:proofErr w:type="spellEnd"/>
      <w:r w:rsidRPr="00C01674">
        <w:t xml:space="preserve"> 24 Data Act zur dauerhaften Verfügbarkeit und leichten Wiederauffindbarkeit der vorvertraglichen Informationen.</w:t>
      </w:r>
    </w:p>
  </w:footnote>
  <w:footnote w:id="6">
    <w:p w14:paraId="755D5DBA" w14:textId="1EC7A208" w:rsidR="003E5E7F" w:rsidRPr="00C01674" w:rsidRDefault="00000000">
      <w:r w:rsidRPr="00C01674">
        <w:rPr>
          <w:rStyle w:val="Funotenzeichen"/>
        </w:rPr>
        <w:footnoteRef/>
      </w:r>
      <w:r w:rsidRPr="00C01674">
        <w:t>Robert Bosch Smart Home GmbH, „Informationen zum Datenzugang gemäß Verordnung (EU) 2023/2854 (‚Data Act‘)“, abrufbar unter https://www.bosch-smarthome.com/de/de/eu-data-act/</w:t>
      </w:r>
    </w:p>
  </w:footnote>
  <w:footnote w:id="7">
    <w:p w14:paraId="19E193A5" w14:textId="0BA667C7" w:rsidR="003E5E7F" w:rsidRPr="00C01674" w:rsidRDefault="00000000">
      <w:r w:rsidRPr="00C01674">
        <w:rPr>
          <w:rStyle w:val="Funotenzeichen"/>
        </w:rPr>
        <w:footnoteRef/>
      </w:r>
      <w:r w:rsidRPr="00C01674">
        <w:t>Bosch Smart Home GmbH, Datenschutzhinweis Bosch Smart Home App, Stand 02.05.2025 (zu Speicherung/</w:t>
      </w:r>
      <w:proofErr w:type="spellStart"/>
      <w:r w:rsidRPr="00C01674">
        <w:t>Werksreset</w:t>
      </w:r>
      <w:proofErr w:type="spellEnd"/>
      <w:r w:rsidRPr="00C01674">
        <w:t>).</w:t>
      </w:r>
    </w:p>
  </w:footnote>
  <w:footnote w:id="8">
    <w:p w14:paraId="7DE9EA25" w14:textId="24682C15" w:rsidR="003E5E7F" w:rsidRPr="00C01674" w:rsidRDefault="00000000">
      <w:r w:rsidRPr="00C01674">
        <w:rPr>
          <w:rStyle w:val="Funotenzeichen"/>
        </w:rPr>
        <w:footnoteRef/>
      </w:r>
      <w:r w:rsidRPr="00C01674">
        <w:t xml:space="preserve">Signify </w:t>
      </w:r>
      <w:proofErr w:type="spellStart"/>
      <w:r w:rsidRPr="00C01674">
        <w:t>Netherlands</w:t>
      </w:r>
      <w:proofErr w:type="spellEnd"/>
      <w:r w:rsidRPr="00C01674">
        <w:t xml:space="preserve"> B.V., „Philips Hue Data Notice“ (Stand Oktober 2025), abrufbar unter https://www.philips-hue.com/en-us/support/legal/data-notice bzw. PDF unter assets.signify.com</w:t>
      </w:r>
    </w:p>
  </w:footnote>
  <w:footnote w:id="9">
    <w:p w14:paraId="11C8790B" w14:textId="5F1195C4" w:rsidR="003E5E7F" w:rsidRPr="00C01674" w:rsidRDefault="00000000">
      <w:r w:rsidRPr="00C01674">
        <w:rPr>
          <w:rStyle w:val="Funotenzeichen"/>
        </w:rPr>
        <w:footnoteRef/>
      </w:r>
      <w:r w:rsidRPr="00C01674">
        <w:t xml:space="preserve">Philips Hue Developer </w:t>
      </w:r>
      <w:proofErr w:type="spellStart"/>
      <w:r w:rsidRPr="00C01674">
        <w:t>Program</w:t>
      </w:r>
      <w:proofErr w:type="spellEnd"/>
      <w:r w:rsidRPr="00C01674">
        <w:t xml:space="preserve">, Terms </w:t>
      </w:r>
      <w:proofErr w:type="spellStart"/>
      <w:r w:rsidRPr="00C01674">
        <w:t>of</w:t>
      </w:r>
      <w:proofErr w:type="spellEnd"/>
      <w:r w:rsidRPr="00C01674">
        <w:t xml:space="preserve"> Use (mit ausdrücklichem Verweis auf die VO (EU) 2023/2854) sowie CLIP-API v2 (Nachrichtenformat JSON), https://developers.meethue.com</w:t>
      </w:r>
    </w:p>
  </w:footnote>
  <w:footnote w:id="10">
    <w:p w14:paraId="52D8482D" w14:textId="069CEC6E" w:rsidR="003E5E7F" w:rsidRPr="00C01674" w:rsidRDefault="00000000">
      <w:r w:rsidRPr="00C01674">
        <w:rPr>
          <w:rStyle w:val="Funotenzeichen"/>
        </w:rPr>
        <w:footnoteRef/>
      </w:r>
      <w:r w:rsidRPr="00C01674">
        <w:t>Beleg: Philips Hue Data Notice (Oktober 2025), Abschnitte zu Speicherfristen, Echtzeit-API und Bulk-Zugang per Online-Formular sowie zur möglichen Verschiebung der Data-Holder-Rolle bei Nutzung einer Drittanbieter-Bridge</w:t>
      </w:r>
    </w:p>
  </w:footnote>
  <w:footnote w:id="11">
    <w:p w14:paraId="4E55D47E" w14:textId="3149304A" w:rsidR="003E5E7F" w:rsidRPr="00C01674" w:rsidRDefault="00000000">
      <w:r w:rsidRPr="00C01674">
        <w:rPr>
          <w:rStyle w:val="Funotenzeichen"/>
        </w:rPr>
        <w:footnoteRef/>
      </w:r>
      <w:r w:rsidRPr="00C01674">
        <w:t xml:space="preserve">Somfy, Datenschutzinformation / </w:t>
      </w:r>
      <w:proofErr w:type="spellStart"/>
      <w:r w:rsidRPr="00C01674">
        <w:t>Politique</w:t>
      </w:r>
      <w:proofErr w:type="spellEnd"/>
      <w:r w:rsidRPr="00C01674">
        <w:t xml:space="preserve"> de </w:t>
      </w:r>
      <w:proofErr w:type="spellStart"/>
      <w:r w:rsidRPr="00C01674">
        <w:t>confidentialité</w:t>
      </w:r>
      <w:proofErr w:type="spellEnd"/>
      <w:r w:rsidRPr="00C01674">
        <w:t xml:space="preserve"> (</w:t>
      </w:r>
      <w:proofErr w:type="spellStart"/>
      <w:r w:rsidRPr="00C01674">
        <w:t>TaHoma</w:t>
      </w:r>
      <w:proofErr w:type="spellEnd"/>
      <w:r w:rsidRPr="00C01674">
        <w:t>), abrufbar unter https://www.somfy.fr/a-propos-de-somfy/vie-privee</w:t>
      </w:r>
      <w:r w:rsidR="004B4261">
        <w:t>.</w:t>
      </w:r>
    </w:p>
  </w:footnote>
  <w:footnote w:id="12">
    <w:p w14:paraId="4DC5C010" w14:textId="31DDB17C" w:rsidR="003E5E7F" w:rsidRPr="00C01674" w:rsidRDefault="00000000">
      <w:r w:rsidRPr="00C01674">
        <w:rPr>
          <w:rStyle w:val="Funotenzeichen"/>
        </w:rPr>
        <w:footnoteRef/>
      </w:r>
      <w:r w:rsidRPr="00C01674">
        <w:t xml:space="preserve">Beleg: funktionale Prüfung der </w:t>
      </w:r>
      <w:proofErr w:type="spellStart"/>
      <w:r w:rsidRPr="00C01674">
        <w:t>TaHoma</w:t>
      </w:r>
      <w:proofErr w:type="spellEnd"/>
      <w:r w:rsidRPr="00C01674">
        <w:t xml:space="preserve">-App bzw. des Webportals (Export-/Schnittstellenfunktionen); dokumentierter Export beschränkt auf befristeten Video-Download; </w:t>
      </w:r>
      <w:r w:rsidR="0075447C">
        <w:t xml:space="preserve">Stand </w:t>
      </w:r>
      <w:r w:rsidR="004B4261">
        <w:t>2025</w:t>
      </w:r>
    </w:p>
  </w:footnote>
  <w:footnote w:id="13">
    <w:p w14:paraId="3665FAEF" w14:textId="69042523" w:rsidR="003E5E7F" w:rsidRPr="00C01674" w:rsidRDefault="00000000">
      <w:r w:rsidRPr="00C01674">
        <w:rPr>
          <w:rStyle w:val="Funotenzeichen"/>
        </w:rPr>
        <w:footnoteRef/>
      </w:r>
      <w:r w:rsidRPr="00C01674">
        <w:t xml:space="preserve">Gewiss </w:t>
      </w:r>
      <w:proofErr w:type="spellStart"/>
      <w:r w:rsidRPr="00C01674">
        <w:t>S.p.A</w:t>
      </w:r>
      <w:proofErr w:type="spellEnd"/>
      <w:r w:rsidRPr="00C01674">
        <w:t xml:space="preserve">., </w:t>
      </w:r>
      <w:proofErr w:type="spellStart"/>
      <w:r w:rsidRPr="00C01674">
        <w:t>Informativa</w:t>
      </w:r>
      <w:proofErr w:type="spellEnd"/>
      <w:r w:rsidRPr="00C01674">
        <w:t xml:space="preserve"> sul </w:t>
      </w:r>
      <w:proofErr w:type="spellStart"/>
      <w:r w:rsidRPr="00C01674">
        <w:t>trattamento</w:t>
      </w:r>
      <w:proofErr w:type="spellEnd"/>
      <w:r w:rsidRPr="00C01674">
        <w:t xml:space="preserve"> </w:t>
      </w:r>
      <w:proofErr w:type="spellStart"/>
      <w:r w:rsidRPr="00C01674">
        <w:t>dei</w:t>
      </w:r>
      <w:proofErr w:type="spellEnd"/>
      <w:r w:rsidRPr="00C01674">
        <w:t xml:space="preserve"> </w:t>
      </w:r>
      <w:proofErr w:type="spellStart"/>
      <w:r w:rsidRPr="00C01674">
        <w:t>dati</w:t>
      </w:r>
      <w:proofErr w:type="spellEnd"/>
      <w:r w:rsidRPr="00C01674">
        <w:t xml:space="preserve"> </w:t>
      </w:r>
      <w:proofErr w:type="spellStart"/>
      <w:r w:rsidRPr="00C01674">
        <w:t>personali</w:t>
      </w:r>
      <w:proofErr w:type="spellEnd"/>
      <w:r w:rsidRPr="00C01674">
        <w:t xml:space="preserve"> ai </w:t>
      </w:r>
      <w:proofErr w:type="spellStart"/>
      <w:r w:rsidRPr="00C01674">
        <w:t>sensi</w:t>
      </w:r>
      <w:proofErr w:type="spellEnd"/>
      <w:r w:rsidRPr="00C01674">
        <w:t xml:space="preserve"> </w:t>
      </w:r>
      <w:proofErr w:type="spellStart"/>
      <w:r w:rsidRPr="00C01674">
        <w:t>dell’art</w:t>
      </w:r>
      <w:proofErr w:type="spellEnd"/>
      <w:r w:rsidRPr="00C01674">
        <w:t xml:space="preserve">. 13 GDPR – Home Gateway / </w:t>
      </w:r>
      <w:proofErr w:type="spellStart"/>
      <w:r w:rsidRPr="00C01674">
        <w:t>Chorusmart</w:t>
      </w:r>
      <w:proofErr w:type="spellEnd"/>
      <w:r w:rsidRPr="00C01674">
        <w:t xml:space="preserve"> App, abrufbar unter https://www.gewiss.com/ (abgerufen </w:t>
      </w:r>
      <w:r w:rsidR="004B4261">
        <w:t>i</w:t>
      </w:r>
      <w:r w:rsidRPr="00C01674">
        <w:t>m</w:t>
      </w:r>
      <w:r w:rsidR="004B4261">
        <w:t xml:space="preserve"> Jahr</w:t>
      </w:r>
      <w:r w:rsidRPr="00C01674">
        <w:t xml:space="preserve"> </w:t>
      </w:r>
      <w:r w:rsidR="004B4261">
        <w:t>2025</w:t>
      </w:r>
    </w:p>
  </w:footnote>
  <w:footnote w:id="14">
    <w:p w14:paraId="0158637E" w14:textId="4A78545E" w:rsidR="003E5E7F" w:rsidRPr="00C01674" w:rsidRDefault="00000000">
      <w:r w:rsidRPr="00C01674">
        <w:rPr>
          <w:rStyle w:val="Funotenzeichen"/>
        </w:rPr>
        <w:footnoteRef/>
      </w:r>
      <w:r w:rsidRPr="00C01674">
        <w:t xml:space="preserve">Beleg: funktionale Prüfung der </w:t>
      </w:r>
      <w:proofErr w:type="spellStart"/>
      <w:r w:rsidRPr="00C01674">
        <w:t>Chorusmart</w:t>
      </w:r>
      <w:proofErr w:type="spellEnd"/>
      <w:r w:rsidRPr="00C01674">
        <w:t xml:space="preserve">-App; Plattformintegrationen (Google Home, Amazon Alexa, IFTTT); keine nutzerseitige Export-/API-Funktion im Data-Act-Sinn dokumentiert; Stand </w:t>
      </w:r>
      <w:r w:rsidR="0075447C">
        <w:t>2025</w:t>
      </w:r>
    </w:p>
  </w:footnote>
  <w:footnote w:id="15">
    <w:p w14:paraId="36ED82E2" w14:textId="03F3848D" w:rsidR="003E5E7F" w:rsidRPr="00C01674" w:rsidRDefault="00000000">
      <w:r w:rsidRPr="00C01674">
        <w:rPr>
          <w:rStyle w:val="Funotenzeichen"/>
        </w:rPr>
        <w:footnoteRef/>
      </w:r>
      <w:r w:rsidRPr="00C01674">
        <w:t>Maßstab ist Art. 3 Abs. 1 Data Act: standardmäßig (‚</w:t>
      </w:r>
      <w:proofErr w:type="spellStart"/>
      <w:r w:rsidRPr="00C01674">
        <w:t>by</w:t>
      </w:r>
      <w:proofErr w:type="spellEnd"/>
      <w:r w:rsidRPr="00C01674">
        <w:t xml:space="preserve"> </w:t>
      </w:r>
      <w:proofErr w:type="spellStart"/>
      <w:r w:rsidRPr="00C01674">
        <w:t>default</w:t>
      </w:r>
      <w:proofErr w:type="spellEnd"/>
      <w:r w:rsidRPr="00C01674">
        <w:t xml:space="preserve">‘) einfacher, sicherer, unentgeltlicher Zugang in einem umfassenden, strukturierten, gängigen und maschinenlesbaren Format und – </w:t>
      </w:r>
      <w:proofErr w:type="spellStart"/>
      <w:r w:rsidR="0075447C" w:rsidRPr="00C01674">
        <w:t>so weit</w:t>
      </w:r>
      <w:proofErr w:type="spellEnd"/>
      <w:r w:rsidRPr="00C01674">
        <w:t xml:space="preserve"> relevant und technisch durchführbar – direkter Zugang.</w:t>
      </w:r>
    </w:p>
  </w:footnote>
  <w:footnote w:id="16">
    <w:p w14:paraId="62414241" w14:textId="77777777" w:rsidR="003E5E7F" w:rsidRPr="00C01674" w:rsidRDefault="00000000">
      <w:r w:rsidRPr="00C01674">
        <w:rPr>
          <w:rStyle w:val="Funotenzeichen"/>
        </w:rPr>
        <w:footnoteRef/>
      </w:r>
      <w:r w:rsidRPr="00C01674">
        <w:t>Art. 50 Data Act; die gestaffelte Geltung (insbesondere Art. 3 Abs. 1 erst ab dem 12.9.2026 für neu in Verkehr gebrachte Produkte) relativiert Befunde zum gegenwärtigen Umsetzungsstand.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1776"/>
    <w:multiLevelType w:val="hybridMultilevel"/>
    <w:tmpl w:val="7304CC4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2556ECB"/>
    <w:multiLevelType w:val="multilevel"/>
    <w:tmpl w:val="5266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F5EA7"/>
    <w:multiLevelType w:val="multilevel"/>
    <w:tmpl w:val="F926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4648D"/>
    <w:multiLevelType w:val="multilevel"/>
    <w:tmpl w:val="A5D4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8828C7"/>
    <w:multiLevelType w:val="multilevel"/>
    <w:tmpl w:val="33A25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20961"/>
    <w:multiLevelType w:val="multilevel"/>
    <w:tmpl w:val="F70E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233D3"/>
    <w:multiLevelType w:val="hybridMultilevel"/>
    <w:tmpl w:val="E006FD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8AF5C27"/>
    <w:multiLevelType w:val="multilevel"/>
    <w:tmpl w:val="2AB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83161"/>
    <w:multiLevelType w:val="multilevel"/>
    <w:tmpl w:val="0992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17FB9"/>
    <w:multiLevelType w:val="multilevel"/>
    <w:tmpl w:val="6BF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078E2"/>
    <w:multiLevelType w:val="hybridMultilevel"/>
    <w:tmpl w:val="F6CEFEDC"/>
    <w:lvl w:ilvl="0" w:tplc="B0DC5628">
      <w:start w:val="1"/>
      <w:numFmt w:val="bullet"/>
      <w:lvlText w:val="•"/>
      <w:lvlJc w:val="left"/>
      <w:pPr>
        <w:ind w:left="660" w:hanging="360"/>
      </w:pPr>
    </w:lvl>
    <w:lvl w:ilvl="1" w:tplc="D5A47FC6">
      <w:numFmt w:val="decimal"/>
      <w:lvlText w:val=""/>
      <w:lvlJc w:val="left"/>
    </w:lvl>
    <w:lvl w:ilvl="2" w:tplc="41408E36">
      <w:numFmt w:val="decimal"/>
      <w:lvlText w:val=""/>
      <w:lvlJc w:val="left"/>
    </w:lvl>
    <w:lvl w:ilvl="3" w:tplc="36E66288">
      <w:numFmt w:val="decimal"/>
      <w:lvlText w:val=""/>
      <w:lvlJc w:val="left"/>
    </w:lvl>
    <w:lvl w:ilvl="4" w:tplc="5232BABA">
      <w:numFmt w:val="decimal"/>
      <w:lvlText w:val=""/>
      <w:lvlJc w:val="left"/>
    </w:lvl>
    <w:lvl w:ilvl="5" w:tplc="1602CFB0">
      <w:numFmt w:val="decimal"/>
      <w:lvlText w:val=""/>
      <w:lvlJc w:val="left"/>
    </w:lvl>
    <w:lvl w:ilvl="6" w:tplc="1DF6CCDA">
      <w:numFmt w:val="decimal"/>
      <w:lvlText w:val=""/>
      <w:lvlJc w:val="left"/>
    </w:lvl>
    <w:lvl w:ilvl="7" w:tplc="59C202C2">
      <w:numFmt w:val="decimal"/>
      <w:lvlText w:val=""/>
      <w:lvlJc w:val="left"/>
    </w:lvl>
    <w:lvl w:ilvl="8" w:tplc="108E7880">
      <w:numFmt w:val="decimal"/>
      <w:lvlText w:val=""/>
      <w:lvlJc w:val="left"/>
    </w:lvl>
  </w:abstractNum>
  <w:abstractNum w:abstractNumId="11" w15:restartNumberingAfterBreak="0">
    <w:nsid w:val="3DE129E3"/>
    <w:multiLevelType w:val="multilevel"/>
    <w:tmpl w:val="6A04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442D7C"/>
    <w:multiLevelType w:val="hybridMultilevel"/>
    <w:tmpl w:val="3EAA6698"/>
    <w:lvl w:ilvl="0" w:tplc="5A0ABAD4">
      <w:start w:val="1"/>
      <w:numFmt w:val="bullet"/>
      <w:lvlText w:val="●"/>
      <w:lvlJc w:val="left"/>
      <w:pPr>
        <w:ind w:left="720" w:hanging="360"/>
      </w:pPr>
    </w:lvl>
    <w:lvl w:ilvl="1" w:tplc="EC38CC5E">
      <w:start w:val="1"/>
      <w:numFmt w:val="bullet"/>
      <w:lvlText w:val="○"/>
      <w:lvlJc w:val="left"/>
      <w:pPr>
        <w:ind w:left="1440" w:hanging="360"/>
      </w:pPr>
    </w:lvl>
    <w:lvl w:ilvl="2" w:tplc="F1E0E1EC">
      <w:start w:val="1"/>
      <w:numFmt w:val="bullet"/>
      <w:lvlText w:val="■"/>
      <w:lvlJc w:val="left"/>
      <w:pPr>
        <w:ind w:left="2160" w:hanging="360"/>
      </w:pPr>
    </w:lvl>
    <w:lvl w:ilvl="3" w:tplc="B45EF1BA">
      <w:start w:val="1"/>
      <w:numFmt w:val="bullet"/>
      <w:lvlText w:val="●"/>
      <w:lvlJc w:val="left"/>
      <w:pPr>
        <w:ind w:left="2880" w:hanging="360"/>
      </w:pPr>
    </w:lvl>
    <w:lvl w:ilvl="4" w:tplc="25D82010">
      <w:start w:val="1"/>
      <w:numFmt w:val="bullet"/>
      <w:lvlText w:val="○"/>
      <w:lvlJc w:val="left"/>
      <w:pPr>
        <w:ind w:left="3600" w:hanging="360"/>
      </w:pPr>
    </w:lvl>
    <w:lvl w:ilvl="5" w:tplc="5CF0E784">
      <w:start w:val="1"/>
      <w:numFmt w:val="bullet"/>
      <w:lvlText w:val="■"/>
      <w:lvlJc w:val="left"/>
      <w:pPr>
        <w:ind w:left="4320" w:hanging="360"/>
      </w:pPr>
    </w:lvl>
    <w:lvl w:ilvl="6" w:tplc="6B261716">
      <w:start w:val="1"/>
      <w:numFmt w:val="bullet"/>
      <w:lvlText w:val="●"/>
      <w:lvlJc w:val="left"/>
      <w:pPr>
        <w:ind w:left="5040" w:hanging="360"/>
      </w:pPr>
    </w:lvl>
    <w:lvl w:ilvl="7" w:tplc="22EAD324">
      <w:start w:val="1"/>
      <w:numFmt w:val="bullet"/>
      <w:lvlText w:val="●"/>
      <w:lvlJc w:val="left"/>
      <w:pPr>
        <w:ind w:left="5760" w:hanging="360"/>
      </w:pPr>
    </w:lvl>
    <w:lvl w:ilvl="8" w:tplc="ACFA83EE">
      <w:start w:val="1"/>
      <w:numFmt w:val="bullet"/>
      <w:lvlText w:val="●"/>
      <w:lvlJc w:val="left"/>
      <w:pPr>
        <w:ind w:left="6480" w:hanging="360"/>
      </w:pPr>
    </w:lvl>
  </w:abstractNum>
  <w:abstractNum w:abstractNumId="13" w15:restartNumberingAfterBreak="0">
    <w:nsid w:val="44930F73"/>
    <w:multiLevelType w:val="hybridMultilevel"/>
    <w:tmpl w:val="AEC0A55A"/>
    <w:lvl w:ilvl="0" w:tplc="04070001">
      <w:start w:val="1"/>
      <w:numFmt w:val="bullet"/>
      <w:lvlText w:val=""/>
      <w:lvlJc w:val="left"/>
      <w:pPr>
        <w:ind w:left="1020" w:hanging="360"/>
      </w:pPr>
      <w:rPr>
        <w:rFonts w:ascii="Symbol" w:hAnsi="Symbol" w:hint="default"/>
      </w:rPr>
    </w:lvl>
    <w:lvl w:ilvl="1" w:tplc="04070003" w:tentative="1">
      <w:start w:val="1"/>
      <w:numFmt w:val="bullet"/>
      <w:lvlText w:val="o"/>
      <w:lvlJc w:val="left"/>
      <w:pPr>
        <w:ind w:left="1740" w:hanging="360"/>
      </w:pPr>
      <w:rPr>
        <w:rFonts w:ascii="Courier New" w:hAnsi="Courier New" w:hint="default"/>
      </w:rPr>
    </w:lvl>
    <w:lvl w:ilvl="2" w:tplc="04070005" w:tentative="1">
      <w:start w:val="1"/>
      <w:numFmt w:val="bullet"/>
      <w:lvlText w:val=""/>
      <w:lvlJc w:val="left"/>
      <w:pPr>
        <w:ind w:left="2460" w:hanging="360"/>
      </w:pPr>
      <w:rPr>
        <w:rFonts w:ascii="Wingdings" w:hAnsi="Wingdings" w:hint="default"/>
      </w:rPr>
    </w:lvl>
    <w:lvl w:ilvl="3" w:tplc="04070001" w:tentative="1">
      <w:start w:val="1"/>
      <w:numFmt w:val="bullet"/>
      <w:lvlText w:val=""/>
      <w:lvlJc w:val="left"/>
      <w:pPr>
        <w:ind w:left="3180" w:hanging="360"/>
      </w:pPr>
      <w:rPr>
        <w:rFonts w:ascii="Symbol" w:hAnsi="Symbol" w:hint="default"/>
      </w:rPr>
    </w:lvl>
    <w:lvl w:ilvl="4" w:tplc="04070003" w:tentative="1">
      <w:start w:val="1"/>
      <w:numFmt w:val="bullet"/>
      <w:lvlText w:val="o"/>
      <w:lvlJc w:val="left"/>
      <w:pPr>
        <w:ind w:left="3900" w:hanging="360"/>
      </w:pPr>
      <w:rPr>
        <w:rFonts w:ascii="Courier New" w:hAnsi="Courier New" w:hint="default"/>
      </w:rPr>
    </w:lvl>
    <w:lvl w:ilvl="5" w:tplc="04070005" w:tentative="1">
      <w:start w:val="1"/>
      <w:numFmt w:val="bullet"/>
      <w:lvlText w:val=""/>
      <w:lvlJc w:val="left"/>
      <w:pPr>
        <w:ind w:left="4620" w:hanging="360"/>
      </w:pPr>
      <w:rPr>
        <w:rFonts w:ascii="Wingdings" w:hAnsi="Wingdings" w:hint="default"/>
      </w:rPr>
    </w:lvl>
    <w:lvl w:ilvl="6" w:tplc="04070001" w:tentative="1">
      <w:start w:val="1"/>
      <w:numFmt w:val="bullet"/>
      <w:lvlText w:val=""/>
      <w:lvlJc w:val="left"/>
      <w:pPr>
        <w:ind w:left="5340" w:hanging="360"/>
      </w:pPr>
      <w:rPr>
        <w:rFonts w:ascii="Symbol" w:hAnsi="Symbol" w:hint="default"/>
      </w:rPr>
    </w:lvl>
    <w:lvl w:ilvl="7" w:tplc="04070003" w:tentative="1">
      <w:start w:val="1"/>
      <w:numFmt w:val="bullet"/>
      <w:lvlText w:val="o"/>
      <w:lvlJc w:val="left"/>
      <w:pPr>
        <w:ind w:left="6060" w:hanging="360"/>
      </w:pPr>
      <w:rPr>
        <w:rFonts w:ascii="Courier New" w:hAnsi="Courier New" w:hint="default"/>
      </w:rPr>
    </w:lvl>
    <w:lvl w:ilvl="8" w:tplc="04070005" w:tentative="1">
      <w:start w:val="1"/>
      <w:numFmt w:val="bullet"/>
      <w:lvlText w:val=""/>
      <w:lvlJc w:val="left"/>
      <w:pPr>
        <w:ind w:left="6780" w:hanging="360"/>
      </w:pPr>
      <w:rPr>
        <w:rFonts w:ascii="Wingdings" w:hAnsi="Wingdings" w:hint="default"/>
      </w:rPr>
    </w:lvl>
  </w:abstractNum>
  <w:abstractNum w:abstractNumId="14" w15:restartNumberingAfterBreak="0">
    <w:nsid w:val="45CF4D7F"/>
    <w:multiLevelType w:val="multilevel"/>
    <w:tmpl w:val="90E2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769F0"/>
    <w:multiLevelType w:val="multilevel"/>
    <w:tmpl w:val="CC9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D2313"/>
    <w:multiLevelType w:val="multilevel"/>
    <w:tmpl w:val="79901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DC693F"/>
    <w:multiLevelType w:val="multilevel"/>
    <w:tmpl w:val="BA027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9771BD"/>
    <w:multiLevelType w:val="multilevel"/>
    <w:tmpl w:val="5BE02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9636E2"/>
    <w:multiLevelType w:val="multilevel"/>
    <w:tmpl w:val="9B74245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A606322"/>
    <w:multiLevelType w:val="multilevel"/>
    <w:tmpl w:val="A000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0C47F6"/>
    <w:multiLevelType w:val="hybridMultilevel"/>
    <w:tmpl w:val="B42EDE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5426ED8"/>
    <w:multiLevelType w:val="multilevel"/>
    <w:tmpl w:val="389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F771BD"/>
    <w:multiLevelType w:val="multilevel"/>
    <w:tmpl w:val="488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B741F5"/>
    <w:multiLevelType w:val="multilevel"/>
    <w:tmpl w:val="5176A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A71C9C"/>
    <w:multiLevelType w:val="multilevel"/>
    <w:tmpl w:val="AB94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B7012C"/>
    <w:multiLevelType w:val="hybridMultilevel"/>
    <w:tmpl w:val="3EEC6D46"/>
    <w:lvl w:ilvl="0" w:tplc="AEC07A36">
      <w:start w:val="1"/>
      <w:numFmt w:val="decimal"/>
      <w:lvlText w:val="%1)"/>
      <w:lvlJc w:val="left"/>
      <w:pPr>
        <w:ind w:left="600" w:hanging="300"/>
      </w:pPr>
    </w:lvl>
    <w:lvl w:ilvl="1" w:tplc="061A7122">
      <w:numFmt w:val="decimal"/>
      <w:lvlText w:val=""/>
      <w:lvlJc w:val="left"/>
    </w:lvl>
    <w:lvl w:ilvl="2" w:tplc="AC48E014">
      <w:numFmt w:val="decimal"/>
      <w:lvlText w:val=""/>
      <w:lvlJc w:val="left"/>
    </w:lvl>
    <w:lvl w:ilvl="3" w:tplc="0D04A5A2">
      <w:numFmt w:val="decimal"/>
      <w:lvlText w:val=""/>
      <w:lvlJc w:val="left"/>
    </w:lvl>
    <w:lvl w:ilvl="4" w:tplc="DE5E4CBA">
      <w:numFmt w:val="decimal"/>
      <w:lvlText w:val=""/>
      <w:lvlJc w:val="left"/>
    </w:lvl>
    <w:lvl w:ilvl="5" w:tplc="0682286E">
      <w:numFmt w:val="decimal"/>
      <w:lvlText w:val=""/>
      <w:lvlJc w:val="left"/>
    </w:lvl>
    <w:lvl w:ilvl="6" w:tplc="7DF81B70">
      <w:numFmt w:val="decimal"/>
      <w:lvlText w:val=""/>
      <w:lvlJc w:val="left"/>
    </w:lvl>
    <w:lvl w:ilvl="7" w:tplc="076E5146">
      <w:numFmt w:val="decimal"/>
      <w:lvlText w:val=""/>
      <w:lvlJc w:val="left"/>
    </w:lvl>
    <w:lvl w:ilvl="8" w:tplc="64C8DD18">
      <w:numFmt w:val="decimal"/>
      <w:lvlText w:val=""/>
      <w:lvlJc w:val="left"/>
    </w:lvl>
  </w:abstractNum>
  <w:abstractNum w:abstractNumId="27" w15:restartNumberingAfterBreak="0">
    <w:nsid w:val="6E8E1EBD"/>
    <w:multiLevelType w:val="multilevel"/>
    <w:tmpl w:val="F538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9A03D7"/>
    <w:multiLevelType w:val="multilevel"/>
    <w:tmpl w:val="F104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0A787F"/>
    <w:multiLevelType w:val="multilevel"/>
    <w:tmpl w:val="D66E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5635328">
    <w:abstractNumId w:val="12"/>
    <w:lvlOverride w:ilvl="0">
      <w:startOverride w:val="1"/>
    </w:lvlOverride>
  </w:num>
  <w:num w:numId="2" w16cid:durableId="349835394">
    <w:abstractNumId w:val="10"/>
  </w:num>
  <w:num w:numId="3" w16cid:durableId="1669602408">
    <w:abstractNumId w:val="26"/>
    <w:lvlOverride w:ilvl="0">
      <w:startOverride w:val="1"/>
    </w:lvlOverride>
  </w:num>
  <w:num w:numId="4" w16cid:durableId="420756678">
    <w:abstractNumId w:val="0"/>
  </w:num>
  <w:num w:numId="5" w16cid:durableId="621688741">
    <w:abstractNumId w:val="24"/>
  </w:num>
  <w:num w:numId="6" w16cid:durableId="1430395259">
    <w:abstractNumId w:val="1"/>
  </w:num>
  <w:num w:numId="7" w16cid:durableId="1988627384">
    <w:abstractNumId w:val="16"/>
  </w:num>
  <w:num w:numId="8" w16cid:durableId="1538738295">
    <w:abstractNumId w:val="18"/>
  </w:num>
  <w:num w:numId="9" w16cid:durableId="1737237080">
    <w:abstractNumId w:val="4"/>
  </w:num>
  <w:num w:numId="10" w16cid:durableId="1981760947">
    <w:abstractNumId w:val="17"/>
  </w:num>
  <w:num w:numId="11" w16cid:durableId="270094132">
    <w:abstractNumId w:val="8"/>
  </w:num>
  <w:num w:numId="12" w16cid:durableId="358626146">
    <w:abstractNumId w:val="7"/>
  </w:num>
  <w:num w:numId="13" w16cid:durableId="1782610302">
    <w:abstractNumId w:val="29"/>
  </w:num>
  <w:num w:numId="14" w16cid:durableId="77949184">
    <w:abstractNumId w:val="9"/>
  </w:num>
  <w:num w:numId="15" w16cid:durableId="1969972335">
    <w:abstractNumId w:val="6"/>
  </w:num>
  <w:num w:numId="16" w16cid:durableId="598441321">
    <w:abstractNumId w:val="3"/>
  </w:num>
  <w:num w:numId="17" w16cid:durableId="1967806735">
    <w:abstractNumId w:val="21"/>
  </w:num>
  <w:num w:numId="18" w16cid:durableId="2034188378">
    <w:abstractNumId w:val="19"/>
  </w:num>
  <w:num w:numId="19" w16cid:durableId="1848403963">
    <w:abstractNumId w:val="23"/>
  </w:num>
  <w:num w:numId="20" w16cid:durableId="187258547">
    <w:abstractNumId w:val="28"/>
  </w:num>
  <w:num w:numId="21" w16cid:durableId="1656060868">
    <w:abstractNumId w:val="22"/>
  </w:num>
  <w:num w:numId="22" w16cid:durableId="850683863">
    <w:abstractNumId w:val="14"/>
  </w:num>
  <w:num w:numId="23" w16cid:durableId="905996642">
    <w:abstractNumId w:val="2"/>
  </w:num>
  <w:num w:numId="24" w16cid:durableId="1423717310">
    <w:abstractNumId w:val="11"/>
  </w:num>
  <w:num w:numId="25" w16cid:durableId="770466733">
    <w:abstractNumId w:val="15"/>
  </w:num>
  <w:num w:numId="26" w16cid:durableId="2025396362">
    <w:abstractNumId w:val="27"/>
  </w:num>
  <w:num w:numId="27" w16cid:durableId="385494671">
    <w:abstractNumId w:val="20"/>
  </w:num>
  <w:num w:numId="28" w16cid:durableId="1276598625">
    <w:abstractNumId w:val="25"/>
  </w:num>
  <w:num w:numId="29" w16cid:durableId="262422798">
    <w:abstractNumId w:val="5"/>
  </w:num>
  <w:num w:numId="30" w16cid:durableId="1088112486">
    <w:abstractNumId w:val="13"/>
  </w:num>
  <w:num w:numId="31" w16cid:durableId="4809300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E7F"/>
    <w:rsid w:val="003E5E7F"/>
    <w:rsid w:val="004B4261"/>
    <w:rsid w:val="006B6D51"/>
    <w:rsid w:val="0075447C"/>
    <w:rsid w:val="00AD0BB0"/>
    <w:rsid w:val="00BB2FC9"/>
    <w:rsid w:val="00C01674"/>
    <w:rsid w:val="00C85447"/>
    <w:rsid w:val="00E372DA"/>
    <w:rsid w:val="00F25AD8"/>
    <w:rsid w:val="00FB66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3100C"/>
  <w15:docId w15:val="{E1FB9910-1E35-494B-8457-B415B4B57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80" w:after="160"/>
      <w:outlineLvl w:val="0"/>
    </w:pPr>
    <w:rPr>
      <w:b/>
      <w:bCs/>
      <w:color w:val="1F3864"/>
      <w:sz w:val="30"/>
      <w:szCs w:val="30"/>
    </w:rPr>
  </w:style>
  <w:style w:type="paragraph" w:styleId="berschrift2">
    <w:name w:val="heading 2"/>
    <w:uiPriority w:val="9"/>
    <w:unhideWhenUsed/>
    <w:qFormat/>
    <w:pPr>
      <w:spacing w:before="200" w:after="120"/>
      <w:outlineLvl w:val="1"/>
    </w:pPr>
    <w:rPr>
      <w:b/>
      <w:bCs/>
      <w:color w:val="2E5496"/>
      <w:sz w:val="26"/>
      <w:szCs w:val="26"/>
    </w:rPr>
  </w:style>
  <w:style w:type="paragraph" w:styleId="berschrift3">
    <w:name w:val="heading 3"/>
    <w:uiPriority w:val="9"/>
    <w:unhideWhenUsed/>
    <w:qFormat/>
    <w:pPr>
      <w:spacing w:before="160" w:after="100"/>
      <w:outlineLvl w:val="2"/>
    </w:pPr>
    <w:rPr>
      <w:b/>
      <w:bCs/>
      <w:color w:val="2E5496"/>
      <w:sz w:val="23"/>
      <w:szCs w:val="23"/>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C85447"/>
    <w:pPr>
      <w:spacing w:after="100"/>
    </w:pPr>
  </w:style>
  <w:style w:type="paragraph" w:styleId="Verzeichnis2">
    <w:name w:val="toc 2"/>
    <w:basedOn w:val="Standard"/>
    <w:next w:val="Standard"/>
    <w:autoRedefine/>
    <w:uiPriority w:val="39"/>
    <w:unhideWhenUsed/>
    <w:rsid w:val="00C85447"/>
    <w:pPr>
      <w:spacing w:after="100"/>
      <w:ind w:left="220"/>
    </w:pPr>
  </w:style>
  <w:style w:type="paragraph" w:styleId="Verzeichnis3">
    <w:name w:val="toc 3"/>
    <w:basedOn w:val="Standard"/>
    <w:next w:val="Standard"/>
    <w:autoRedefine/>
    <w:uiPriority w:val="39"/>
    <w:unhideWhenUsed/>
    <w:rsid w:val="00C85447"/>
    <w:pPr>
      <w:spacing w:after="100"/>
      <w:ind w:left="440"/>
    </w:pPr>
  </w:style>
  <w:style w:type="paragraph" w:styleId="StandardWeb">
    <w:name w:val="Normal (Web)"/>
    <w:basedOn w:val="Standard"/>
    <w:uiPriority w:val="99"/>
    <w:unhideWhenUsed/>
    <w:rsid w:val="00C01674"/>
    <w:rPr>
      <w:rFonts w:ascii="Times New Roman" w:hAnsi="Times New Roman" w:cs="Times New Roman"/>
      <w:sz w:val="24"/>
      <w:szCs w:val="24"/>
    </w:rPr>
  </w:style>
  <w:style w:type="character" w:styleId="NichtaufgelsteErwhnung">
    <w:name w:val="Unresolved Mention"/>
    <w:basedOn w:val="Absatz-Standardschriftart"/>
    <w:uiPriority w:val="99"/>
    <w:semiHidden/>
    <w:unhideWhenUsed/>
    <w:rsid w:val="00C01674"/>
    <w:rPr>
      <w:color w:val="605E5C"/>
      <w:shd w:val="clear" w:color="auto" w:fill="E1DFDD"/>
    </w:rPr>
  </w:style>
  <w:style w:type="paragraph" w:styleId="Kopfzeile">
    <w:name w:val="header"/>
    <w:basedOn w:val="Standard"/>
    <w:link w:val="KopfzeileZchn"/>
    <w:uiPriority w:val="99"/>
    <w:unhideWhenUsed/>
    <w:rsid w:val="00C01674"/>
    <w:pPr>
      <w:tabs>
        <w:tab w:val="center" w:pos="4536"/>
        <w:tab w:val="right" w:pos="9072"/>
      </w:tabs>
    </w:pPr>
  </w:style>
  <w:style w:type="character" w:customStyle="1" w:styleId="KopfzeileZchn">
    <w:name w:val="Kopfzeile Zchn"/>
    <w:basedOn w:val="Absatz-Standardschriftart"/>
    <w:link w:val="Kopfzeile"/>
    <w:uiPriority w:val="99"/>
    <w:rsid w:val="00C01674"/>
  </w:style>
  <w:style w:type="paragraph" w:styleId="Fuzeile">
    <w:name w:val="footer"/>
    <w:basedOn w:val="Standard"/>
    <w:link w:val="FuzeileZchn"/>
    <w:uiPriority w:val="99"/>
    <w:unhideWhenUsed/>
    <w:rsid w:val="00C01674"/>
    <w:pPr>
      <w:tabs>
        <w:tab w:val="center" w:pos="4536"/>
        <w:tab w:val="right" w:pos="9072"/>
      </w:tabs>
    </w:pPr>
  </w:style>
  <w:style w:type="character" w:customStyle="1" w:styleId="FuzeileZchn">
    <w:name w:val="Fußzeile Zchn"/>
    <w:basedOn w:val="Absatz-Standardschriftart"/>
    <w:link w:val="Fuzeile"/>
    <w:uiPriority w:val="99"/>
    <w:rsid w:val="00C01674"/>
  </w:style>
  <w:style w:type="character" w:styleId="BesuchterLink">
    <w:name w:val="FollowedHyperlink"/>
    <w:basedOn w:val="Absatz-Standardschriftart"/>
    <w:uiPriority w:val="99"/>
    <w:semiHidden/>
    <w:unhideWhenUsed/>
    <w:rsid w:val="00C016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bosch-smarthome.com/de/de/terms-and-conditions/system/" TargetMode="External"/><Relationship Id="rId18" Type="http://schemas.openxmlformats.org/officeDocument/2006/relationships/hyperlink" Target="https://www.bosch-smarthome.com/privacy-statement/" TargetMode="External"/><Relationship Id="rId26" Type="http://schemas.openxmlformats.org/officeDocument/2006/relationships/hyperlink" Target="https://www.somfy.fr/informations-legales" TargetMode="External"/><Relationship Id="rId21" Type="http://schemas.openxmlformats.org/officeDocument/2006/relationships/hyperlink" Target="https://www.philips-hue.com/nl-nl/support/legal/doc" TargetMode="External"/><Relationship Id="rId34" Type="http://schemas.openxmlformats.org/officeDocument/2006/relationships/hyperlink" Target="https://www.gewiss.com/it/it/about-gewiss/privacy-policy" TargetMode="External"/><Relationship Id="rId7" Type="http://schemas.openxmlformats.org/officeDocument/2006/relationships/hyperlink" Target="https://www.zotero.org/google-docs/?GfKEBb" TargetMode="External"/><Relationship Id="rId12" Type="http://schemas.openxmlformats.org/officeDocument/2006/relationships/hyperlink" Target="https://www.bosch-smarthome.com/de/de/produkte/sicherheit/alarmsystem?preselectedProduct=8750003291" TargetMode="External"/><Relationship Id="rId17" Type="http://schemas.openxmlformats.org/officeDocument/2006/relationships/hyperlink" Target="https://www.bosch-smarthome.com/de/de/eu-data-act/" TargetMode="External"/><Relationship Id="rId25" Type="http://schemas.openxmlformats.org/officeDocument/2006/relationships/hyperlink" Target="https://www.somfy.fr/produits/1870595/tahoma-switch-la-box-domotique-pour-piloter-votre-logement-connecte?int_content=lp_confort_pdp&amp;int_source=site&amp;int_campaign=fr_b2c_tahomaunclock_2026" TargetMode="External"/><Relationship Id="rId33" Type="http://schemas.openxmlformats.org/officeDocument/2006/relationships/hyperlink" Target="https://www.gewiss.com/it/it/about-gewiss/condizioni-generali-di-vendita" TargetMode="External"/><Relationship Id="rId2" Type="http://schemas.openxmlformats.org/officeDocument/2006/relationships/styles" Target="styles.xml"/><Relationship Id="rId16" Type="http://schemas.openxmlformats.org/officeDocument/2006/relationships/hyperlink" Target="https://www.bosch-smarthome.com/de/de/datenschutzhinweise/" TargetMode="External"/><Relationship Id="rId20" Type="http://schemas.openxmlformats.org/officeDocument/2006/relationships/hyperlink" Target="https://www.philips-hue.com/nl-nl/p/secure-bedrade-secure-2k-camera/8721103045027" TargetMode="External"/><Relationship Id="rId29" Type="http://schemas.openxmlformats.org/officeDocument/2006/relationships/hyperlink" Target="https://www.somfy.fr/a-propos-de-somfy/vie-prive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hilips-hue.com/nl-nl/support/legal/data-notice" TargetMode="External"/><Relationship Id="rId24" Type="http://schemas.openxmlformats.org/officeDocument/2006/relationships/hyperlink" Target="https://www.philips-hue.com/nl-nl/explore-hue/faq" TargetMode="External"/><Relationship Id="rId32" Type="http://schemas.openxmlformats.org/officeDocument/2006/relationships/hyperlink" Target="https://www.gewiss.com/it/it/about-gewiss/legal"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bosch-smarthome.com/de/de/terms-and-conditions/camera/" TargetMode="External"/><Relationship Id="rId23" Type="http://schemas.openxmlformats.org/officeDocument/2006/relationships/hyperlink" Target="https://www.philips-hue.com/nl-nl/support/legal/privacy-policy" TargetMode="External"/><Relationship Id="rId28" Type="http://schemas.openxmlformats.org/officeDocument/2006/relationships/hyperlink" Target="https://www.somfy.fr/protection-des-donnees-personnelles" TargetMode="External"/><Relationship Id="rId36" Type="http://schemas.openxmlformats.org/officeDocument/2006/relationships/fontTable" Target="fontTable.xml"/><Relationship Id="rId10" Type="http://schemas.openxmlformats.org/officeDocument/2006/relationships/hyperlink" Target="https://idp-coll.gewiss.com/tec/privacy-fe-it.html" TargetMode="External"/><Relationship Id="rId19" Type="http://schemas.openxmlformats.org/officeDocument/2006/relationships/hyperlink" Target="https://www.bosch-smarthome.com/de/de/support/hilfe/hilfe-zum-produkt/" TargetMode="External"/><Relationship Id="rId31" Type="http://schemas.openxmlformats.org/officeDocument/2006/relationships/hyperlink" Target="https://www.gewiss.com/it/it/prodotti/product.1000000.1008169.GW10840" TargetMode="External"/><Relationship Id="rId4" Type="http://schemas.openxmlformats.org/officeDocument/2006/relationships/webSettings" Target="webSettings.xml"/><Relationship Id="rId9" Type="http://schemas.openxmlformats.org/officeDocument/2006/relationships/hyperlink" Target="mailto:dpo@pec.gewiss.com" TargetMode="External"/><Relationship Id="rId14" Type="http://schemas.openxmlformats.org/officeDocument/2006/relationships/hyperlink" Target="https://www.bosch-smarthome.com/de/de/terms-and-conditions/website/" TargetMode="External"/><Relationship Id="rId22" Type="http://schemas.openxmlformats.org/officeDocument/2006/relationships/hyperlink" Target="https://www.philips-hue.com/nl-nl/support/legal/product-terms-of-use" TargetMode="External"/><Relationship Id="rId27" Type="http://schemas.openxmlformats.org/officeDocument/2006/relationships/hyperlink" Target="https://www.somfy.fr/conditions-generales" TargetMode="External"/><Relationship Id="rId30" Type="http://schemas.openxmlformats.org/officeDocument/2006/relationships/hyperlink" Target="https://www.somfy.fr/produits/1870595/tahoma-switch-la-box-domotique-pour-piloter-votre-logement-connecte?int_content=lp_confort_pdp&amp;int_source=site&amp;int_campaign=fr_b2c_tahomaunclock_2026" TargetMode="External"/><Relationship Id="rId35" Type="http://schemas.openxmlformats.org/officeDocument/2006/relationships/footer" Target="footer1.xml"/><Relationship Id="rId8" Type="http://schemas.openxmlformats.org/officeDocument/2006/relationships/hyperlink" Target="https://www.somfy.fr/a-propos-de-somfy/vie-privee" TargetMode="Externa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11335</Words>
  <Characters>71417</Characters>
  <Application>Microsoft Office Word</Application>
  <DocSecurity>0</DocSecurity>
  <Lines>595</Lines>
  <Paragraphs>165</Paragraphs>
  <ScaleCrop>false</ScaleCrop>
  <Company/>
  <LinksUpToDate>false</LinksUpToDate>
  <CharactersWithSpaces>82587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Rivaldo Demlabing</cp:lastModifiedBy>
  <cp:revision>5</cp:revision>
  <dcterms:created xsi:type="dcterms:W3CDTF">2026-06-12T01:44:00Z</dcterms:created>
  <dcterms:modified xsi:type="dcterms:W3CDTF">2026-06-13T15:08:00Z</dcterms:modified>
</cp:coreProperties>
</file>