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UNIVERSIDAD DE LOS ANDES</w:t>
      </w:r>
    </w:p>
    <w:p>
      <w:pPr>
        <w:jc w:val="center"/>
      </w:pPr>
      <w:r>
        <w:rPr>
          <w:rFonts w:ascii="Times New Roman" w:hAnsi="Times New Roman"/>
          <w:b/>
          <w:i w:val="0"/>
          <w:sz w:val="28"/>
        </w:rPr>
        <w:t>FACULTAD DE INGENIERÍA Y TECNOLOGÍA</w:t>
      </w:r>
    </w:p>
    <w:p/>
    <w:p/>
    <w:p/>
    <w:p/>
    <w:p>
      <w:pPr>
        <w:jc w:val="center"/>
      </w:pPr>
      <w:r>
        <w:rPr>
          <w:rFonts w:ascii="Times New Roman" w:hAnsi="Times New Roman"/>
          <w:b/>
          <w:i w:val="0"/>
          <w:sz w:val="28"/>
        </w:rPr>
        <w:t>“Sistema de Gestión y Automatización de Registro de Becarios (UNANDES)”</w:t>
      </w:r>
    </w:p>
    <w:p/>
    <w:p/>
    <w:p/>
    <w:p>
      <w:pPr>
        <w:jc w:val="center"/>
      </w:pPr>
      <w:r>
        <w:rPr>
          <w:rFonts w:ascii="Times New Roman" w:hAnsi="Times New Roman"/>
          <w:b w:val="0"/>
          <w:i w:val="0"/>
          <w:sz w:val="24"/>
        </w:rPr>
        <w:t>Materia: [NOMBRE DE LA MATERIA]</w:t>
      </w:r>
    </w:p>
    <w:p>
      <w:pPr>
        <w:jc w:val="center"/>
      </w:pPr>
      <w:r>
        <w:rPr>
          <w:rFonts w:ascii="Times New Roman" w:hAnsi="Times New Roman"/>
          <w:b w:val="0"/>
          <w:i w:val="0"/>
          <w:sz w:val="24"/>
        </w:rPr>
        <w:t>Tutor (Docente): [NOMBRE DEL DOCENTE]</w:t>
      </w:r>
    </w:p>
    <w:p>
      <w:pPr>
        <w:jc w:val="center"/>
      </w:pPr>
      <w:r>
        <w:rPr>
          <w:rFonts w:ascii="Times New Roman" w:hAnsi="Times New Roman"/>
          <w:b/>
          <w:i w:val="0"/>
          <w:sz w:val="24"/>
        </w:rPr>
        <w:t>Integrantes:</w:t>
      </w:r>
    </w:p>
    <w:p>
      <w:pPr>
        <w:jc w:val="center"/>
      </w:pPr>
      <w:r>
        <w:rPr>
          <w:rFonts w:ascii="Times New Roman" w:hAnsi="Times New Roman"/>
          <w:b w:val="0"/>
          <w:i w:val="0"/>
          <w:sz w:val="24"/>
        </w:rPr>
        <w:t>- [Nombre completo integrante 1] (Coordinador del equipo)</w:t>
      </w:r>
    </w:p>
    <w:p>
      <w:pPr>
        <w:jc w:val="center"/>
      </w:pPr>
      <w:r>
        <w:rPr>
          <w:rFonts w:ascii="Times New Roman" w:hAnsi="Times New Roman"/>
          <w:b w:val="0"/>
          <w:i w:val="0"/>
          <w:sz w:val="24"/>
        </w:rPr>
        <w:t>- [Nombre completo integrante 2]</w:t>
      </w:r>
    </w:p>
    <w:p>
      <w:pPr>
        <w:jc w:val="center"/>
      </w:pPr>
      <w:r>
        <w:rPr>
          <w:rFonts w:ascii="Times New Roman" w:hAnsi="Times New Roman"/>
          <w:b w:val="0"/>
          <w:i w:val="0"/>
          <w:sz w:val="24"/>
        </w:rPr>
        <w:t>- [Nombre completo integrante 3 / agregar según corresponda]</w:t>
      </w:r>
    </w:p>
    <w:p/>
    <w:p>
      <w:pPr>
        <w:jc w:val="center"/>
      </w:pPr>
      <w:r>
        <w:rPr>
          <w:rFonts w:ascii="Times New Roman" w:hAnsi="Times New Roman"/>
          <w:b w:val="0"/>
          <w:i w:val="0"/>
          <w:sz w:val="24"/>
        </w:rPr>
        <w:t>La Paz, Bolivia</w:t>
      </w:r>
    </w:p>
    <w:p>
      <w:pPr>
        <w:jc w:val="center"/>
      </w:pPr>
      <w:r>
        <w:rPr>
          <w:rFonts w:ascii="Times New Roman" w:hAnsi="Times New Roman"/>
          <w:b w:val="0"/>
          <w:i w:val="0"/>
          <w:sz w:val="24"/>
        </w:rPr>
        <w:t>20 de septiembre de 2026</w:t>
      </w:r>
    </w:p>
    <w:p>
      <w:r>
        <w:rPr>
          <w:rFonts w:ascii="Times New Roman" w:hAnsi="Times New Roman"/>
          <w:b/>
          <w:i w:val="0"/>
          <w:sz w:val="28"/>
        </w:rPr>
        <w:t>Contenido del informe</w:t>
      </w:r>
    </w:p>
    <w:p>
      <w:pPr>
        <w:pStyle w:val="ListBullet"/>
        <w:jc w:val="both"/>
      </w:pPr>
      <w:r>
        <w:rPr>
          <w:rFonts w:ascii="Times New Roman" w:hAnsi="Times New Roman"/>
          <w:b w:val="0"/>
          <w:i w:val="0"/>
          <w:sz w:val="24"/>
        </w:rPr>
        <w:t>1. Introducción</w:t>
      </w:r>
    </w:p>
    <w:p>
      <w:pPr>
        <w:pStyle w:val="ListBullet"/>
        <w:jc w:val="both"/>
      </w:pPr>
      <w:r>
        <w:rPr>
          <w:rFonts w:ascii="Times New Roman" w:hAnsi="Times New Roman"/>
          <w:b w:val="0"/>
          <w:i w:val="0"/>
          <w:sz w:val="24"/>
        </w:rPr>
        <w:t>2. Planteamiento del problema</w:t>
      </w:r>
    </w:p>
    <w:p>
      <w:pPr>
        <w:pStyle w:val="ListBullet"/>
        <w:jc w:val="both"/>
      </w:pPr>
      <w:r>
        <w:rPr>
          <w:rFonts w:ascii="Times New Roman" w:hAnsi="Times New Roman"/>
          <w:b w:val="0"/>
          <w:i w:val="0"/>
          <w:sz w:val="24"/>
        </w:rPr>
        <w:t>3. Objetivos</w:t>
      </w:r>
    </w:p>
    <w:p>
      <w:pPr>
        <w:pStyle w:val="ListBullet"/>
        <w:jc w:val="both"/>
      </w:pPr>
      <w:r>
        <w:rPr>
          <w:rFonts w:ascii="Times New Roman" w:hAnsi="Times New Roman"/>
          <w:b w:val="0"/>
          <w:i w:val="0"/>
          <w:sz w:val="24"/>
        </w:rPr>
        <w:t>4. Justificación</w:t>
      </w:r>
    </w:p>
    <w:p>
      <w:pPr>
        <w:pStyle w:val="ListBullet"/>
        <w:jc w:val="both"/>
      </w:pPr>
      <w:r>
        <w:rPr>
          <w:rFonts w:ascii="Times New Roman" w:hAnsi="Times New Roman"/>
          <w:b w:val="0"/>
          <w:i w:val="0"/>
          <w:sz w:val="24"/>
        </w:rPr>
        <w:t>5. Metodología y técnicas de investigación</w:t>
      </w:r>
    </w:p>
    <w:p>
      <w:pPr>
        <w:pStyle w:val="ListBullet"/>
        <w:jc w:val="both"/>
      </w:pPr>
      <w:r>
        <w:rPr>
          <w:rFonts w:ascii="Times New Roman" w:hAnsi="Times New Roman"/>
          <w:b w:val="0"/>
          <w:i w:val="0"/>
          <w:sz w:val="24"/>
        </w:rPr>
        <w:t>6. Recursos humanos y materiales</w:t>
      </w:r>
    </w:p>
    <w:p>
      <w:pPr>
        <w:pStyle w:val="ListBullet"/>
        <w:jc w:val="both"/>
      </w:pPr>
      <w:r>
        <w:rPr>
          <w:rFonts w:ascii="Times New Roman" w:hAnsi="Times New Roman"/>
          <w:b w:val="0"/>
          <w:i w:val="0"/>
          <w:sz w:val="24"/>
        </w:rPr>
        <w:t>7. Pruebas de testeo y validación</w:t>
      </w:r>
    </w:p>
    <w:p>
      <w:pPr>
        <w:pStyle w:val="ListBullet"/>
        <w:jc w:val="both"/>
      </w:pPr>
      <w:r>
        <w:rPr>
          <w:rFonts w:ascii="Times New Roman" w:hAnsi="Times New Roman"/>
          <w:b w:val="0"/>
          <w:i w:val="0"/>
          <w:sz w:val="24"/>
        </w:rPr>
        <w:t>8. Conclusiones</w:t>
      </w:r>
    </w:p>
    <w:p>
      <w:pPr>
        <w:pStyle w:val="ListBullet"/>
        <w:jc w:val="both"/>
      </w:pPr>
      <w:r>
        <w:rPr>
          <w:rFonts w:ascii="Times New Roman" w:hAnsi="Times New Roman"/>
          <w:b w:val="0"/>
          <w:i w:val="0"/>
          <w:sz w:val="24"/>
        </w:rPr>
        <w:t>9. Bibliografía (formato APA)</w:t>
      </w:r>
    </w:p>
    <w:p>
      <w:pPr>
        <w:pStyle w:val="ListBullet"/>
        <w:jc w:val="both"/>
      </w:pPr>
      <w:r>
        <w:rPr>
          <w:rFonts w:ascii="Times New Roman" w:hAnsi="Times New Roman"/>
          <w:b w:val="0"/>
          <w:i w:val="0"/>
          <w:sz w:val="24"/>
        </w:rPr>
        <w:t>10. Anexos</w:t>
      </w:r>
    </w:p>
    <w:p>
      <w:r>
        <w:rPr>
          <w:rFonts w:ascii="Times New Roman" w:hAnsi="Times New Roman"/>
          <w:b/>
          <w:i w:val="0"/>
          <w:sz w:val="28"/>
        </w:rPr>
        <w:t>1. Introducción</w:t>
      </w:r>
    </w:p>
    <w:p>
      <w:pPr>
        <w:jc w:val="both"/>
      </w:pPr>
      <w:r>
        <w:rPr>
          <w:rFonts w:ascii="Times New Roman" w:hAnsi="Times New Roman"/>
          <w:b w:val="0"/>
          <w:i w:val="0"/>
          <w:sz w:val="24"/>
        </w:rPr>
        <w:t>El presente informe documenta el desarrollo de un sistema de gestión y automatización de procesos administrativos para el área de becas de la Universidad de Los Andes (UNANDES). El proyecto surge de la necesidad de digitalizar y agilizar tareas que hasta el momento se realizaban de forma manual, propensa a errores y consumidora de tiempo administrativo, particularmente el registro de datos de estudiantes becarios, el seguimiento de requisitos de renovación y la elaboración de actas oficiales del Comité de Becas.</w:t>
      </w:r>
    </w:p>
    <w:p>
      <w:pPr>
        <w:jc w:val="both"/>
      </w:pPr>
      <w:r>
        <w:rPr>
          <w:rFonts w:ascii="Times New Roman" w:hAnsi="Times New Roman"/>
          <w:b w:val="0"/>
          <w:i w:val="0"/>
          <w:sz w:val="24"/>
        </w:rPr>
        <w:t>El trabajo se enmarca dentro del componente práctico exigido por la materia, incorporando una base de datos relacional como núcleo del sistema, junto con una interfaz de escritorio funcional, mecanismos de generación automática de documentos oficiales y controles de calidad de datos mediante alertas visuales. A lo largo del documento se detalla el problema identificado, los objetivos planteados, la metodología aplicada y las pruebas realizadas para validar el correcto funcionamiento del sistema.</w:t>
      </w:r>
    </w:p>
    <w:p>
      <w:pPr>
        <w:jc w:val="both"/>
      </w:pPr>
      <w:r>
        <w:rPr>
          <w:rFonts w:ascii="Times New Roman" w:hAnsi="Times New Roman"/>
          <w:b w:val="0"/>
          <w:i w:val="0"/>
          <w:sz w:val="24"/>
        </w:rPr>
        <w:t>El desarrollo se llevó a cabo de forma iterativa, aplicando ciclos cortos de implementación, prueba y corrección, lo que permitió detectar y resolver oportunamente limitaciones técnicas (como las asociadas al reconocimiento óptico de caracteres en escritura manuscrita) y ajustar el alcance del sistema a una versión funcional, estable y de uso inmediato para el personal encargado.</w:t>
      </w:r>
    </w:p>
    <w:p>
      <w:r>
        <w:rPr>
          <w:rFonts w:ascii="Times New Roman" w:hAnsi="Times New Roman"/>
          <w:b/>
          <w:i w:val="0"/>
          <w:sz w:val="28"/>
        </w:rPr>
        <w:t>2. Planteamiento del problema</w:t>
      </w:r>
    </w:p>
    <w:p>
      <w:r>
        <w:rPr>
          <w:rFonts w:ascii="Times New Roman" w:hAnsi="Times New Roman"/>
          <w:b/>
          <w:i w:val="0"/>
          <w:sz w:val="24"/>
        </w:rPr>
        <w:t>a) Identificación del problema</w:t>
      </w:r>
    </w:p>
    <w:p>
      <w:pPr>
        <w:jc w:val="both"/>
      </w:pPr>
      <w:r>
        <w:rPr>
          <w:rFonts w:ascii="Times New Roman" w:hAnsi="Times New Roman"/>
          <w:b w:val="0"/>
          <w:i w:val="0"/>
          <w:sz w:val="24"/>
        </w:rPr>
        <w:t>La gestión de becarios en UNANDES se realizaba mediante registros manuales dispersos, sin un sistema centralizado que permitiera consultar de forma rápida el estado de cada estudiante (documentación entregada, horas becarias cumplidas, situación de renovación, etc.). Esto generaba tres problemas concretos: (1) dificultad para identificar a tiempo a los estudiantes que no cumplían con los requisitos de renovación antes de una fecha límite; (2) tiempo excesivo invertido en la elaboración manual de las actas del Comité de Becas, que exigen agrupar y tabular a decenas de estudiantes por categoría de beca; y (3) riesgo de pérdida o inconsistencia de información al depender de registros no estructurados.</w:t>
      </w:r>
    </w:p>
    <w:p>
      <w:r>
        <w:rPr>
          <w:rFonts w:ascii="Times New Roman" w:hAnsi="Times New Roman"/>
          <w:b/>
          <w:i w:val="0"/>
          <w:sz w:val="24"/>
        </w:rPr>
        <w:t>b) Representación gráfica del problema</w:t>
      </w:r>
    </w:p>
    <w:p>
      <w:pPr>
        <w:jc w:val="both"/>
      </w:pPr>
      <w:r>
        <w:rPr>
          <w:rFonts w:ascii="Times New Roman" w:hAnsi="Times New Roman"/>
          <w:b w:val="0"/>
          <w:i w:val="0"/>
          <w:sz w:val="24"/>
        </w:rPr>
        <w:t>El siguiente cuadro compara el proceso administrativo antes y después de la implementación del sistema:</w:t>
      </w:r>
    </w:p>
    <w:tbl>
      <w:tblPr>
        <w:tblStyle w:val="TableGrid"/>
        <w:tblW w:type="auto" w:w="0"/>
        <w:tblLook w:firstColumn="1" w:firstRow="1" w:lastColumn="0" w:lastRow="0" w:noHBand="0" w:noVBand="1" w:val="04A0"/>
      </w:tblPr>
      <w:tblGrid>
        <w:gridCol w:w="4135"/>
        <w:gridCol w:w="4135"/>
      </w:tblGrid>
      <w:tr>
        <w:tc>
          <w:tcPr>
            <w:tcW w:type="dxa" w:w="3969"/>
          </w:tcPr>
          <w:p>
            <w:r/>
            <w:r>
              <w:rPr>
                <w:rFonts w:ascii="Times New Roman" w:hAnsi="Times New Roman"/>
                <w:b/>
                <w:i w:val="0"/>
                <w:sz w:val="20"/>
              </w:rPr>
              <w:t>ANTES del sistema (proceso manual)</w:t>
            </w:r>
          </w:p>
        </w:tc>
        <w:tc>
          <w:tcPr>
            <w:tcW w:type="dxa" w:w="3969"/>
          </w:tcPr>
          <w:p>
            <w:r/>
            <w:r>
              <w:rPr>
                <w:rFonts w:ascii="Times New Roman" w:hAnsi="Times New Roman"/>
                <w:b/>
                <w:i w:val="0"/>
                <w:sz w:val="20"/>
              </w:rPr>
              <w:t>DESPUÉS del sistema (proceso automatizado)</w:t>
            </w:r>
          </w:p>
        </w:tc>
      </w:tr>
      <w:tr>
        <w:tc>
          <w:tcPr>
            <w:tcW w:type="dxa" w:w="3969"/>
          </w:tcPr>
          <w:p>
            <w:r/>
            <w:r>
              <w:rPr>
                <w:rFonts w:ascii="Times New Roman" w:hAnsi="Times New Roman"/>
                <w:b w:val="0"/>
                <w:i w:val="0"/>
                <w:sz w:val="20"/>
              </w:rPr>
              <w:t>1. Registro manual y disperso de los datos de cada becario.</w:t>
            </w:r>
          </w:p>
        </w:tc>
        <w:tc>
          <w:tcPr>
            <w:tcW w:type="dxa" w:w="3969"/>
          </w:tcPr>
          <w:p>
            <w:r/>
            <w:r>
              <w:rPr>
                <w:rFonts w:ascii="Times New Roman" w:hAnsi="Times New Roman"/>
                <w:b w:val="0"/>
                <w:i w:val="0"/>
                <w:sz w:val="20"/>
              </w:rPr>
              <w:t>1. Registro centralizado en base de datos (SQLite).</w:t>
            </w:r>
          </w:p>
        </w:tc>
      </w:tr>
      <w:tr>
        <w:tc>
          <w:tcPr>
            <w:tcW w:type="dxa" w:w="3969"/>
          </w:tcPr>
          <w:p>
            <w:r/>
            <w:r>
              <w:rPr>
                <w:rFonts w:ascii="Times New Roman" w:hAnsi="Times New Roman"/>
                <w:b w:val="0"/>
                <w:i w:val="0"/>
                <w:sz w:val="20"/>
              </w:rPr>
              <w:t>2. Búsqueda manual de pendientes antes de la fecha límite.</w:t>
            </w:r>
          </w:p>
        </w:tc>
        <w:tc>
          <w:tcPr>
            <w:tcW w:type="dxa" w:w="3969"/>
          </w:tcPr>
          <w:p>
            <w:r/>
            <w:r>
              <w:rPr>
                <w:rFonts w:ascii="Times New Roman" w:hAnsi="Times New Roman"/>
                <w:b w:val="0"/>
                <w:i w:val="0"/>
                <w:sz w:val="20"/>
              </w:rPr>
              <w:t>2. Alerta automática de pendientes con resaltado visual.</w:t>
            </w:r>
          </w:p>
        </w:tc>
      </w:tr>
      <w:tr>
        <w:tc>
          <w:tcPr>
            <w:tcW w:type="dxa" w:w="3969"/>
          </w:tcPr>
          <w:p>
            <w:r/>
            <w:r>
              <w:rPr>
                <w:rFonts w:ascii="Times New Roman" w:hAnsi="Times New Roman"/>
                <w:b w:val="0"/>
                <w:i w:val="0"/>
                <w:sz w:val="20"/>
              </w:rPr>
              <w:t>3. Elaboración manual del acta, tabulando por categorías.</w:t>
            </w:r>
          </w:p>
        </w:tc>
        <w:tc>
          <w:tcPr>
            <w:tcW w:type="dxa" w:w="3969"/>
          </w:tcPr>
          <w:p>
            <w:r/>
            <w:r>
              <w:rPr>
                <w:rFonts w:ascii="Times New Roman" w:hAnsi="Times New Roman"/>
                <w:b w:val="0"/>
                <w:i w:val="0"/>
                <w:sz w:val="20"/>
              </w:rPr>
              <w:t>3. Generación automática del acta en Word por categorías.</w:t>
            </w:r>
          </w:p>
        </w:tc>
      </w:tr>
    </w:tbl>
    <w:p/>
    <w:p>
      <w:r>
        <w:rPr>
          <w:rFonts w:ascii="Times New Roman" w:hAnsi="Times New Roman"/>
          <w:b/>
          <w:i w:val="0"/>
          <w:sz w:val="24"/>
        </w:rPr>
        <w:t>c) Pregunta de investigación</w:t>
      </w:r>
    </w:p>
    <w:p>
      <w:pPr>
        <w:jc w:val="both"/>
      </w:pPr>
      <w:r>
        <w:rPr>
          <w:rFonts w:ascii="Times New Roman" w:hAnsi="Times New Roman"/>
          <w:b w:val="0"/>
          <w:i w:val="0"/>
          <w:sz w:val="24"/>
        </w:rPr>
        <w:t>¿Es posible diseñar e implementar un sistema de escritorio, con base de datos local, que reduzca el tiempo administrativo dedicado al registro y seguimiento de becarios, y que automatice la generación de reportes oficiales requeridos por el Comité de Becas de UNANDES, sin comprometer la precisión de los datos ni la privacidad de la información de los estudiantes?</w:t>
      </w:r>
    </w:p>
    <w:p>
      <w:r>
        <w:rPr>
          <w:rFonts w:ascii="Times New Roman" w:hAnsi="Times New Roman"/>
          <w:b/>
          <w:i w:val="0"/>
          <w:sz w:val="28"/>
        </w:rPr>
        <w:t>3. Objetivos</w:t>
      </w:r>
    </w:p>
    <w:p>
      <w:r>
        <w:rPr>
          <w:rFonts w:ascii="Times New Roman" w:hAnsi="Times New Roman"/>
          <w:b/>
          <w:i w:val="0"/>
          <w:sz w:val="24"/>
        </w:rPr>
        <w:t>a) Objetivo general</w:t>
      </w:r>
    </w:p>
    <w:p>
      <w:pPr>
        <w:jc w:val="both"/>
      </w:pPr>
      <w:r>
        <w:rPr>
          <w:rFonts w:ascii="Times New Roman" w:hAnsi="Times New Roman"/>
          <w:b w:val="0"/>
          <w:i w:val="0"/>
          <w:sz w:val="24"/>
        </w:rPr>
        <w:t>Diseñar e implementar un sistema de escritorio para la gestión integral de becarios de UNANDES, que centralice el registro de datos, automatice el seguimiento de requisitos de renovación y genere de forma automática el Acta del Comité de Becas a partir de los datos almacenados.</w:t>
      </w:r>
    </w:p>
    <w:p>
      <w:r>
        <w:rPr>
          <w:rFonts w:ascii="Times New Roman" w:hAnsi="Times New Roman"/>
          <w:b/>
          <w:i w:val="0"/>
          <w:sz w:val="24"/>
        </w:rPr>
        <w:t>b) Objetivos específicos</w:t>
      </w:r>
    </w:p>
    <w:p>
      <w:pPr>
        <w:pStyle w:val="ListBullet"/>
        <w:jc w:val="both"/>
      </w:pPr>
      <w:r>
        <w:rPr>
          <w:rFonts w:ascii="Times New Roman" w:hAnsi="Times New Roman"/>
          <w:b w:val="0"/>
          <w:i w:val="0"/>
          <w:sz w:val="24"/>
        </w:rPr>
        <w:t>Diseñar un modelo de base de datos relacional que represente correctamente a los becarios, su seguimiento por gestión académica y los catálogos institucionales (carreras, tipos de beca).</w:t>
      </w:r>
    </w:p>
    <w:p>
      <w:pPr>
        <w:pStyle w:val="ListBullet"/>
        <w:jc w:val="both"/>
      </w:pPr>
      <w:r>
        <w:rPr>
          <w:rFonts w:ascii="Times New Roman" w:hAnsi="Times New Roman"/>
          <w:b w:val="0"/>
          <w:i w:val="0"/>
          <w:sz w:val="24"/>
        </w:rPr>
        <w:t>Desarrollar una interfaz de escritorio funcional que permita el registro, edición, búsqueda y clasificación de becarios sin depender de conexión a internet.</w:t>
      </w:r>
    </w:p>
    <w:p>
      <w:pPr>
        <w:pStyle w:val="ListBullet"/>
        <w:jc w:val="both"/>
      </w:pPr>
      <w:r>
        <w:rPr>
          <w:rFonts w:ascii="Times New Roman" w:hAnsi="Times New Roman"/>
          <w:b w:val="0"/>
          <w:i w:val="0"/>
          <w:sz w:val="24"/>
        </w:rPr>
        <w:t>Implementar un mecanismo de alerta visual que identifique automáticamente a los estudiantes que no cumplen con los requisitos de renovación una vez superada una fecha límite definida por el personal encargado.</w:t>
      </w:r>
    </w:p>
    <w:p>
      <w:pPr>
        <w:pStyle w:val="ListBullet"/>
        <w:jc w:val="both"/>
      </w:pPr>
      <w:r>
        <w:rPr>
          <w:rFonts w:ascii="Times New Roman" w:hAnsi="Times New Roman"/>
          <w:b w:val="0"/>
          <w:i w:val="0"/>
          <w:sz w:val="24"/>
        </w:rPr>
        <w:t>Automatizar la generación del Acta del Comité de Becas en formato Word, respetando el formato institucional oficial y clasificando a los estudiantes según su tipo de beca y estado de renovación.</w:t>
      </w:r>
    </w:p>
    <w:p>
      <w:pPr>
        <w:pStyle w:val="ListBullet"/>
        <w:jc w:val="both"/>
      </w:pPr>
      <w:r>
        <w:rPr>
          <w:rFonts w:ascii="Times New Roman" w:hAnsi="Times New Roman"/>
          <w:b w:val="0"/>
          <w:i w:val="0"/>
          <w:sz w:val="24"/>
        </w:rPr>
        <w:t>Evaluar mediante pruebas funcionales la precisión y estabilidad del sistema, incluyendo la validación de un módulo de reconocimiento óptico de caracteres (OCR) para digitalización de fichas manuscritas.</w:t>
      </w:r>
    </w:p>
    <w:p>
      <w:r>
        <w:rPr>
          <w:rFonts w:ascii="Times New Roman" w:hAnsi="Times New Roman"/>
          <w:b/>
          <w:i w:val="0"/>
          <w:sz w:val="28"/>
        </w:rPr>
        <w:t>4. Justificación</w:t>
      </w:r>
    </w:p>
    <w:p>
      <w:r>
        <w:rPr>
          <w:rFonts w:ascii="Times New Roman" w:hAnsi="Times New Roman"/>
          <w:b/>
          <w:i w:val="0"/>
          <w:sz w:val="24"/>
        </w:rPr>
        <w:t>a) Justificación técnica</w:t>
      </w:r>
    </w:p>
    <w:p>
      <w:pPr>
        <w:jc w:val="both"/>
      </w:pPr>
      <w:r>
        <w:rPr>
          <w:rFonts w:ascii="Times New Roman" w:hAnsi="Times New Roman"/>
          <w:b w:val="0"/>
          <w:i w:val="0"/>
          <w:sz w:val="24"/>
        </w:rPr>
        <w:t>El proyecto permite aplicar de forma práctica conceptos de arquitectura de software en capas (interfaz, lógica de negocio y persistencia), diseño de bases de datos relacionales, manipulación de documentos ofimáticos de forma programática y evaluación empírica de tecnologías de reconocimiento de texto (OCR), consolidando así el componente práctico exigido por la materia.</w:t>
      </w:r>
    </w:p>
    <w:p>
      <w:r>
        <w:rPr>
          <w:rFonts w:ascii="Times New Roman" w:hAnsi="Times New Roman"/>
          <w:b/>
          <w:i w:val="0"/>
          <w:sz w:val="24"/>
        </w:rPr>
        <w:t>b) Justificación social</w:t>
      </w:r>
    </w:p>
    <w:p>
      <w:pPr>
        <w:jc w:val="both"/>
      </w:pPr>
      <w:r>
        <w:rPr>
          <w:rFonts w:ascii="Times New Roman" w:hAnsi="Times New Roman"/>
          <w:b w:val="0"/>
          <w:i w:val="0"/>
          <w:sz w:val="24"/>
        </w:rPr>
        <w:t>El sistema beneficia directamente al personal administrativo encargado de la gestión de becas, reduciendo su carga operativa repetitiva, y de forma indirecta a los estudiantes becarios, al disminuir el margen de error humano en el seguimiento de sus requisitos de renovación, lo que se traduce en un proceso más transparente y confiable.</w:t>
      </w:r>
    </w:p>
    <w:p>
      <w:r>
        <w:rPr>
          <w:rFonts w:ascii="Times New Roman" w:hAnsi="Times New Roman"/>
          <w:b/>
          <w:i w:val="0"/>
          <w:sz w:val="24"/>
        </w:rPr>
        <w:t>c) Justificación económica</w:t>
      </w:r>
    </w:p>
    <w:p>
      <w:pPr>
        <w:jc w:val="both"/>
      </w:pPr>
      <w:r>
        <w:rPr>
          <w:rFonts w:ascii="Times New Roman" w:hAnsi="Times New Roman"/>
          <w:b w:val="0"/>
          <w:i w:val="0"/>
          <w:sz w:val="24"/>
        </w:rPr>
        <w:t>El sistema fue desarrollado íntegramente con herramientas de código abierto y sin dependencia de servicios en la nube de pago, lo que elimina costos recurrentes de licenciamiento o suscripción para la institución, manteniendo además el control total de los datos de los estudiantes dentro de la infraestructura local de la universidad.</w:t>
      </w:r>
    </w:p>
    <w:p>
      <w:r>
        <w:rPr>
          <w:rFonts w:ascii="Times New Roman" w:hAnsi="Times New Roman"/>
          <w:b/>
          <w:i w:val="0"/>
          <w:sz w:val="28"/>
        </w:rPr>
        <w:t>5. Metodología y técnicas de investigación</w:t>
      </w:r>
    </w:p>
    <w:p>
      <w:pPr>
        <w:jc w:val="both"/>
      </w:pPr>
      <w:r>
        <w:rPr>
          <w:rFonts w:ascii="Times New Roman" w:hAnsi="Times New Roman"/>
          <w:b w:val="0"/>
          <w:i w:val="0"/>
          <w:sz w:val="24"/>
        </w:rPr>
        <w:t>El desarrollo del sistema siguió una metodología iterativa e incremental, con ciclos cortos de implementación y prueba. Cada nueva funcionalidad se desarrolló, se probó de forma aislada con datos reales y se ajustó según los resultados obtenidos, antes de integrarla al resto del sistema. Este enfoque permitió, por ejemplo, detectar tempranamente las limitaciones de precisión del reconocimiento óptico de caracteres sobre escritura manuscrita cursiva, y tomar la decisión informada de mantener la revisión humana como mecanismo de control de calidad de los datos, en lugar de depender de una automatización completa no confiable.</w:t>
      </w:r>
    </w:p>
    <w:p>
      <w:pPr>
        <w:jc w:val="both"/>
      </w:pPr>
      <w:r>
        <w:rPr>
          <w:rFonts w:ascii="Times New Roman" w:hAnsi="Times New Roman"/>
          <w:b w:val="0"/>
          <w:i w:val="0"/>
          <w:sz w:val="24"/>
        </w:rPr>
        <w:t>Como técnica de levantamiento de requisitos se utilizó la observación directa del proceso administrativo existente y la consulta iterativa con la responsable del área de Bienestar Estudiantil, ajustando el diseño del sistema (criterios de clasificación de becas, campos de datos requeridos, formato del acta oficial) a partir de su retroalimentación directa sobre versiones funcionales del sistema.</w:t>
      </w:r>
    </w:p>
    <w:p>
      <w:pPr>
        <w:jc w:val="both"/>
      </w:pPr>
      <w:r>
        <w:rPr>
          <w:rFonts w:ascii="Times New Roman" w:hAnsi="Times New Roman"/>
          <w:b w:val="0"/>
          <w:i w:val="0"/>
          <w:sz w:val="24"/>
        </w:rPr>
        <w:t>Para la validación técnica se aplicaron pruebas funcionales manuales sobre cada módulo (registro de becarios, generación de informes, sistema de alertas de vencimiento) utilizando datos reales ya cargados en el sistema, en lugar de datos sintéticos, para asegurar que los resultados reflejaran condiciones reales de uso.</w:t>
      </w:r>
    </w:p>
    <w:p>
      <w:r>
        <w:rPr>
          <w:rFonts w:ascii="Times New Roman" w:hAnsi="Times New Roman"/>
          <w:b/>
          <w:i w:val="0"/>
          <w:sz w:val="28"/>
        </w:rPr>
        <w:t>6. Recursos humanos y materiales</w:t>
      </w:r>
    </w:p>
    <w:p>
      <w:r>
        <w:rPr>
          <w:rFonts w:ascii="Times New Roman" w:hAnsi="Times New Roman"/>
          <w:b/>
          <w:i w:val="0"/>
          <w:sz w:val="24"/>
        </w:rPr>
        <w:t>Recursos humanos</w:t>
      </w:r>
    </w:p>
    <w:p>
      <w:pPr>
        <w:pStyle w:val="ListBullet"/>
        <w:jc w:val="both"/>
      </w:pPr>
      <w:r>
        <w:rPr>
          <w:rFonts w:ascii="Times New Roman" w:hAnsi="Times New Roman"/>
          <w:b w:val="0"/>
          <w:i w:val="0"/>
          <w:sz w:val="24"/>
        </w:rPr>
        <w:t>Equipo de desarrollo: [completar con integrantes del equipo].</w:t>
      </w:r>
    </w:p>
    <w:p>
      <w:pPr>
        <w:pStyle w:val="ListBullet"/>
        <w:jc w:val="both"/>
      </w:pPr>
      <w:r>
        <w:rPr>
          <w:rFonts w:ascii="Times New Roman" w:hAnsi="Times New Roman"/>
          <w:b w:val="0"/>
          <w:i w:val="0"/>
          <w:sz w:val="24"/>
        </w:rPr>
        <w:t>Usuario final / fuente de requisitos: Responsable de Bienestar Estudiantil, UNANDES.</w:t>
      </w:r>
    </w:p>
    <w:p>
      <w:pPr>
        <w:pStyle w:val="ListBullet"/>
        <w:jc w:val="both"/>
      </w:pPr>
      <w:r>
        <w:rPr>
          <w:rFonts w:ascii="Times New Roman" w:hAnsi="Times New Roman"/>
          <w:b w:val="0"/>
          <w:i w:val="0"/>
          <w:sz w:val="24"/>
        </w:rPr>
        <w:t>Docente tutor: [nombre del docente].</w:t>
      </w:r>
    </w:p>
    <w:p>
      <w:r>
        <w:rPr>
          <w:rFonts w:ascii="Times New Roman" w:hAnsi="Times New Roman"/>
          <w:b/>
          <w:i w:val="0"/>
          <w:sz w:val="24"/>
        </w:rPr>
        <w:t>Recursos materiales y tecnológicos</w:t>
      </w:r>
    </w:p>
    <w:p>
      <w:pPr>
        <w:pStyle w:val="ListBullet"/>
        <w:jc w:val="both"/>
      </w:pPr>
      <w:r>
        <w:rPr>
          <w:rFonts w:ascii="Times New Roman" w:hAnsi="Times New Roman"/>
          <w:b w:val="0"/>
          <w:i w:val="0"/>
          <w:sz w:val="24"/>
        </w:rPr>
        <w:t>Lenguaje de programación: Python 3.</w:t>
      </w:r>
    </w:p>
    <w:p>
      <w:pPr>
        <w:pStyle w:val="ListBullet"/>
        <w:jc w:val="both"/>
      </w:pPr>
      <w:r>
        <w:rPr>
          <w:rFonts w:ascii="Times New Roman" w:hAnsi="Times New Roman"/>
          <w:b w:val="0"/>
          <w:i w:val="0"/>
          <w:sz w:val="24"/>
        </w:rPr>
        <w:t>Framework de interfaz gráfica: PySide6.</w:t>
      </w:r>
    </w:p>
    <w:p>
      <w:pPr>
        <w:pStyle w:val="ListBullet"/>
        <w:jc w:val="both"/>
      </w:pPr>
      <w:r>
        <w:rPr>
          <w:rFonts w:ascii="Times New Roman" w:hAnsi="Times New Roman"/>
          <w:b w:val="0"/>
          <w:i w:val="0"/>
          <w:sz w:val="24"/>
        </w:rPr>
        <w:t>Motor de base de datos: SQLite (embebido, sin servidor).</w:t>
      </w:r>
    </w:p>
    <w:p>
      <w:pPr>
        <w:pStyle w:val="ListBullet"/>
        <w:jc w:val="both"/>
      </w:pPr>
      <w:r>
        <w:rPr>
          <w:rFonts w:ascii="Times New Roman" w:hAnsi="Times New Roman"/>
          <w:b w:val="0"/>
          <w:i w:val="0"/>
          <w:sz w:val="24"/>
        </w:rPr>
        <w:t>Librerías de generación documental: python-docx.</w:t>
      </w:r>
    </w:p>
    <w:p>
      <w:pPr>
        <w:pStyle w:val="ListBullet"/>
        <w:jc w:val="both"/>
      </w:pPr>
      <w:r>
        <w:rPr>
          <w:rFonts w:ascii="Times New Roman" w:hAnsi="Times New Roman"/>
          <w:b w:val="0"/>
          <w:i w:val="0"/>
          <w:sz w:val="24"/>
        </w:rPr>
        <w:t>Herramienta de empaquetado: PyInstaller (generación de ejecutable Windows standalone).</w:t>
      </w:r>
    </w:p>
    <w:p>
      <w:pPr>
        <w:pStyle w:val="ListBullet"/>
        <w:jc w:val="both"/>
      </w:pPr>
      <w:r>
        <w:rPr>
          <w:rFonts w:ascii="Times New Roman" w:hAnsi="Times New Roman"/>
          <w:b w:val="0"/>
          <w:i w:val="0"/>
          <w:sz w:val="24"/>
        </w:rPr>
        <w:t>Equipo de cómputo del equipo de desarrollo (sin requerimiento de hardware especializado).</w:t>
      </w:r>
    </w:p>
    <w:p>
      <w:r>
        <w:rPr>
          <w:rFonts w:ascii="Times New Roman" w:hAnsi="Times New Roman"/>
          <w:b/>
          <w:i w:val="0"/>
          <w:sz w:val="28"/>
        </w:rPr>
        <w:t>7. Pruebas de testeo y validación</w:t>
      </w:r>
    </w:p>
    <w:p>
      <w:pPr>
        <w:jc w:val="both"/>
      </w:pPr>
      <w:r>
        <w:rPr>
          <w:rFonts w:ascii="Times New Roman" w:hAnsi="Times New Roman"/>
          <w:b w:val="0"/>
          <w:i w:val="0"/>
          <w:sz w:val="24"/>
        </w:rPr>
        <w:t>Se realizaron pruebas funcionales sobre los módulos críticos del sistema, utilizando datos reales de la base de datos de producción (46 registros de becarios) en lugar de datos sintéticos. A continuación se documentan los resultados más relevantes.</w:t>
      </w:r>
    </w:p>
    <w:p>
      <w:r>
        <w:rPr>
          <w:rFonts w:ascii="Times New Roman" w:hAnsi="Times New Roman"/>
          <w:b/>
          <w:i w:val="0"/>
          <w:sz w:val="24"/>
        </w:rPr>
        <w:t>7.1 Prueba del módulo de generación de Acta del Comité de Becas</w:t>
      </w:r>
    </w:p>
    <w:p>
      <w:pPr>
        <w:jc w:val="both"/>
      </w:pPr>
      <w:r>
        <w:rPr>
          <w:rFonts w:ascii="Times New Roman" w:hAnsi="Times New Roman"/>
          <w:b w:val="0"/>
          <w:i w:val="0"/>
          <w:sz w:val="24"/>
        </w:rPr>
        <w:t>Se generó un acta de prueba (Acta N.º 4, gestión II-2026) a partir de los 46 registros reales cargados en el sistema. Se verificó que:</w:t>
      </w:r>
    </w:p>
    <w:p>
      <w:pPr>
        <w:pStyle w:val="ListBullet"/>
        <w:jc w:val="both"/>
      </w:pPr>
      <w:r>
        <w:rPr>
          <w:rFonts w:ascii="Times New Roman" w:hAnsi="Times New Roman"/>
          <w:b w:val="0"/>
          <w:i w:val="0"/>
          <w:sz w:val="24"/>
        </w:rPr>
        <w:t>El encabezado (fecha, número de acta, gestión) se completó correctamente.</w:t>
      </w:r>
    </w:p>
    <w:p>
      <w:pPr>
        <w:pStyle w:val="ListBullet"/>
        <w:jc w:val="both"/>
      </w:pPr>
      <w:r>
        <w:rPr>
          <w:rFonts w:ascii="Times New Roman" w:hAnsi="Times New Roman"/>
          <w:b w:val="0"/>
          <w:i w:val="0"/>
          <w:sz w:val="24"/>
        </w:rPr>
        <w:t>Los estudiantes se clasificaron en la tabla correspondiente según su tipo de beca y estado de renovación (carta de renovación confirmada), obteniéndose 21 estudiantes clasificados automáticamente en las 6 categorías de renovación, sobre un total de 46 registros.</w:t>
      </w:r>
    </w:p>
    <w:p>
      <w:pPr>
        <w:pStyle w:val="ListBullet"/>
        <w:jc w:val="both"/>
      </w:pPr>
      <w:r>
        <w:rPr>
          <w:rFonts w:ascii="Times New Roman" w:hAnsi="Times New Roman"/>
          <w:b w:val="0"/>
          <w:i w:val="0"/>
          <w:sz w:val="24"/>
        </w:rPr>
        <w:t>La tabla resumen reflejó el total correcto de becas otorgadas, y el texto narrativo del acta se actualizó de forma consistente con dicho total, evitando contradicciones dentro del mismo documento.</w:t>
      </w:r>
    </w:p>
    <w:p>
      <w:pPr>
        <w:pStyle w:val="ListBullet"/>
        <w:jc w:val="both"/>
      </w:pPr>
      <w:r>
        <w:rPr>
          <w:rFonts w:ascii="Times New Roman" w:hAnsi="Times New Roman"/>
          <w:b w:val="0"/>
          <w:i w:val="0"/>
          <w:sz w:val="24"/>
        </w:rPr>
        <w:t>El formato original de la plantilla institucional (bordes de tabla, tipografía, tabla de firmas) se mantuvo sin alteraciones tras la generación automática.</w:t>
      </w:r>
    </w:p>
    <w:tbl>
      <w:tblPr>
        <w:tblStyle w:val="TableGrid"/>
        <w:tblW w:type="auto" w:w="0"/>
        <w:tblLook w:firstColumn="1" w:firstRow="1" w:lastColumn="0" w:lastRow="0" w:noHBand="0" w:noVBand="1" w:val="04A0"/>
      </w:tblPr>
      <w:tblGrid>
        <w:gridCol w:w="2757"/>
        <w:gridCol w:w="2757"/>
        <w:gridCol w:w="2757"/>
      </w:tblGrid>
      <w:tr>
        <w:tc>
          <w:tcPr>
            <w:tcW w:type="dxa" w:w="3402"/>
          </w:tcPr>
          <w:p>
            <w:r/>
            <w:r>
              <w:rPr>
                <w:rFonts w:ascii="Times New Roman" w:hAnsi="Times New Roman"/>
                <w:b/>
                <w:i w:val="0"/>
                <w:sz w:val="20"/>
              </w:rPr>
              <w:t>Categoría de beca</w:t>
            </w:r>
          </w:p>
        </w:tc>
        <w:tc>
          <w:tcPr>
            <w:tcW w:type="dxa" w:w="2268"/>
          </w:tcPr>
          <w:p>
            <w:r/>
            <w:r>
              <w:rPr>
                <w:rFonts w:ascii="Times New Roman" w:hAnsi="Times New Roman"/>
                <w:b/>
                <w:i w:val="0"/>
                <w:sz w:val="20"/>
              </w:rPr>
              <w:t>Estudiantes clasificados automáticamente</w:t>
            </w:r>
          </w:p>
        </w:tc>
        <w:tc>
          <w:tcPr>
            <w:tcW w:type="dxa" w:w="2268"/>
          </w:tcPr>
          <w:p>
            <w:r/>
            <w:r>
              <w:rPr>
                <w:rFonts w:ascii="Times New Roman" w:hAnsi="Times New Roman"/>
                <w:b/>
                <w:i w:val="0"/>
                <w:sz w:val="20"/>
              </w:rPr>
              <w:t>Observación</w:t>
            </w:r>
          </w:p>
        </w:tc>
      </w:tr>
      <w:tr>
        <w:tc>
          <w:tcPr>
            <w:tcW w:type="dxa" w:w="3402"/>
          </w:tcPr>
          <w:p>
            <w:r/>
            <w:r>
              <w:rPr>
                <w:rFonts w:ascii="Times New Roman" w:hAnsi="Times New Roman"/>
                <w:b w:val="0"/>
                <w:i w:val="0"/>
                <w:sz w:val="20"/>
              </w:rPr>
              <w:t>Excelencia Académica — Renovación</w:t>
            </w:r>
          </w:p>
        </w:tc>
        <w:tc>
          <w:tcPr>
            <w:tcW w:type="dxa" w:w="2268"/>
          </w:tcPr>
          <w:p>
            <w:r/>
            <w:r>
              <w:rPr>
                <w:rFonts w:ascii="Times New Roman" w:hAnsi="Times New Roman"/>
                <w:b w:val="0"/>
                <w:i w:val="0"/>
                <w:sz w:val="20"/>
              </w:rPr>
              <w:t>4</w:t>
            </w:r>
          </w:p>
        </w:tc>
        <w:tc>
          <w:tcPr>
            <w:tcW w:type="dxa" w:w="2268"/>
          </w:tcPr>
          <w:p>
            <w:r/>
            <w:r>
              <w:rPr>
                <w:rFonts w:ascii="Times New Roman" w:hAnsi="Times New Roman"/>
                <w:b w:val="0"/>
                <w:i w:val="0"/>
                <w:sz w:val="20"/>
              </w:rPr>
              <w:t>Con carta de renovación</w:t>
            </w:r>
          </w:p>
        </w:tc>
      </w:tr>
      <w:tr>
        <w:tc>
          <w:tcPr>
            <w:tcW w:type="dxa" w:w="3402"/>
          </w:tcPr>
          <w:p>
            <w:r/>
            <w:r>
              <w:rPr>
                <w:rFonts w:ascii="Times New Roman" w:hAnsi="Times New Roman"/>
                <w:b w:val="0"/>
                <w:i w:val="0"/>
                <w:sz w:val="20"/>
              </w:rPr>
              <w:t>Económica Social — Renovación</w:t>
            </w:r>
          </w:p>
        </w:tc>
        <w:tc>
          <w:tcPr>
            <w:tcW w:type="dxa" w:w="2268"/>
          </w:tcPr>
          <w:p>
            <w:r/>
            <w:r>
              <w:rPr>
                <w:rFonts w:ascii="Times New Roman" w:hAnsi="Times New Roman"/>
                <w:b w:val="0"/>
                <w:i w:val="0"/>
                <w:sz w:val="20"/>
              </w:rPr>
              <w:t>4</w:t>
            </w:r>
          </w:p>
        </w:tc>
        <w:tc>
          <w:tcPr>
            <w:tcW w:type="dxa" w:w="2268"/>
          </w:tcPr>
          <w:p>
            <w:r/>
            <w:r>
              <w:rPr>
                <w:rFonts w:ascii="Times New Roman" w:hAnsi="Times New Roman"/>
                <w:b w:val="0"/>
                <w:i w:val="0"/>
                <w:sz w:val="20"/>
              </w:rPr>
              <w:t>Con carta de renovación</w:t>
            </w:r>
          </w:p>
        </w:tc>
      </w:tr>
      <w:tr>
        <w:tc>
          <w:tcPr>
            <w:tcW w:type="dxa" w:w="3402"/>
          </w:tcPr>
          <w:p>
            <w:r/>
            <w:r>
              <w:rPr>
                <w:rFonts w:ascii="Times New Roman" w:hAnsi="Times New Roman"/>
                <w:b w:val="0"/>
                <w:i w:val="0"/>
                <w:sz w:val="20"/>
              </w:rPr>
              <w:t>Convenio Interinstitucional — Renovación</w:t>
            </w:r>
          </w:p>
        </w:tc>
        <w:tc>
          <w:tcPr>
            <w:tcW w:type="dxa" w:w="2268"/>
          </w:tcPr>
          <w:p>
            <w:r/>
            <w:r>
              <w:rPr>
                <w:rFonts w:ascii="Times New Roman" w:hAnsi="Times New Roman"/>
                <w:b w:val="0"/>
                <w:i w:val="0"/>
                <w:sz w:val="20"/>
              </w:rPr>
              <w:t>3</w:t>
            </w:r>
          </w:p>
        </w:tc>
        <w:tc>
          <w:tcPr>
            <w:tcW w:type="dxa" w:w="2268"/>
          </w:tcPr>
          <w:p>
            <w:r/>
            <w:r>
              <w:rPr>
                <w:rFonts w:ascii="Times New Roman" w:hAnsi="Times New Roman"/>
                <w:b w:val="0"/>
                <w:i w:val="0"/>
                <w:sz w:val="20"/>
              </w:rPr>
              <w:t>Con carta de renovación</w:t>
            </w:r>
          </w:p>
        </w:tc>
      </w:tr>
      <w:tr>
        <w:tc>
          <w:tcPr>
            <w:tcW w:type="dxa" w:w="3402"/>
          </w:tcPr>
          <w:p>
            <w:r/>
            <w:r>
              <w:rPr>
                <w:rFonts w:ascii="Times New Roman" w:hAnsi="Times New Roman"/>
                <w:b w:val="0"/>
                <w:i w:val="0"/>
                <w:sz w:val="20"/>
              </w:rPr>
              <w:t>Honorífica Directorio — Renovación</w:t>
            </w:r>
          </w:p>
        </w:tc>
        <w:tc>
          <w:tcPr>
            <w:tcW w:type="dxa" w:w="2268"/>
          </w:tcPr>
          <w:p>
            <w:r/>
            <w:r>
              <w:rPr>
                <w:rFonts w:ascii="Times New Roman" w:hAnsi="Times New Roman"/>
                <w:b w:val="0"/>
                <w:i w:val="0"/>
                <w:sz w:val="20"/>
              </w:rPr>
              <w:t>3</w:t>
            </w:r>
          </w:p>
        </w:tc>
        <w:tc>
          <w:tcPr>
            <w:tcW w:type="dxa" w:w="2268"/>
          </w:tcPr>
          <w:p>
            <w:r/>
            <w:r>
              <w:rPr>
                <w:rFonts w:ascii="Times New Roman" w:hAnsi="Times New Roman"/>
                <w:b w:val="0"/>
                <w:i w:val="0"/>
                <w:sz w:val="20"/>
              </w:rPr>
              <w:t>Con carta de renovación</w:t>
            </w:r>
          </w:p>
        </w:tc>
      </w:tr>
      <w:tr>
        <w:tc>
          <w:tcPr>
            <w:tcW w:type="dxa" w:w="3402"/>
          </w:tcPr>
          <w:p>
            <w:r/>
            <w:r>
              <w:rPr>
                <w:rFonts w:ascii="Times New Roman" w:hAnsi="Times New Roman"/>
                <w:b w:val="0"/>
                <w:i w:val="0"/>
                <w:sz w:val="20"/>
              </w:rPr>
              <w:t>Personal Administrativo — Renovación</w:t>
            </w:r>
          </w:p>
        </w:tc>
        <w:tc>
          <w:tcPr>
            <w:tcW w:type="dxa" w:w="2268"/>
          </w:tcPr>
          <w:p>
            <w:r/>
            <w:r>
              <w:rPr>
                <w:rFonts w:ascii="Times New Roman" w:hAnsi="Times New Roman"/>
                <w:b w:val="0"/>
                <w:i w:val="0"/>
                <w:sz w:val="20"/>
              </w:rPr>
              <w:t>3</w:t>
            </w:r>
          </w:p>
        </w:tc>
        <w:tc>
          <w:tcPr>
            <w:tcW w:type="dxa" w:w="2268"/>
          </w:tcPr>
          <w:p>
            <w:r/>
            <w:r>
              <w:rPr>
                <w:rFonts w:ascii="Times New Roman" w:hAnsi="Times New Roman"/>
                <w:b w:val="0"/>
                <w:i w:val="0"/>
                <w:sz w:val="20"/>
              </w:rPr>
              <w:t>Con carta de renovación</w:t>
            </w:r>
          </w:p>
        </w:tc>
      </w:tr>
      <w:tr>
        <w:tc>
          <w:tcPr>
            <w:tcW w:type="dxa" w:w="3402"/>
          </w:tcPr>
          <w:p>
            <w:r/>
            <w:r>
              <w:rPr>
                <w:rFonts w:ascii="Times New Roman" w:hAnsi="Times New Roman"/>
                <w:b w:val="0"/>
                <w:i w:val="0"/>
                <w:sz w:val="20"/>
              </w:rPr>
              <w:t>Ministerio de Educación — Renovación</w:t>
            </w:r>
          </w:p>
        </w:tc>
        <w:tc>
          <w:tcPr>
            <w:tcW w:type="dxa" w:w="2268"/>
          </w:tcPr>
          <w:p>
            <w:r/>
            <w:r>
              <w:rPr>
                <w:rFonts w:ascii="Times New Roman" w:hAnsi="Times New Roman"/>
                <w:b w:val="0"/>
                <w:i w:val="0"/>
                <w:sz w:val="20"/>
              </w:rPr>
              <w:t>4</w:t>
            </w:r>
          </w:p>
        </w:tc>
        <w:tc>
          <w:tcPr>
            <w:tcW w:type="dxa" w:w="2268"/>
          </w:tcPr>
          <w:p>
            <w:r/>
            <w:r>
              <w:rPr>
                <w:rFonts w:ascii="Times New Roman" w:hAnsi="Times New Roman"/>
                <w:b w:val="0"/>
                <w:i w:val="0"/>
                <w:sz w:val="20"/>
              </w:rPr>
              <w:t>Con carta de renovación</w:t>
            </w:r>
          </w:p>
        </w:tc>
      </w:tr>
      <w:tr>
        <w:tc>
          <w:tcPr>
            <w:tcW w:type="dxa" w:w="3402"/>
          </w:tcPr>
          <w:p>
            <w:r/>
            <w:r>
              <w:rPr>
                <w:rFonts w:ascii="Times New Roman" w:hAnsi="Times New Roman"/>
                <w:b w:val="0"/>
                <w:i w:val="0"/>
                <w:sz w:val="20"/>
              </w:rPr>
              <w:t>Excelencia Académica — Nueva / Solicitudes Nuevas</w:t>
            </w:r>
          </w:p>
        </w:tc>
        <w:tc>
          <w:tcPr>
            <w:tcW w:type="dxa" w:w="2268"/>
          </w:tcPr>
          <w:p>
            <w:r/>
            <w:r>
              <w:rPr>
                <w:rFonts w:ascii="Times New Roman" w:hAnsi="Times New Roman"/>
                <w:b w:val="0"/>
                <w:i w:val="0"/>
                <w:sz w:val="20"/>
              </w:rPr>
              <w:t>0 (manual)</w:t>
            </w:r>
          </w:p>
        </w:tc>
        <w:tc>
          <w:tcPr>
            <w:tcW w:type="dxa" w:w="2268"/>
          </w:tcPr>
          <w:p>
            <w:r/>
            <w:r>
              <w:rPr>
                <w:rFonts w:ascii="Times New Roman" w:hAnsi="Times New Roman"/>
                <w:b w:val="0"/>
                <w:i w:val="0"/>
                <w:sz w:val="20"/>
              </w:rPr>
              <w:t>Completado a mano por criterio institucional</w:t>
            </w:r>
          </w:p>
        </w:tc>
      </w:tr>
    </w:tbl>
    <w:p/>
    <w:tbl>
      <w:tblPr>
        <w:tblStyle w:val="TableGrid"/>
        <w:tblW w:type="auto" w:w="0"/>
        <w:tblLook w:firstColumn="1" w:firstRow="1" w:lastColumn="0" w:lastRow="0" w:noHBand="0" w:noVBand="1" w:val="04A0"/>
      </w:tblPr>
      <w:tblGrid>
        <w:gridCol w:w="2757"/>
        <w:gridCol w:w="2757"/>
        <w:gridCol w:w="2757"/>
      </w:tblGrid>
      <w:tr>
        <w:tc>
          <w:tcPr>
            <w:tcW w:type="dxa" w:w="3402"/>
          </w:tcPr>
          <w:p>
            <w:r/>
            <w:r>
              <w:rPr>
                <w:rFonts w:ascii="Times New Roman" w:hAnsi="Times New Roman"/>
                <w:b/>
                <w:i w:val="0"/>
                <w:sz w:val="20"/>
              </w:rPr>
              <w:t>TOTAL clasificado</w:t>
            </w:r>
          </w:p>
        </w:tc>
        <w:tc>
          <w:tcPr>
            <w:tcW w:type="dxa" w:w="2268"/>
          </w:tcPr>
          <w:p>
            <w:r/>
            <w:r>
              <w:rPr>
                <w:rFonts w:ascii="Times New Roman" w:hAnsi="Times New Roman"/>
                <w:b/>
                <w:i w:val="0"/>
                <w:sz w:val="20"/>
              </w:rPr>
              <w:t>21</w:t>
            </w:r>
          </w:p>
        </w:tc>
        <w:tc>
          <w:tcPr>
            <w:tcW w:type="dxa" w:w="2268"/>
          </w:tcPr>
          <w:p>
            <w:r/>
            <w:r>
              <w:rPr>
                <w:rFonts w:ascii="Times New Roman" w:hAnsi="Times New Roman"/>
                <w:b/>
                <w:i w:val="0"/>
                <w:sz w:val="20"/>
              </w:rPr>
              <w:t>De 46 registros totales (25 fuera de criterio de renovación automática)</w:t>
            </w:r>
          </w:p>
        </w:tc>
      </w:tr>
    </w:tbl>
    <w:p/>
    <w:p>
      <w:r>
        <w:rPr>
          <w:rFonts w:ascii="Times New Roman" w:hAnsi="Times New Roman"/>
          <w:b/>
          <w:i w:val="0"/>
          <w:sz w:val="24"/>
        </w:rPr>
        <w:t>7.2 Prueba del módulo de digitalización por foto (OCR)</w:t>
      </w:r>
    </w:p>
    <w:p>
      <w:pPr>
        <w:jc w:val="both"/>
      </w:pPr>
      <w:r>
        <w:rPr>
          <w:rFonts w:ascii="Times New Roman" w:hAnsi="Times New Roman"/>
          <w:b w:val="0"/>
          <w:i w:val="0"/>
          <w:sz w:val="24"/>
        </w:rPr>
        <w:t>Se evaluó el módulo de reconocimiento óptico de caracteres sobre fichas de solicitud de beca manuscritas reales, utilizando un motor de OCR local (sin conexión a internet, preservando la privacidad de los datos de los estudiantes). Los resultados mostraron una precisión alta en campos numéricos bien recortados y una precisión limitada en campos de texto manuscrito cursivo (nombres y apellidos), consistente con las limitaciones conocidas de los motores de OCR de propósito general frente a escritura manuscrita no estandarizada.</w:t>
      </w:r>
    </w:p>
    <w:p>
      <w:pPr>
        <w:jc w:val="both"/>
      </w:pPr>
      <w:r>
        <w:rPr>
          <w:rFonts w:ascii="Times New Roman" w:hAnsi="Times New Roman"/>
          <w:b w:val="0"/>
          <w:i w:val="0"/>
          <w:sz w:val="24"/>
        </w:rPr>
        <w:t>En consecuencia, se diseñó el flujo de trabajo para que ningún dato leído por OCR se guarde sin revisión humana explícita: todos los campos extraídos se presentan resaltados visualmente en una pantalla de revisión obligatoria antes de su confirmación, garantizando que el OCR funcione como una herramienta de asistencia (reducción de tiempo de tipeo) y no como fuente única de verdad de los datos.</w:t>
      </w:r>
    </w:p>
    <w:p>
      <w:r>
        <w:rPr>
          <w:rFonts w:ascii="Times New Roman" w:hAnsi="Times New Roman"/>
          <w:b/>
          <w:i w:val="0"/>
          <w:sz w:val="24"/>
        </w:rPr>
        <w:t>7.3 Prueba del sistema de alertas de vencimiento de requisitos</w:t>
      </w:r>
    </w:p>
    <w:p>
      <w:pPr>
        <w:jc w:val="both"/>
      </w:pPr>
      <w:r>
        <w:rPr>
          <w:rFonts w:ascii="Times New Roman" w:hAnsi="Times New Roman"/>
          <w:b w:val="0"/>
          <w:i w:val="0"/>
          <w:sz w:val="24"/>
        </w:rPr>
        <w:t>Se configuró una fecha límite de prueba anterior a la fecha del sistema, para forzar la detección de estudiantes con requisitos pendientes (materias en orden, carpeta cancelada, carta de renovación, horas becarias). Se verificó que el sistema resaltó correctamente en la tabla principal a los estudiantes que no cumplían con al menos uno de los cuatro requisitos, y que dicho resaltado se actualizaba en tiempo real al marcar un requisito como cumplido, sin necesidad de reiniciar la aplicación.</w:t>
      </w:r>
    </w:p>
    <w:p>
      <w:r>
        <w:rPr>
          <w:rFonts w:ascii="Times New Roman" w:hAnsi="Times New Roman"/>
          <w:b/>
          <w:i w:val="0"/>
          <w:sz w:val="24"/>
        </w:rPr>
        <w:t>7.4 Resumen de resultados</w:t>
      </w:r>
    </w:p>
    <w:tbl>
      <w:tblPr>
        <w:tblStyle w:val="TableGrid"/>
        <w:tblW w:type="auto" w:w="0"/>
        <w:tblLook w:firstColumn="1" w:firstRow="1" w:lastColumn="0" w:lastRow="0" w:noHBand="0" w:noVBand="1" w:val="04A0"/>
      </w:tblPr>
      <w:tblGrid>
        <w:gridCol w:w="2757"/>
        <w:gridCol w:w="2757"/>
        <w:gridCol w:w="2757"/>
      </w:tblGrid>
      <w:tr>
        <w:tc>
          <w:tcPr>
            <w:tcW w:type="dxa" w:w="2835"/>
          </w:tcPr>
          <w:p>
            <w:r/>
            <w:r>
              <w:rPr>
                <w:rFonts w:ascii="Times New Roman" w:hAnsi="Times New Roman"/>
                <w:b/>
                <w:i w:val="0"/>
                <w:sz w:val="20"/>
              </w:rPr>
              <w:t>Módulo evaluado</w:t>
            </w:r>
          </w:p>
        </w:tc>
        <w:tc>
          <w:tcPr>
            <w:tcW w:type="dxa" w:w="2835"/>
          </w:tcPr>
          <w:p>
            <w:r/>
            <w:r>
              <w:rPr>
                <w:rFonts w:ascii="Times New Roman" w:hAnsi="Times New Roman"/>
                <w:b/>
                <w:i w:val="0"/>
                <w:sz w:val="20"/>
              </w:rPr>
              <w:t>Resultado</w:t>
            </w:r>
          </w:p>
        </w:tc>
        <w:tc>
          <w:tcPr>
            <w:tcW w:type="dxa" w:w="2268"/>
          </w:tcPr>
          <w:p>
            <w:r/>
            <w:r>
              <w:rPr>
                <w:rFonts w:ascii="Times New Roman" w:hAnsi="Times New Roman"/>
                <w:b/>
                <w:i w:val="0"/>
                <w:sz w:val="20"/>
              </w:rPr>
              <w:t>Estado</w:t>
            </w:r>
          </w:p>
        </w:tc>
      </w:tr>
      <w:tr>
        <w:tc>
          <w:tcPr>
            <w:tcW w:type="dxa" w:w="2835"/>
          </w:tcPr>
          <w:p>
            <w:r/>
            <w:r>
              <w:rPr>
                <w:rFonts w:ascii="Times New Roman" w:hAnsi="Times New Roman"/>
                <w:b w:val="0"/>
                <w:i w:val="0"/>
                <w:sz w:val="20"/>
              </w:rPr>
              <w:t>Generación de Acta del Comité de Becas</w:t>
            </w:r>
          </w:p>
        </w:tc>
        <w:tc>
          <w:tcPr>
            <w:tcW w:type="dxa" w:w="2835"/>
          </w:tcPr>
          <w:p>
            <w:r/>
            <w:r>
              <w:rPr>
                <w:rFonts w:ascii="Times New Roman" w:hAnsi="Times New Roman"/>
                <w:b w:val="0"/>
                <w:i w:val="0"/>
                <w:sz w:val="20"/>
              </w:rPr>
              <w:t>Clasificación y formato correctos con datos reales (46 registros)</w:t>
            </w:r>
          </w:p>
        </w:tc>
        <w:tc>
          <w:tcPr>
            <w:tcW w:type="dxa" w:w="2268"/>
          </w:tcPr>
          <w:p>
            <w:r/>
            <w:r>
              <w:rPr>
                <w:rFonts w:ascii="Times New Roman" w:hAnsi="Times New Roman"/>
                <w:b w:val="0"/>
                <w:i w:val="0"/>
                <w:sz w:val="20"/>
              </w:rPr>
              <w:t>Validado</w:t>
            </w:r>
          </w:p>
        </w:tc>
      </w:tr>
      <w:tr>
        <w:tc>
          <w:tcPr>
            <w:tcW w:type="dxa" w:w="2835"/>
          </w:tcPr>
          <w:p>
            <w:r/>
            <w:r>
              <w:rPr>
                <w:rFonts w:ascii="Times New Roman" w:hAnsi="Times New Roman"/>
                <w:b w:val="0"/>
                <w:i w:val="0"/>
                <w:sz w:val="20"/>
              </w:rPr>
              <w:t>OCR — campos numéricos</w:t>
            </w:r>
          </w:p>
        </w:tc>
        <w:tc>
          <w:tcPr>
            <w:tcW w:type="dxa" w:w="2835"/>
          </w:tcPr>
          <w:p>
            <w:r/>
            <w:r>
              <w:rPr>
                <w:rFonts w:ascii="Times New Roman" w:hAnsi="Times New Roman"/>
                <w:b w:val="0"/>
                <w:i w:val="0"/>
                <w:sz w:val="20"/>
              </w:rPr>
              <w:t>Precisión aceptable, requiere revisión puntual</w:t>
            </w:r>
          </w:p>
        </w:tc>
        <w:tc>
          <w:tcPr>
            <w:tcW w:type="dxa" w:w="2268"/>
          </w:tcPr>
          <w:p>
            <w:r/>
            <w:r>
              <w:rPr>
                <w:rFonts w:ascii="Times New Roman" w:hAnsi="Times New Roman"/>
                <w:b w:val="0"/>
                <w:i w:val="0"/>
                <w:sz w:val="20"/>
              </w:rPr>
              <w:t>Validado con reservas</w:t>
            </w:r>
          </w:p>
        </w:tc>
      </w:tr>
      <w:tr>
        <w:tc>
          <w:tcPr>
            <w:tcW w:type="dxa" w:w="2835"/>
          </w:tcPr>
          <w:p>
            <w:r/>
            <w:r>
              <w:rPr>
                <w:rFonts w:ascii="Times New Roman" w:hAnsi="Times New Roman"/>
                <w:b w:val="0"/>
                <w:i w:val="0"/>
                <w:sz w:val="20"/>
              </w:rPr>
              <w:t>OCR — campos de texto manuscrito</w:t>
            </w:r>
          </w:p>
        </w:tc>
        <w:tc>
          <w:tcPr>
            <w:tcW w:type="dxa" w:w="2835"/>
          </w:tcPr>
          <w:p>
            <w:r/>
            <w:r>
              <w:rPr>
                <w:rFonts w:ascii="Times New Roman" w:hAnsi="Times New Roman"/>
                <w:b w:val="0"/>
                <w:i w:val="0"/>
                <w:sz w:val="20"/>
              </w:rPr>
              <w:t>Precisión limitada, requiere revisión obligatoria</w:t>
            </w:r>
          </w:p>
        </w:tc>
        <w:tc>
          <w:tcPr>
            <w:tcW w:type="dxa" w:w="2268"/>
          </w:tcPr>
          <w:p>
            <w:r/>
            <w:r>
              <w:rPr>
                <w:rFonts w:ascii="Times New Roman" w:hAnsi="Times New Roman"/>
                <w:b w:val="0"/>
                <w:i w:val="0"/>
                <w:sz w:val="20"/>
              </w:rPr>
              <w:t>Mitigado por diseño (revisión humana)</w:t>
            </w:r>
          </w:p>
        </w:tc>
      </w:tr>
      <w:tr>
        <w:tc>
          <w:tcPr>
            <w:tcW w:type="dxa" w:w="2835"/>
          </w:tcPr>
          <w:p>
            <w:r/>
            <w:r>
              <w:rPr>
                <w:rFonts w:ascii="Times New Roman" w:hAnsi="Times New Roman"/>
                <w:b w:val="0"/>
                <w:i w:val="0"/>
                <w:sz w:val="20"/>
              </w:rPr>
              <w:t>Alertas de vencimiento de requisitos</w:t>
            </w:r>
          </w:p>
        </w:tc>
        <w:tc>
          <w:tcPr>
            <w:tcW w:type="dxa" w:w="2835"/>
          </w:tcPr>
          <w:p>
            <w:r/>
            <w:r>
              <w:rPr>
                <w:rFonts w:ascii="Times New Roman" w:hAnsi="Times New Roman"/>
                <w:b w:val="0"/>
                <w:i w:val="0"/>
                <w:sz w:val="20"/>
              </w:rPr>
              <w:t>Detección y actualización en tiempo real correctas</w:t>
            </w:r>
          </w:p>
        </w:tc>
        <w:tc>
          <w:tcPr>
            <w:tcW w:type="dxa" w:w="2268"/>
          </w:tcPr>
          <w:p>
            <w:r/>
            <w:r>
              <w:rPr>
                <w:rFonts w:ascii="Times New Roman" w:hAnsi="Times New Roman"/>
                <w:b w:val="0"/>
                <w:i w:val="0"/>
                <w:sz w:val="20"/>
              </w:rPr>
              <w:t>Validado</w:t>
            </w:r>
          </w:p>
        </w:tc>
      </w:tr>
    </w:tbl>
    <w:p/>
    <w:p>
      <w:r>
        <w:rPr>
          <w:rFonts w:ascii="Times New Roman" w:hAnsi="Times New Roman"/>
          <w:b/>
          <w:i w:val="0"/>
          <w:sz w:val="28"/>
        </w:rPr>
        <w:t>8. Conclusiones</w:t>
      </w:r>
    </w:p>
    <w:p>
      <w:pPr>
        <w:jc w:val="both"/>
      </w:pPr>
      <w:r>
        <w:rPr>
          <w:rFonts w:ascii="Times New Roman" w:hAnsi="Times New Roman"/>
          <w:b w:val="0"/>
          <w:i w:val="0"/>
          <w:sz w:val="24"/>
        </w:rPr>
        <w:t>El sistema desarrollado cumple con el objetivo general planteado: centraliza la gestión de becarios, automatiza el seguimiento de requisitos de renovación y reduce significativamente el tiempo administrativo requerido para la elaboración del Acta del Comité de Becas. Las pruebas realizadas con datos reales confirman la estabilidad de los módulos centrales del sistema.</w:t>
      </w:r>
    </w:p>
    <w:p>
      <w:pPr>
        <w:jc w:val="both"/>
      </w:pPr>
      <w:r>
        <w:rPr>
          <w:rFonts w:ascii="Times New Roman" w:hAnsi="Times New Roman"/>
          <w:b w:val="0"/>
          <w:i w:val="0"/>
          <w:sz w:val="24"/>
        </w:rPr>
        <w:t>El principal aprendizaje técnico del proyecto fue la importancia de diseñar mecanismos de control de calidad de datos (revisión humana obligatoria) cuando se incorporan tecnologías con precisión inherentemente limitada, como el reconocimiento óptico de caracteres sobre escritura manuscrita, en lugar de asumir una automatización completa no verificada.</w:t>
      </w:r>
    </w:p>
    <w:p>
      <w:pPr>
        <w:jc w:val="both"/>
      </w:pPr>
      <w:r>
        <w:rPr>
          <w:rFonts w:ascii="Times New Roman" w:hAnsi="Times New Roman"/>
          <w:b w:val="0"/>
          <w:i w:val="0"/>
          <w:sz w:val="24"/>
        </w:rPr>
        <w:t>[Completar con conclusiones específicas del equipo, dificultades adicionales encontradas, y recomendaciones para una posible versión futura del sistema.]</w:t>
      </w:r>
    </w:p>
    <w:p>
      <w:r>
        <w:rPr>
          <w:rFonts w:ascii="Times New Roman" w:hAnsi="Times New Roman"/>
          <w:b/>
          <w:i w:val="0"/>
          <w:sz w:val="28"/>
        </w:rPr>
        <w:t>9. Bibliografía (formato APA)</w:t>
      </w:r>
    </w:p>
    <w:p>
      <w:pPr>
        <w:jc w:val="both"/>
      </w:pPr>
      <w:r>
        <w:rPr>
          <w:rFonts w:ascii="Times New Roman" w:hAnsi="Times New Roman"/>
          <w:b w:val="0"/>
          <w:i w:val="0"/>
          <w:sz w:val="24"/>
        </w:rPr>
        <w:t>[Completar con las fuentes efectivamente consultadas por el equipo — documentación oficial de las librerías utilizadas, normativa institucional, y bibliografía de metodología de desarrollo de software, siguiendo el formato APA 7.ª edición. Ejemplo de formato:]</w:t>
      </w:r>
    </w:p>
    <w:p>
      <w:pPr>
        <w:jc w:val="both"/>
      </w:pPr>
      <w:r>
        <w:rPr>
          <w:rFonts w:ascii="Times New Roman" w:hAnsi="Times New Roman"/>
          <w:b w:val="0"/>
          <w:i w:val="0"/>
          <w:sz w:val="24"/>
        </w:rPr>
        <w:t>López Nieves, L. (2005). El corazón de Valtaire (1.ª ed.). Grupo Editorial Norma.</w:t>
      </w:r>
    </w:p>
    <w:p>
      <w:r>
        <w:rPr>
          <w:rFonts w:ascii="Times New Roman" w:hAnsi="Times New Roman"/>
          <w:b/>
          <w:i w:val="0"/>
          <w:sz w:val="28"/>
        </w:rPr>
        <w:t>10. Anexos</w:t>
      </w:r>
    </w:p>
    <w:p>
      <w:pPr>
        <w:jc w:val="both"/>
      </w:pPr>
      <w:r>
        <w:rPr>
          <w:rFonts w:ascii="Times New Roman" w:hAnsi="Times New Roman"/>
          <w:b w:val="0"/>
          <w:i w:val="0"/>
          <w:sz w:val="24"/>
        </w:rPr>
        <w:t>A continuación se presentan capturas del sistema en funcionamiento y del documento oficial generado automáticamente.</w:t>
      </w:r>
    </w:p>
    <w:p>
      <w:pPr>
        <w:jc w:val="center"/>
      </w:pPr>
      <w:r>
        <w:drawing>
          <wp:inline xmlns:a="http://schemas.openxmlformats.org/drawingml/2006/main" xmlns:pic="http://schemas.openxmlformats.org/drawingml/2006/picture">
            <wp:extent cx="5040000" cy="3240000"/>
            <wp:docPr id="1" name="Picture 1"/>
            <wp:cNvGraphicFramePr>
              <a:graphicFrameLocks noChangeAspect="1"/>
            </wp:cNvGraphicFramePr>
            <a:graphic>
              <a:graphicData uri="http://schemas.openxmlformats.org/drawingml/2006/picture">
                <pic:pic>
                  <pic:nvPicPr>
                    <pic:cNvPr id="0" name="inf_panel.png"/>
                    <pic:cNvPicPr/>
                  </pic:nvPicPr>
                  <pic:blipFill>
                    <a:blip r:embed="rId9"/>
                    <a:stretch>
                      <a:fillRect/>
                    </a:stretch>
                  </pic:blipFill>
                  <pic:spPr>
                    <a:xfrm>
                      <a:off x="0" y="0"/>
                      <a:ext cx="5040000" cy="3240000"/>
                    </a:xfrm>
                    <a:prstGeom prst="rect"/>
                  </pic:spPr>
                </pic:pic>
              </a:graphicData>
            </a:graphic>
          </wp:inline>
        </w:drawing>
      </w:r>
    </w:p>
    <w:p>
      <w:pPr>
        <w:jc w:val="center"/>
      </w:pPr>
      <w:r>
        <w:rPr>
          <w:rFonts w:ascii="Times New Roman" w:hAnsi="Times New Roman"/>
          <w:b w:val="0"/>
          <w:i w:val="0"/>
          <w:sz w:val="24"/>
        </w:rPr>
        <w:t>Figura 1. Panel de Control principal con datos cargados.</w:t>
      </w:r>
    </w:p>
    <w:p>
      <w:pPr>
        <w:jc w:val="center"/>
      </w:pPr>
      <w:r>
        <w:drawing>
          <wp:inline xmlns:a="http://schemas.openxmlformats.org/drawingml/2006/main" xmlns:pic="http://schemas.openxmlformats.org/drawingml/2006/picture">
            <wp:extent cx="5040000" cy="4788000"/>
            <wp:docPr id="2" name="Picture 2"/>
            <wp:cNvGraphicFramePr>
              <a:graphicFrameLocks noChangeAspect="1"/>
            </wp:cNvGraphicFramePr>
            <a:graphic>
              <a:graphicData uri="http://schemas.openxmlformats.org/drawingml/2006/picture">
                <pic:pic>
                  <pic:nvPicPr>
                    <pic:cNvPr id="0" name="inf_form.png"/>
                    <pic:cNvPicPr/>
                  </pic:nvPicPr>
                  <pic:blipFill>
                    <a:blip r:embed="rId10"/>
                    <a:stretch>
                      <a:fillRect/>
                    </a:stretch>
                  </pic:blipFill>
                  <pic:spPr>
                    <a:xfrm>
                      <a:off x="0" y="0"/>
                      <a:ext cx="5040000" cy="4788000"/>
                    </a:xfrm>
                    <a:prstGeom prst="rect"/>
                  </pic:spPr>
                </pic:pic>
              </a:graphicData>
            </a:graphic>
          </wp:inline>
        </w:drawing>
      </w:r>
    </w:p>
    <w:p>
      <w:pPr>
        <w:jc w:val="center"/>
      </w:pPr>
      <w:r>
        <w:rPr>
          <w:rFonts w:ascii="Times New Roman" w:hAnsi="Times New Roman"/>
          <w:b w:val="0"/>
          <w:i w:val="0"/>
          <w:sz w:val="24"/>
        </w:rPr>
        <w:t>Figura 2. Formulario de registro de Nuevo Becario.</w:t>
      </w:r>
    </w:p>
    <w:p>
      <w:pPr>
        <w:jc w:val="center"/>
      </w:pPr>
      <w:r>
        <w:drawing>
          <wp:inline xmlns:a="http://schemas.openxmlformats.org/drawingml/2006/main" xmlns:pic="http://schemas.openxmlformats.org/drawingml/2006/picture">
            <wp:extent cx="5040000" cy="3240000"/>
            <wp:docPr id="3" name="Picture 3"/>
            <wp:cNvGraphicFramePr>
              <a:graphicFrameLocks noChangeAspect="1"/>
            </wp:cNvGraphicFramePr>
            <a:graphic>
              <a:graphicData uri="http://schemas.openxmlformats.org/drawingml/2006/picture">
                <pic:pic>
                  <pic:nvPicPr>
                    <pic:cNvPr id="0" name="inf_pend.png"/>
                    <pic:cNvPicPr/>
                  </pic:nvPicPr>
                  <pic:blipFill>
                    <a:blip r:embed="rId11"/>
                    <a:stretch>
                      <a:fillRect/>
                    </a:stretch>
                  </pic:blipFill>
                  <pic:spPr>
                    <a:xfrm>
                      <a:off x="0" y="0"/>
                      <a:ext cx="5040000" cy="3240000"/>
                    </a:xfrm>
                    <a:prstGeom prst="rect"/>
                  </pic:spPr>
                </pic:pic>
              </a:graphicData>
            </a:graphic>
          </wp:inline>
        </w:drawing>
      </w:r>
    </w:p>
    <w:p>
      <w:pPr>
        <w:jc w:val="center"/>
      </w:pPr>
      <w:r>
        <w:rPr>
          <w:rFonts w:ascii="Times New Roman" w:hAnsi="Times New Roman"/>
          <w:b w:val="0"/>
          <w:i w:val="0"/>
          <w:sz w:val="24"/>
        </w:rPr>
        <w:t>Figura 3. Vista de Pendientes con becarios resaltados por incumplimiento de requisitos.</w:t>
      </w:r>
    </w:p>
    <w:p>
      <w:pPr>
        <w:jc w:val="center"/>
      </w:pPr>
      <w:r>
        <w:drawing>
          <wp:inline xmlns:a="http://schemas.openxmlformats.org/drawingml/2006/main" xmlns:pic="http://schemas.openxmlformats.org/drawingml/2006/picture">
            <wp:extent cx="5040000" cy="7123417"/>
            <wp:docPr id="4" name="Picture 4"/>
            <wp:cNvGraphicFramePr>
              <a:graphicFrameLocks noChangeAspect="1"/>
            </wp:cNvGraphicFramePr>
            <a:graphic>
              <a:graphicData uri="http://schemas.openxmlformats.org/drawingml/2006/picture">
                <pic:pic>
                  <pic:nvPicPr>
                    <pic:cNvPr id="0" name="inf_acta.png"/>
                    <pic:cNvPicPr/>
                  </pic:nvPicPr>
                  <pic:blipFill>
                    <a:blip r:embed="rId12"/>
                    <a:stretch>
                      <a:fillRect/>
                    </a:stretch>
                  </pic:blipFill>
                  <pic:spPr>
                    <a:xfrm>
                      <a:off x="0" y="0"/>
                      <a:ext cx="5040000" cy="7123417"/>
                    </a:xfrm>
                    <a:prstGeom prst="rect"/>
                  </pic:spPr>
                </pic:pic>
              </a:graphicData>
            </a:graphic>
          </wp:inline>
        </w:drawing>
      </w:r>
    </w:p>
    <w:p>
      <w:pPr>
        <w:jc w:val="center"/>
      </w:pPr>
      <w:r>
        <w:rPr>
          <w:rFonts w:ascii="Times New Roman" w:hAnsi="Times New Roman"/>
          <w:b w:val="0"/>
          <w:i w:val="0"/>
          <w:sz w:val="24"/>
        </w:rPr>
        <w:t>Figura 4. Acta del Comité de Becas generada automáticamente (página 1).</w:t>
      </w:r>
    </w:p>
    <w:sectPr w:rsidR="00FC693F" w:rsidRPr="0006063C" w:rsidSect="00034616">
      <w:pgSz w:w="12240" w:h="15840"/>
      <w:pgMar w:top="1701"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