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rFonts w:hint="default"/>
          <w:color w:val="123BB6"/>
        </w:rPr>
      </w:pPr>
      <w:r>
        <w:rPr>
          <w:rFonts w:hint="default"/>
          <w:color w:val="123BB6"/>
        </w:rPr>
        <w:t>Decisiones basadas en la arquitectura</w:t>
      </w:r>
    </w:p>
    <w:p>
      <w:pPr>
        <w:pStyle w:val="22"/>
        <w:rPr>
          <w:rFonts w:hint="default"/>
          <w:b/>
          <w:bCs/>
        </w:rPr>
      </w:pPr>
      <w:r>
        <w:rPr>
          <w:rFonts w:hint="default"/>
          <w:b/>
          <w:bCs/>
        </w:rPr>
        <w:t>Objetivo1: Creación de los micro-servicios</w:t>
      </w:r>
    </w:p>
    <w:p>
      <w:pPr>
        <w:pStyle w:val="22"/>
        <w:rPr>
          <w:rFonts w:hint="default"/>
          <w:b/>
          <w:bCs/>
        </w:rPr>
      </w:pPr>
      <w:r>
        <w:rPr>
          <w:rFonts w:hint="default"/>
          <w:b/>
          <w:bCs/>
          <w:sz w:val="28"/>
          <w:szCs w:val="28"/>
        </w:rPr>
        <w:t>Decisión sobre los micro-servicios:</w:t>
      </w:r>
    </w:p>
    <w:p>
      <w:pPr>
        <w:pStyle w:val="22"/>
      </w:pPr>
      <w:r>
        <w:t xml:space="preserve">Para dividir las entidades en dos microservicios coherentes, </w:t>
      </w:r>
      <w:r>
        <w:rPr>
          <w:rFonts w:hint="default"/>
        </w:rPr>
        <w:t>aplicaremos</w:t>
      </w:r>
      <w:r>
        <w:t xml:space="preserve"> principio de </w:t>
      </w:r>
      <w:r>
        <w:rPr>
          <w:b/>
          <w:bCs/>
        </w:rPr>
        <w:t>Dominio Limitado</w:t>
      </w:r>
      <w:r>
        <w:t xml:space="preserve"> (Bounded Context) de </w:t>
      </w:r>
      <w:r>
        <w:rPr>
          <w:b/>
          <w:bCs/>
        </w:rPr>
        <w:t>Diseño Dirigido por el Dominio</w:t>
      </w:r>
      <w:r>
        <w:t xml:space="preserve"> (DDD). Esto implica identificar los límites naturales dentro </w:t>
      </w:r>
      <w:r>
        <w:rPr>
          <w:rFonts w:hint="default"/>
        </w:rPr>
        <w:t>del</w:t>
      </w:r>
      <w:r>
        <w:t xml:space="preserve"> dominio de negocio y agrupar las entidades que comparten funcionalidad o datos.</w:t>
      </w:r>
    </w:p>
    <w:p>
      <w:pPr>
        <w:pStyle w:val="22"/>
      </w:pPr>
      <w:r>
        <w:t xml:space="preserve">En </w:t>
      </w:r>
      <w:r>
        <w:rPr>
          <w:rFonts w:hint="default"/>
        </w:rPr>
        <w:t>en nuestro caso</w:t>
      </w:r>
      <w:r>
        <w:t xml:space="preserve">, </w:t>
      </w:r>
      <w:r>
        <w:rPr>
          <w:rFonts w:hint="default"/>
        </w:rPr>
        <w:t>hay</w:t>
      </w:r>
      <w:r>
        <w:t xml:space="preserve"> dos contextos principales:</w:t>
      </w:r>
    </w:p>
    <w:p>
      <w:pPr>
        <w:pStyle w:val="22"/>
        <w:numPr>
          <w:ilvl w:val="0"/>
          <w:numId w:val="1"/>
        </w:numPr>
      </w:pPr>
      <w:r>
        <w:rPr>
          <w:b/>
          <w:bCs/>
        </w:rPr>
        <w:t>Gestión de Residuos</w:t>
      </w:r>
      <w:r>
        <w:t xml:space="preserve"> (Waste Management)</w:t>
      </w:r>
    </w:p>
    <w:p>
      <w:pPr>
        <w:pStyle w:val="22"/>
        <w:numPr>
          <w:ilvl w:val="0"/>
          <w:numId w:val="1"/>
        </w:numPr>
      </w:pPr>
      <w:r>
        <w:rPr>
          <w:b/>
          <w:bCs/>
        </w:rPr>
        <w:t>Autorizaciones de Centros de Residuos</w:t>
      </w:r>
      <w:r>
        <w:t xml:space="preserve"> (Waste Center Authorizations)</w:t>
      </w:r>
    </w:p>
    <w:p>
      <w:pPr>
        <w:pStyle w:val="22"/>
      </w:pPr>
      <w:r>
        <w:rPr>
          <w:rFonts w:hint="default"/>
        </w:rPr>
        <w:t>Por lo que se decidió aplicar la siguiente división</w:t>
      </w:r>
      <w:r>
        <w:t>:</w:t>
      </w:r>
    </w:p>
    <w:p>
      <w:pPr>
        <w:pStyle w:val="22"/>
      </w:pPr>
      <w:r>
        <w:rPr>
          <w:b/>
          <w:bCs/>
        </w:rPr>
        <w:t>Microservicio de Gestión de Residuos</w:t>
      </w:r>
      <w:r>
        <w:t>:</w:t>
      </w:r>
    </w:p>
    <w:p>
      <w:pPr>
        <w:pStyle w:val="22"/>
        <w:numPr>
          <w:ilvl w:val="0"/>
          <w:numId w:val="2"/>
        </w:numPr>
      </w:pPr>
      <w:r>
        <w:rPr>
          <w:color w:val="111111"/>
          <w:shd w:val="clear" w:color="auto" w:fill="F1F1F1"/>
        </w:rPr>
        <w:t>WasteManagerEntity</w:t>
      </w:r>
      <w:r>
        <w:t>: Contiene la información principal del gestor de residuos.</w:t>
      </w:r>
    </w:p>
    <w:p>
      <w:pPr>
        <w:pStyle w:val="22"/>
        <w:numPr>
          <w:ilvl w:val="0"/>
          <w:numId w:val="2"/>
        </w:numPr>
      </w:pPr>
      <w:r>
        <w:rPr>
          <w:color w:val="111111"/>
          <w:shd w:val="clear" w:color="auto" w:fill="F1F1F1"/>
        </w:rPr>
        <w:t>WasteManagerAddressEntity</w:t>
      </w:r>
      <w:r>
        <w:t>: Relacionada con la dirección del gestor de residuos.</w:t>
      </w:r>
    </w:p>
    <w:p>
      <w:pPr>
        <w:pStyle w:val="22"/>
      </w:pPr>
      <w:r>
        <w:rPr>
          <w:b/>
          <w:bCs/>
        </w:rPr>
        <w:t>Microservicio de Autorizaciones de Centros de Residuos</w:t>
      </w:r>
      <w:r>
        <w:t>:</w:t>
      </w:r>
    </w:p>
    <w:p>
      <w:pPr>
        <w:pStyle w:val="22"/>
        <w:numPr>
          <w:ilvl w:val="0"/>
          <w:numId w:val="2"/>
        </w:numPr>
      </w:pPr>
      <w:r>
        <w:rPr>
          <w:color w:val="111111"/>
          <w:shd w:val="clear" w:color="auto" w:fill="F1F1F1"/>
        </w:rPr>
        <w:t>WasteCenterAuthorizationEntity</w:t>
      </w:r>
      <w:r>
        <w:t>: Maneja las autorizaciones de los centros de residuos.</w:t>
      </w:r>
    </w:p>
    <w:p>
      <w:pPr>
        <w:pStyle w:val="22"/>
      </w:pPr>
      <w:r>
        <w:t xml:space="preserve">La entidad </w:t>
      </w:r>
      <w:r>
        <w:rPr>
          <w:color w:val="111111"/>
          <w:shd w:val="clear" w:color="auto" w:fill="F1F1F1"/>
        </w:rPr>
        <w:t>WasteManagerEntity</w:t>
      </w:r>
      <w:r>
        <w:t xml:space="preserve"> </w:t>
      </w:r>
      <w:r>
        <w:rPr>
          <w:rFonts w:hint="default"/>
        </w:rPr>
        <w:t>ahora tiene</w:t>
      </w:r>
      <w:r>
        <w:t xml:space="preserve"> una referencia a las autorizaciones a través de un identificador o clave foránea, en lugar de contener la lista completa de </w:t>
      </w:r>
      <w:r>
        <w:rPr>
          <w:color w:val="111111"/>
          <w:shd w:val="clear" w:color="auto" w:fill="F1F1F1"/>
        </w:rPr>
        <w:t>WasteCenterAuthorizationEntity</w:t>
      </w:r>
      <w:r>
        <w:t>. Esto ayuda a mantener los microservicios desacoplados y facilita la escalabilidad y el mantenimiento.</w:t>
      </w: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  <w:rPr>
          <w:rFonts w:hint="default"/>
        </w:rPr>
      </w:pPr>
      <w:r>
        <w:t>// Microservicio de Gestión de Residuos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public class WasteManagerEntity {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id;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String nombre;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String nif;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WasteManagerAddressEntity wasteManagerAddressEntity;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</w:t>
      </w:r>
      <w:r>
        <w:rPr>
          <w:rFonts w:hint="default" w:ascii="Courier New" w:hAnsi="Courier New" w:cs="Courier New"/>
          <w:color w:val="0000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 Referencia a las autorizaciones por ID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List&lt;Long&gt; listOfWasteCenterAuthorizationIds;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Boolean isEnabled = Boolean.TRUE;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version = 0L;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Date createdDate;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Date lastModifiedDate;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pStyle w:val="25"/>
        <w:rPr>
          <w:rFonts w:hint="default" w:ascii="Courier New" w:hAnsi="Courier New" w:cs="Courier New"/>
        </w:rPr>
      </w:pP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public class WasteManagerAddressEntity {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id;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String direccion;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Boolean isEnabled = Boolean.TRUE;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version = 0L;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Date createdDate;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Date lastModifiedDate;</w:t>
      </w:r>
    </w:p>
    <w:p>
      <w:pPr>
        <w:pStyle w:val="25"/>
      </w:pPr>
      <w:r>
        <w:t>}</w:t>
      </w:r>
    </w:p>
    <w:p>
      <w:pPr>
        <w:pStyle w:val="2"/>
        <w:bidi w:val="0"/>
      </w:pPr>
      <w:r>
        <w:t>// Microservicio de Autorizaciones de Centros de Residuos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public class WasteCenterAuthorizationEntity {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id;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String authorizationNumber;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pStyle w:val="22"/>
      </w:pPr>
      <w:r>
        <w:t>Con esta división, cada microservicio tiene su propia base de datos y lógica de negocio, lo que permite que se desarrollen, desplieguen y escale de manera independiente. Además, la comunicación entre microservicios se puede realizar mediante llamadas a API REST.</w:t>
      </w:r>
    </w:p>
    <w:p>
      <w:pPr>
        <w:pStyle w:val="22"/>
        <w:rPr>
          <w:rFonts w:hint="default"/>
          <w:b/>
          <w:bCs/>
        </w:rPr>
      </w:pPr>
      <w:r>
        <w:rPr>
          <w:rFonts w:hint="default"/>
          <w:b/>
          <w:bCs/>
          <w:sz w:val="28"/>
          <w:szCs w:val="28"/>
        </w:rPr>
        <w:t>Decisión sobre la composición de las clases:</w:t>
      </w:r>
      <w:r>
        <w:rPr>
          <w:rFonts w:hint="default"/>
          <w:b/>
          <w:bCs/>
        </w:rPr>
        <w:t xml:space="preserve"> </w:t>
      </w:r>
    </w:p>
    <w:p>
      <w:pPr>
        <w:pStyle w:val="22"/>
        <w:rPr>
          <w:rFonts w:hint="default"/>
        </w:rPr>
      </w:pPr>
      <w:r>
        <w:rPr>
          <w:rFonts w:hint="default"/>
        </w:rPr>
        <w:t xml:space="preserve">Se extrae a una clase AuditableBase.java de tipo abstracta los campos comunes de fines meramente auditables y se extiende en las clases entidades de esta. De esta manera, el </w:t>
      </w:r>
      <w:r>
        <w:rPr>
          <w:rFonts w:hint="default"/>
          <w:lang w:eastAsia="zh-CN"/>
        </w:rPr>
        <w:t xml:space="preserve">Principio de Responsabilidad Única </w:t>
      </w:r>
      <w:r>
        <w:rPr>
          <w:rFonts w:hint="default"/>
          <w:b/>
          <w:bCs/>
          <w:lang w:eastAsia="zh-CN"/>
        </w:rPr>
        <w:t>(Single Responsibility Principle)</w:t>
      </w:r>
      <w:r>
        <w:rPr>
          <w:rFonts w:hint="default"/>
          <w:lang w:eastAsia="zh-CN"/>
        </w:rPr>
        <w:t xml:space="preserve"> </w:t>
      </w:r>
      <w:r>
        <w:rPr>
          <w:rFonts w:hint="default"/>
        </w:rPr>
        <w:t>queda mejor implementado.</w:t>
      </w:r>
    </w:p>
    <w:p>
      <w:pPr>
        <w:pStyle w:val="22"/>
        <w:rPr>
          <w:rFonts w:hint="default"/>
        </w:rPr>
      </w:pP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public abstract class AuditableBase {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 xml:space="preserve">    @CreationTimestamp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 xml:space="preserve">    private Date createdDate;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 xml:space="preserve">    @UpdateTimestamp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 xml:space="preserve">    private Date lastModifiedDate;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 xml:space="preserve">    @Version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 xml:space="preserve">    private Long version;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pStyle w:val="22"/>
        <w:rPr>
          <w:rFonts w:hint="default"/>
        </w:rPr>
      </w:pPr>
    </w:p>
    <w:p>
      <w:pPr>
        <w:pStyle w:val="22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Decisión sobre la </w:t>
      </w:r>
      <w:r>
        <w:rPr>
          <w:rFonts w:hint="default"/>
          <w:b/>
          <w:bCs/>
          <w:sz w:val="28"/>
          <w:szCs w:val="28"/>
          <w:lang/>
        </w:rPr>
        <w:t>comunicación entre los microservicios</w:t>
      </w:r>
      <w:r>
        <w:rPr>
          <w:rFonts w:hint="default"/>
          <w:b/>
          <w:bCs/>
          <w:sz w:val="28"/>
          <w:szCs w:val="28"/>
        </w:rPr>
        <w:t>:</w:t>
      </w:r>
    </w:p>
    <w:p>
      <w:pPr>
        <w:pStyle w:val="22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lang/>
        </w:rPr>
      </w:pPr>
      <w:r>
        <w:rPr>
          <w:rFonts w:hint="default"/>
          <w:b w:val="0"/>
          <w:bCs w:val="0"/>
          <w:sz w:val="24"/>
          <w:szCs w:val="24"/>
          <w:lang/>
        </w:rPr>
        <w:t xml:space="preserve">Se decidió por el uso de </w:t>
      </w:r>
      <w:r>
        <w:rPr>
          <w:rFonts w:hint="default"/>
          <w:b/>
          <w:bCs/>
          <w:sz w:val="24"/>
          <w:szCs w:val="24"/>
          <w:lang/>
        </w:rPr>
        <w:t>Feign</w:t>
      </w:r>
      <w:r>
        <w:rPr>
          <w:rFonts w:hint="default"/>
          <w:b w:val="0"/>
          <w:bCs w:val="0"/>
          <w:sz w:val="24"/>
          <w:szCs w:val="24"/>
          <w:lang/>
        </w:rPr>
        <w:t>, debido a las siguientes ventajas: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Es un cliente web declarativo que simplifica la escritura de clientes de servicios web.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Está más orientado al lado del servidor, especialmente en microservicios basados en Spring Cloud.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Proporciona soporte para anotaciones de Spring MVC y se integra bien con Eureka.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sz w:val="24"/>
          <w:szCs w:val="24"/>
          <w:lang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</w:pPr>
      <w:r>
        <w:rPr>
          <w:rFonts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Para manejar respuestas negativas en 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el</w:t>
      </w:r>
      <w:r>
        <w:rPr>
          <w:rFonts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 servicio Feign sin interrumpir el flujo de 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la</w:t>
      </w:r>
      <w:r>
        <w:rPr>
          <w:rFonts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 aplicación, 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de decidió</w:t>
      </w:r>
      <w:r>
        <w:rPr>
          <w:rFonts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 implementar un patrón de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 </w:t>
      </w:r>
      <w:r>
        <w:rPr>
          <w:rStyle w:val="16"/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fallback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. Este patrón permite definir una clase que se ejecutará como respaldo en caso de que la llamada al servicio falle.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Además se decidió por el uso de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 </w:t>
      </w:r>
      <w:r>
        <w:rPr>
          <w:rStyle w:val="16"/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Hystrix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 para un control más avanzado de los mecanismos de tolerancia a fallos. </w:t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Hystrix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 te permite definir métodos de </w:t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fallback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, timeouts, y circuit breakers para manejar fallos en las llamadas a servicios remotos.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sz w:val="24"/>
          <w:szCs w:val="24"/>
          <w:lang/>
        </w:rPr>
      </w:pPr>
    </w:p>
    <w:p>
      <w:pPr>
        <w:pStyle w:val="22"/>
        <w:rPr>
          <w:rFonts w:hint="default"/>
          <w:b/>
          <w:bCs/>
        </w:rPr>
      </w:pPr>
    </w:p>
    <w:p>
      <w:pPr>
        <w:pStyle w:val="22"/>
      </w:pPr>
    </w:p>
    <w:sectPr>
      <w:headerReference r:id="rId3" w:type="default"/>
      <w:pgSz w:w="11906" w:h="16838"/>
      <w:pgMar w:top="30" w:right="1440" w:bottom="1440" w:left="1440" w:header="708" w:footer="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rFonts w:hint="default"/>
      </w:rPr>
    </w:pPr>
    <w:r>
      <w:rPr>
        <w:rFonts w:hint="default"/>
      </w:rPr>
      <w:t>Documentación de la toma de decisiones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D1604"/>
    <w:multiLevelType w:val="singleLevel"/>
    <w:tmpl w:val="A2BD16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D7E20D8"/>
    <w:multiLevelType w:val="multilevel"/>
    <w:tmpl w:val="AD7E20D8"/>
    <w:lvl w:ilvl="0" w:tentative="0">
      <w:start w:val="1"/>
      <w:numFmt w:val="bullet"/>
      <w:lvlText w:val="●"/>
      <w:lvlJc w:val="left"/>
      <w:pPr>
        <w:ind w:left="720" w:hanging="360"/>
      </w:pPr>
    </w:lvl>
    <w:lvl w:ilvl="1" w:tentative="0">
      <w:start w:val="1"/>
      <w:numFmt w:val="bullet"/>
      <w:lvlText w:val="○"/>
      <w:lvlJc w:val="left"/>
      <w:pPr>
        <w:ind w:left="1440" w:hanging="360"/>
      </w:pPr>
    </w:lvl>
    <w:lvl w:ilvl="2" w:tentative="0">
      <w:start w:val="1"/>
      <w:numFmt w:val="bullet"/>
      <w:lvlText w:val="■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</w:lvl>
    <w:lvl w:ilvl="4" w:tentative="0">
      <w:start w:val="1"/>
      <w:numFmt w:val="bullet"/>
      <w:lvlText w:val="○"/>
      <w:lvlJc w:val="left"/>
      <w:pPr>
        <w:ind w:left="3600" w:hanging="360"/>
      </w:pPr>
    </w:lvl>
    <w:lvl w:ilvl="5" w:tentative="0">
      <w:start w:val="1"/>
      <w:numFmt w:val="bullet"/>
      <w:lvlText w:val="■"/>
      <w:lvlJc w:val="left"/>
      <w:pPr>
        <w:ind w:left="4320" w:hanging="360"/>
      </w:pPr>
    </w:lvl>
    <w:lvl w:ilvl="6" w:tentative="0">
      <w:start w:val="1"/>
      <w:numFmt w:val="bullet"/>
      <w:lvlText w:val="●"/>
      <w:lvlJc w:val="left"/>
      <w:pPr>
        <w:ind w:left="5040" w:hanging="360"/>
      </w:pPr>
    </w:lvl>
    <w:lvl w:ilvl="7" w:tentative="0">
      <w:start w:val="1"/>
      <w:numFmt w:val="bullet"/>
      <w:lvlText w:val="●"/>
      <w:lvlJc w:val="left"/>
      <w:pPr>
        <w:ind w:left="5760" w:hanging="360"/>
      </w:pPr>
    </w:lvl>
    <w:lvl w:ilvl="8" w:tentative="0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5F7FDFBA"/>
    <w:multiLevelType w:val="multilevel"/>
    <w:tmpl w:val="5F7FDFBA"/>
    <w:lvl w:ilvl="0" w:tentative="0">
      <w:start w:val="1"/>
      <w:numFmt w:val="decimal"/>
      <w:lvlText w:val="%1."/>
      <w:lvlJc w:val="left"/>
      <w:pPr>
        <w:ind w:left="720" w:hanging="259"/>
      </w:pPr>
    </w:lvl>
    <w:lvl w:ilvl="1" w:tentative="0">
      <w:start w:val="1"/>
      <w:numFmt w:val="lowerLetter"/>
      <w:lvlText w:val="%2."/>
      <w:lvlJc w:val="left"/>
      <w:pPr>
        <w:ind w:left="1080" w:hanging="259"/>
      </w:pPr>
    </w:lvl>
    <w:lvl w:ilvl="2" w:tentative="0">
      <w:start w:val="1"/>
      <w:numFmt w:val="upperLetter"/>
      <w:lvlText w:val="%3)"/>
      <w:lvlJc w:val="left"/>
      <w:pPr>
        <w:ind w:left="1440" w:hanging="259"/>
      </w:pPr>
    </w:lvl>
    <w:lvl w:ilvl="3" w:tentative="0">
      <w:start w:val="1"/>
      <w:numFmt w:val="upperRoman"/>
      <w:lvlText w:val="%4)"/>
      <w:lvlJc w:val="left"/>
      <w:pPr>
        <w:ind w:left="2880" w:hanging="242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FC4A4D3"/>
    <w:rsid w:val="3EDD8B5E"/>
    <w:rsid w:val="57EEBC9B"/>
    <w:rsid w:val="667AF603"/>
    <w:rsid w:val="7AE5533D"/>
    <w:rsid w:val="CFFFA346"/>
    <w:rsid w:val="D56FA8A2"/>
    <w:rsid w:val="D7DF97D7"/>
    <w:rsid w:val="F3F503EC"/>
    <w:rsid w:val="FFEFEB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paragraph" w:styleId="2">
    <w:name w:val="heading 1"/>
    <w:next w:val="1"/>
    <w:qFormat/>
    <w:uiPriority w:val="0"/>
    <w:pPr>
      <w:spacing w:before="144" w:after="72" w:line="276" w:lineRule="auto"/>
    </w:pPr>
    <w:rPr>
      <w:rFonts w:ascii="Segoe UI" w:hAnsi="Segoe UI" w:eastAsia="Segoe UI" w:cs="Segoe UI"/>
      <w:b/>
      <w:bCs/>
      <w:color w:val="005366"/>
      <w:sz w:val="24"/>
      <w:szCs w:val="24"/>
    </w:rPr>
  </w:style>
  <w:style w:type="paragraph" w:styleId="3">
    <w:name w:val="heading 2"/>
    <w:next w:val="1"/>
    <w:qFormat/>
    <w:uiPriority w:val="0"/>
    <w:rPr>
      <w:rFonts w:ascii="Times New Roman" w:hAnsi="Times New Roman" w:eastAsia="SimSun" w:cs="Times New Roman"/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rFonts w:ascii="Times New Roman" w:hAnsi="Times New Roman" w:eastAsia="SimSun" w:cs="Times New Roman"/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rFonts w:ascii="Times New Roman" w:hAnsi="Times New Roman" w:eastAsia="SimSun" w:cs="Times New Roman"/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rFonts w:ascii="Times New Roman" w:hAnsi="Times New Roman" w:eastAsia="SimSun" w:cs="Times New Roman"/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rFonts w:ascii="Times New Roman" w:hAnsi="Times New Roman" w:eastAsia="SimSun" w:cs="Times New Roman"/>
      <w:color w:val="1F4D78"/>
      <w:sz w:val="21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paragraph" w:styleId="12">
    <w:name w:val="footnote text"/>
    <w:link w:val="19"/>
    <w:semiHidden/>
    <w:unhideWhenUsed/>
    <w:qFormat/>
    <w:uiPriority w:val="99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unhideWhenUsed/>
    <w:qFormat/>
    <w:uiPriority w:val="99"/>
    <w:rPr>
      <w:color w:val="0563C1"/>
      <w:u w:val="single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8"/>
    <w:qFormat/>
    <w:uiPriority w:val="0"/>
    <w:rPr>
      <w:b/>
      <w:bCs/>
    </w:rPr>
  </w:style>
  <w:style w:type="paragraph" w:styleId="17">
    <w:name w:val="Title"/>
    <w:qFormat/>
    <w:uiPriority w:val="0"/>
    <w:rPr>
      <w:rFonts w:ascii="Times New Roman" w:hAnsi="Times New Roman" w:eastAsia="SimSun" w:cs="Times New Roman"/>
      <w:sz w:val="56"/>
      <w:szCs w:val="56"/>
    </w:rPr>
  </w:style>
  <w:style w:type="paragraph" w:styleId="18">
    <w:name w:val="List Paragraph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customStyle="1" w:styleId="19">
    <w:name w:val="Footnote Text Char"/>
    <w:link w:val="12"/>
    <w:semiHidden/>
    <w:unhideWhenUsed/>
    <w:qFormat/>
    <w:uiPriority w:val="99"/>
    <w:rPr>
      <w:sz w:val="20"/>
      <w:szCs w:val="20"/>
    </w:rPr>
  </w:style>
  <w:style w:type="paragraph" w:customStyle="1" w:styleId="20">
    <w:name w:val="Page Context Title Style"/>
    <w:qFormat/>
    <w:uiPriority w:val="0"/>
    <w:pPr>
      <w:spacing w:before="144" w:after="72" w:line="276" w:lineRule="auto"/>
    </w:pPr>
    <w:rPr>
      <w:rFonts w:ascii="Segoe UI" w:hAnsi="Segoe UI" w:eastAsia="Segoe UI" w:cs="Segoe UI"/>
      <w:b/>
      <w:bCs/>
      <w:color w:val="ED7D31"/>
      <w:sz w:val="24"/>
      <w:szCs w:val="24"/>
    </w:rPr>
  </w:style>
  <w:style w:type="paragraph" w:customStyle="1" w:styleId="21">
    <w:name w:val="Link Style"/>
    <w:qFormat/>
    <w:uiPriority w:val="0"/>
    <w:pPr>
      <w:spacing w:before="144" w:after="72" w:line="276" w:lineRule="auto"/>
    </w:pPr>
    <w:rPr>
      <w:rFonts w:ascii="Segoe UI" w:hAnsi="Segoe UI" w:eastAsia="Segoe UI" w:cs="Segoe UI"/>
      <w:b/>
      <w:bCs/>
      <w:color w:val="2E74B5"/>
      <w:sz w:val="24"/>
      <w:szCs w:val="24"/>
      <w:u w:val="single" w:color="2E74B5"/>
    </w:rPr>
  </w:style>
  <w:style w:type="paragraph" w:customStyle="1" w:styleId="22">
    <w:name w:val="Paragraph Text Style"/>
    <w:qFormat/>
    <w:uiPriority w:val="0"/>
    <w:pPr>
      <w:spacing w:before="144" w:after="72" w:line="276" w:lineRule="auto"/>
    </w:pPr>
    <w:rPr>
      <w:rFonts w:ascii="Segoe UI" w:hAnsi="Segoe UI" w:eastAsia="Segoe UI" w:cs="Segoe UI"/>
      <w:color w:val="000000"/>
      <w:sz w:val="26"/>
      <w:szCs w:val="26"/>
    </w:rPr>
  </w:style>
  <w:style w:type="paragraph" w:customStyle="1" w:styleId="23">
    <w:name w:val="Citation Style"/>
    <w:qFormat/>
    <w:uiPriority w:val="0"/>
    <w:rPr>
      <w:rFonts w:ascii="Segoe UI" w:hAnsi="Segoe UI" w:eastAsia="Segoe UI" w:cs="Segoe UI"/>
      <w:color w:val="000000"/>
      <w:sz w:val="20"/>
      <w:szCs w:val="20"/>
    </w:rPr>
  </w:style>
  <w:style w:type="paragraph" w:customStyle="1" w:styleId="24">
    <w:name w:val="Header Style"/>
    <w:qFormat/>
    <w:uiPriority w:val="0"/>
    <w:rPr>
      <w:rFonts w:ascii="Segoe UI" w:hAnsi="Segoe UI" w:eastAsia="Segoe UI" w:cs="Segoe UI"/>
      <w:color w:val="767676"/>
      <w:sz w:val="24"/>
      <w:szCs w:val="24"/>
    </w:rPr>
  </w:style>
  <w:style w:type="paragraph" w:customStyle="1" w:styleId="25">
    <w:name w:val="Code Style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</w:pPr>
    <w:rPr>
      <w:rFonts w:ascii="Consolas" w:hAnsi="Consolas" w:eastAsia="Droid Sans Fallback" w:cs="Courier New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Un-named</dc:creator>
  <cp:lastModifiedBy>david</cp:lastModifiedBy>
  <dcterms:modified xsi:type="dcterms:W3CDTF">2024-04-15T12:39:53Z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