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Atkinson Hyperlegible Next ExtraBold" w:cs="Atkinson Hyperlegible Next ExtraBold" w:eastAsia="Atkinson Hyperlegible Next ExtraBold" w:hAnsi="Atkinson Hyperlegible Next ExtraBold"/>
          <w:b w:val="0"/>
          <w:bCs w:val="0"/>
          <w:color w:val="1b1c1d"/>
          <w:sz w:val="44"/>
          <w:szCs w:val="44"/>
        </w:rPr>
      </w:pPr>
      <w:bookmarkStart w:colFirst="0" w:colLast="0" w:name="_x62whvn9k10p" w:id="0"/>
      <w:bookmarkEnd w:id="0"/>
      <w:r w:rsidDel="00000000" w:rsidR="00000000" w:rsidRPr="00000000">
        <w:rPr>
          <w:rFonts w:ascii="Atkinson Hyperlegible Next ExtraBold" w:cs="Atkinson Hyperlegible Next ExtraBold" w:eastAsia="Atkinson Hyperlegible Next ExtraBold" w:hAnsi="Atkinson Hyperlegible Next ExtraBold"/>
          <w:b w:val="0"/>
          <w:bCs w:val="0"/>
          <w:color w:val="1b1c1d"/>
          <w:sz w:val="44"/>
          <w:szCs w:val="44"/>
          <w:rtl w:val="0"/>
        </w:rPr>
        <w:t xml:space="preserve">The Conference of Landstewards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rPr>
      </w:pPr>
      <w:r w:rsidDel="00000000" w:rsidR="00000000" w:rsidRPr="00000000">
        <w:rPr>
          <w:rFonts w:ascii="Atkinson Hyperlegible Next" w:cs="Atkinson Hyperlegible Next" w:eastAsia="Atkinson Hyperlegible Next" w:hAnsi="Atkinson Hyperlegible Next"/>
          <w:color w:val="1b1c1d"/>
          <w:rtl w:val="0"/>
        </w:rPr>
        <w:t xml:space="preserve">Event Name: Conference of </w:t>
      </w:r>
      <w:r w:rsidDel="00000000" w:rsidR="00000000" w:rsidRPr="00000000">
        <w:rPr>
          <w:rFonts w:ascii="Atkinson Hyperlegible Next" w:cs="Atkinson Hyperlegible Next" w:eastAsia="Atkinson Hyperlegible Next" w:hAnsi="Atkinson Hyperlegible Next"/>
          <w:color w:val="1b1c1d"/>
          <w:rtl w:val="0"/>
        </w:rPr>
        <w:t xml:space="preserve">Landstewards</w:t>
      </w:r>
      <w:r w:rsidDel="00000000" w:rsidR="00000000" w:rsidRPr="00000000">
        <w:rPr>
          <w:rFonts w:ascii="Atkinson Hyperlegible Next" w:cs="Atkinson Hyperlegible Next" w:eastAsia="Atkinson Hyperlegible Next" w:hAnsi="Atkinson Hyperlegible Next"/>
          <w:color w:val="1b1c1d"/>
          <w:rtl w:val="0"/>
        </w:rPr>
        <w:t xml:space="preserve"> – An invitation from landowning to landstewarding.</w:t>
        <w:br w:type="textWrapping"/>
        <w:t xml:space="preserve">Date: April 26, 2025</w:t>
        <w:br w:type="textWrapping"/>
        <w:t xml:space="preserve">Venue: Kiwatule Country Club</w:t>
        <w:br w:type="textWrapping"/>
        <w:t xml:space="preserve">Rapporteur(s): Mwami Neri Ronald</w:t>
        <w:br w:type="textWrapping"/>
        <w:t xml:space="preserve">Organiser: Regenar Development Initiative for Nalubaaga Valley Community (NVC)</w:t>
        <w:br w:type="textWrapping"/>
        <w:t xml:space="preserve">Learning Partner: The Centre for Public Impact.</w:t>
        <w:br w:type="textWrapping"/>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w:cs="Atkinson Hyperlegible Next" w:eastAsia="Atkinson Hyperlegible Next" w:hAnsi="Atkinson Hyperlegible Next"/>
          <w:color w:val="1b1c1d"/>
        </w:rPr>
      </w:pPr>
      <w:bookmarkStart w:colFirst="0" w:colLast="0" w:name="_bd3c7pkvhvzd" w:id="1"/>
      <w:bookmarkEnd w:id="1"/>
      <w:r w:rsidDel="00000000" w:rsidR="00000000" w:rsidRPr="00000000">
        <w:rPr>
          <w:rFonts w:ascii="Atkinson Hyperlegible Next" w:cs="Atkinson Hyperlegible Next" w:eastAsia="Atkinson Hyperlegible Next" w:hAnsi="Atkinson Hyperlegible Next"/>
          <w:color w:val="1b1c1d"/>
          <w:rtl w:val="0"/>
        </w:rPr>
        <w:t xml:space="preserve">I. Summary: A New Dawn for Kiwaatule – An Experiment in Generating Collective Will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Following a year of community engagement, the inaugural Conference of Landstewards, was held on April 26, 2025, at Kiwatule Country Club, as part of an ongoing experiment designed to </w:t>
      </w: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unveil conditions that will align landowners with diverse interests to a shared purpose of stewarding the ecological, social, and economic health of their place?</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This gathering marked a profound step in the Kiwaatule’s journey towards regeneration.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Despite initial skepticism and external misinformation, the assembly of over +60 landowners evolved into a vibrant demonstration of collective will and shared purpose. Guided by Obuntu, participants engaged in reflection, unveiled the unseen potentials of their beloved Kiwaatule, and co-created an initial shared vision for 2030. The day culminated in the nomination of a diverse 19-person Organizing Committee, symbolizing a collective commitment to steward Kiwaatule's natural, social, and economic health.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air held both excitement and suspicion. Some participants, having heard distorted rumors, came ready to challenge. Yet as the conversation unfolded, tensions softened. By the day’s end, even the most skeptical had become stewards of the vision—literally nominated to join the organising committee.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symbolic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Obuwanika</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Drumming Ceremony, affirmed the start of shifting from fragmented land ownership to a unified spirit of collective stewardship, truly reawakening the "Drummings of Joy" that once defined this vibrant bioregion. This report captures the essence of this evolutionary gathering, highlighting the key insights, shared aspirations, and the foundational steps taken towards a truly regenerative urban future.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w:cs="Atkinson Hyperlegible Next" w:eastAsia="Atkinson Hyperlegible Next" w:hAnsi="Atkinson Hyperlegible Next"/>
          <w:color w:val="1b1c1d"/>
          <w:sz w:val="34"/>
          <w:szCs w:val="34"/>
        </w:rPr>
      </w:pPr>
      <w:bookmarkStart w:colFirst="0" w:colLast="0" w:name="_z5xepi5n17r3" w:id="2"/>
      <w:bookmarkEnd w:id="2"/>
      <w:r w:rsidDel="00000000" w:rsidR="00000000" w:rsidRPr="00000000">
        <w:rPr>
          <w:rFonts w:ascii="Atkinson Hyperlegible Next" w:cs="Atkinson Hyperlegible Next" w:eastAsia="Atkinson Hyperlegible Next" w:hAnsi="Atkinson Hyperlegible Next"/>
          <w:color w:val="1b1c1d"/>
          <w:sz w:val="34"/>
          <w:szCs w:val="34"/>
          <w:rtl w:val="0"/>
        </w:rPr>
        <w:t xml:space="preserve">II. Introduction: Setting the Stage for Transformation – A Bold Experiment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Conference of Landstewards was convened with the aim of: inviting landowners on a journey of prototyping the processes, structures, and systems of Collective Land Stewarding. This initiative seeks to enable landowners in Kiwaatule to collaborate on uplifting and sustaining the ecological, social, and economic potential of their place, with the models developed and envisioned as adaptable and replicable for other communities in Kampala and globally.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necessity of this innovative approach arises from the critical challenges facing contemporary urban development in Kiwaatule and beyond, characterized by fragmented land use, ecological degradation, social mistrust, and a profound disconnection from the inherent vitality of the place and civic agency. This initiative seeks to address these deep-seated issues by re-embedding human systems within living systems principles, guided by the wisdom of Obuntu, to enable true regeneration through landstewarding.</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event was framed as Experiment I of NVC's strategic plan, designed to test the conditions for aligning landowners to a shared purpose. The methodology employed a participatory and interactive approach, aiming to "align landowners with diverse interests to a shared purpose of awakening Kiwaatule’s spirit of collective action and Obuntu cultural values".</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atmosphere upon arrival, though initially marked by a slight delay, quickly transformed into one of eager curiosity and enthusiastic participation. Over 60 landowners, some drawn by genuine interest and others by a desire to clarify circulating misinformation, filled the room. The intentional circular seating arrangement immediately fostered an inclusive environment, emphasizing that every voice mattered.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Facilitators, Daniel Munaaba and Shedrick Bamuwamye, set a welcoming tone, and the spontaneous request for an opening prayer, led by a Muslim participant, underscored the community's spiritual grounding and desire for unity. Participants suggested adoption of both Luganda and English, further cementing an atmosphere of shared understanding. This initial engagement, where doubts were openly addressed and clarified, proved to be a powerful "invitation to change", transforming skepticism into active participation and even leading to nominations for the organizing committee.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w:cs="Atkinson Hyperlegible Next" w:eastAsia="Atkinson Hyperlegible Next" w:hAnsi="Atkinson Hyperlegible Next"/>
          <w:color w:val="1b1c1d"/>
          <w:sz w:val="34"/>
          <w:szCs w:val="34"/>
        </w:rPr>
      </w:pPr>
      <w:bookmarkStart w:colFirst="0" w:colLast="0" w:name="_54i6ppnqa4dy" w:id="3"/>
      <w:bookmarkEnd w:id="3"/>
      <w:r w:rsidDel="00000000" w:rsidR="00000000" w:rsidRPr="00000000">
        <w:rPr>
          <w:rFonts w:ascii="Atkinson Hyperlegible Next" w:cs="Atkinson Hyperlegible Next" w:eastAsia="Atkinson Hyperlegible Next" w:hAnsi="Atkinson Hyperlegible Next"/>
          <w:color w:val="1b1c1d"/>
          <w:sz w:val="34"/>
          <w:szCs w:val="34"/>
          <w:rtl w:val="0"/>
        </w:rPr>
        <w:t xml:space="preserve">III. Session-by-Session Highlights: Weaving Vision and Collective Will</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SemiBold" w:cs="Atkinson Hyperlegible Next SemiBold" w:eastAsia="Atkinson Hyperlegible Next SemiBold" w:hAnsi="Atkinson Hyperlegible Next SemiBold"/>
          <w:color w:val="1b1c1d"/>
          <w:sz w:val="26"/>
          <w:szCs w:val="26"/>
        </w:rPr>
      </w:pPr>
      <w:bookmarkStart w:colFirst="0" w:colLast="0" w:name="_x617u4ambmdk" w:id="4"/>
      <w:bookmarkEnd w:id="4"/>
      <w:r w:rsidDel="00000000" w:rsidR="00000000" w:rsidRPr="00000000">
        <w:rPr>
          <w:rFonts w:ascii="Atkinson Hyperlegible Next SemiBold" w:cs="Atkinson Hyperlegible Next SemiBold" w:eastAsia="Atkinson Hyperlegible Next SemiBold" w:hAnsi="Atkinson Hyperlegible Next SemiBold"/>
          <w:color w:val="1b1c1d"/>
          <w:sz w:val="26"/>
          <w:szCs w:val="26"/>
          <w:rtl w:val="0"/>
        </w:rPr>
        <w:t xml:space="preserve">1. Arrivals and Opening Reflection: Cultivating a Field of Trust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initial moments of the conference surfaced the power of authentic engagement. Despite a slight delay, the room quickly filled with over 25 participants, a mix of curious individuals and those seeking clarity amidst community rumors. The intentional circular seating arrangement, complemented by informative banners and project literature, immediately signaled an inclusive and transparent process. Facilitator Daniel Munaaba's warm welcome, followed by a participant-led opening prayer, grounded the gathering in a spirit of shared humanity and respect. The early request for introductions from all attendees, rather than just the organizing team, further democratized the space, fostering a sense of mutual recognition and trust. This participatory approach directly addressed the experimental sub-question: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Does eliciting a shared love for place, and small-group reflection on personal hopes and fears dissolve divisions and suspicion in favour of collaboration?</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A key moment of breakthrough occurred when participants voiced concerns about misinformation and the perceived lack of engagement with local leadership structures. Mr. Ouma highlighted the community's historical challenges with the Local Council (LC), expressing a desire for the initiative to bypass traditional, often regressive, channels. Mr. Shedrick Bamuwamye directly addressed rumors of land fraud, emphasizing the NVC's commitment to transparency and community well-being.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This direct, open communication, an "invitation to change", was crucial in shifting the initial atmosphere of suspicion. Participants, who had arrived with intentions of leaving early, remained engaged until late in the evening, a clear indicator of their deepening curiosity and willingness to explore alternatives for their livelihoods. The suggestion to use both Luganda and English further reinforced the inclusive spirit, ensuring that complex ideas were accessible to all, embodying the Obuntu principle of shared understanding and collective participation.</w:t>
      </w:r>
      <w:r w:rsidDel="00000000" w:rsidR="00000000" w:rsidRPr="00000000">
        <w:rPr>
          <w:rtl w:val="0"/>
        </w:rPr>
      </w:r>
    </w:p>
    <w:p w:rsidR="00000000" w:rsidDel="00000000" w:rsidP="00000000" w:rsidRDefault="00000000" w:rsidRPr="00000000" w14:paraId="00000014">
      <w:pPr>
        <w:pStyle w:val="Heading3"/>
        <w:pBdr>
          <w:top w:color="auto" w:space="0" w:sz="0" w:val="none"/>
          <w:left w:color="auto" w:space="0" w:sz="0" w:val="none"/>
          <w:bottom w:color="auto" w:space="0" w:sz="0" w:val="none"/>
          <w:right w:color="auto" w:space="0" w:sz="0" w:val="none"/>
          <w:between w:color="auto" w:space="0" w:sz="0" w:val="none"/>
        </w:pBdr>
        <w:spacing w:after="240" w:before="0" w:lineRule="auto"/>
        <w:jc w:val="both"/>
        <w:rPr>
          <w:rFonts w:ascii="Atkinson Hyperlegible Next SemiBold" w:cs="Atkinson Hyperlegible Next SemiBold" w:eastAsia="Atkinson Hyperlegible Next SemiBold" w:hAnsi="Atkinson Hyperlegible Next SemiBold"/>
          <w:color w:val="1b1c1d"/>
          <w:sz w:val="26"/>
          <w:szCs w:val="26"/>
        </w:rPr>
      </w:pPr>
      <w:bookmarkStart w:colFirst="0" w:colLast="0" w:name="_mdq6vsx6xnk6" w:id="5"/>
      <w:bookmarkEnd w:id="5"/>
      <w:r w:rsidDel="00000000" w:rsidR="00000000" w:rsidRPr="00000000">
        <w:rPr>
          <w:rFonts w:ascii="Atkinson Hyperlegible Next SemiBold" w:cs="Atkinson Hyperlegible Next SemiBold" w:eastAsia="Atkinson Hyperlegible Next SemiBold" w:hAnsi="Atkinson Hyperlegible Next SemiBold"/>
          <w:color w:val="1b1c1d"/>
          <w:sz w:val="26"/>
          <w:szCs w:val="26"/>
          <w:rtl w:val="0"/>
        </w:rPr>
        <w:t xml:space="preserve">2. Reasons We Love Kiwaatule: Unveiling Place-Sourced Potential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This session, facilitated by Mr. Shedrick Bamuwamye, delved into the heart of Kiwaatule's identity, inviting participants to reflect on their personal connections to the place. The small group discussions served as a powerful exercise in uncovering "place-sourced potential", revealing the inherent value and unique qualities that bind the community to its home. This directly explored the experimental sub-question: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Does eliciting a shared love for place... dissolve divisions and suspicion in favour of collaboration?</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Common themes emerged, painting a vivid picture of Kiwaatule's cherished attributes: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Deep-rooted Connection:</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Many participants highlighted their long-standing residency, often as a place of birth or long-term settlement, or owning assets here, all fostering a strong sense of attachment and belonging.</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Strategic Location &amp; Accessibility: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Its proximity to the city, excellent communication networks, and accessibility to essential services were consistently praised, underscoring its practical value.</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Natural Amenities:</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The pleasant weather conditions and the historical presence of abundant water springs were fondly remembered, hinting at a lost natural heritage.</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Economic Opportunities:</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Kiwaatule was recognized for its numerous business opportunities, reflecting its potential as a hub for livelihoods.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36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Social Cohesion &amp; Faith:</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The neighborhood spirit, friendly people, and the prevalence of faith (mosques and churches filling to capacity) were celebrated as foundational to community unity and collaboration.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A particularly poignant reflection came from Mr. Ssesanga Moses, who recounted the historical unity of the 1990s, where collective action built essential infrastructure like water pipe channels and the St. Mbaaga Tuzinde church. This historical narrative underscored Kiwaatule's "vocation of place"– a legacy of collaboration and shared development. Mr. Semakula further reinforced this, noting that residents had shared during one-on-one dialogues that past collective efforts attracted development and people to the area. And that people love Kiwaatule, because they participated in her development. This directly addressed the experimental sub-question: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How does providing historical/cultural “story of Kiwaatule” data influence willingness to collaborate?</w: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However, a sense of loss was also articulated. Mr. Sentamu John lamented the decline of this unity, questioning the "missing link" preventing a unified voice. Mr. Ouma directly attributed this decline to the "loss of Obuntu," recalling a time when people protected each other and slept safely outdoors. This collective yearning for a return to Obuntu and its spirit of collaboration highlighted the deep cultural memory of the place and its potential for reawakening. The fading memory of abundant springs, now lost to development, served as a powerful metaphor for the degradation of Kiwaatule's natural essence, reinforcing the urgency of the NVC's mission to restore the land as a living commons.</w: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SemiBold" w:cs="Atkinson Hyperlegible Next SemiBold" w:eastAsia="Atkinson Hyperlegible Next SemiBold" w:hAnsi="Atkinson Hyperlegible Next SemiBold"/>
          <w:b w:val="1"/>
          <w:bCs w:val="1"/>
          <w:color w:val="1b1c1d"/>
          <w:sz w:val="26"/>
          <w:szCs w:val="26"/>
        </w:rPr>
      </w:pPr>
      <w:bookmarkStart w:colFirst="0" w:colLast="0" w:name="_b1h5of437kos" w:id="6"/>
      <w:bookmarkEnd w:id="6"/>
      <w:r w:rsidDel="00000000" w:rsidR="00000000" w:rsidRPr="00000000">
        <w:rPr>
          <w:rFonts w:ascii="Atkinson Hyperlegible Next SemiBold" w:cs="Atkinson Hyperlegible Next SemiBold" w:eastAsia="Atkinson Hyperlegible Next SemiBold" w:hAnsi="Atkinson Hyperlegible Next SemiBold"/>
          <w:b w:val="1"/>
          <w:bCs w:val="1"/>
          <w:color w:val="1b1c1d"/>
          <w:sz w:val="26"/>
          <w:szCs w:val="26"/>
          <w:rtl w:val="0"/>
        </w:rPr>
        <w:t xml:space="preserve">3. The Unseen Potentials of Kiwaatule: Harnessing the Whole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session commenced with the evocative "Story of the Elephant and Blind Men," a powerful metaphor for understanding Kiwaatule as a complex, dynamic living system — whole. The story effectively illustrated that individual perspectives, while valid, often capture only a fragmented view of a larger reality. By bringing diverse viewpoints together, the community could begin to perceive the "whole picture" of Kiwaatule's current state and her potential for future flourishing. This framing was crucial for shifting mindsets from isolated problems to systemic opportunities, aligning with the concept of "harnessing potential".</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discussion then moved to the "Gifts of Kiwaatule" – the often-undervalued natural and human assets that hold immense regenerative potential:</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Nalubaaga Wetland:</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Identified as the "heart of this place," the wetland was presented not as a burden but as a source of vitality capable of uplifting the community. A video showcasing Nyandugu Eco Park in Kigali, Rwanda, provided a tangible example of how a degraded wetland could be transformed into a source of ecological and economic vitality. The NVC's intention to collaborate with the running KCCA/World-Bank flood control initiative, offering a "better proposal to restore nature and social wealth," underscored a proactive, regenerative approach.</w:t>
      </w:r>
      <w:r w:rsidDel="00000000" w:rsidR="00000000" w:rsidRPr="00000000">
        <w:rPr>
          <w:rtl w:val="0"/>
        </w:rPr>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Springs of Water:</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The historical abundance of water springs, now largely lost, was highlighted as a key natural asset. The idea of collecting lowland water for flushing toilets and creating ponds for employment demonstrated a practical approach to circularity and resource management, transforming floods from a nuisance into an opportunity for livelihoods.</w:t>
      </w:r>
      <w:r w:rsidDel="00000000" w:rsidR="00000000" w:rsidRPr="00000000">
        <w:rPr>
          <w:rtl w:val="0"/>
        </w:rPr>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Hilly Landscape: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It was shared that Mr. Jooga, the Kiwaatule Central Parish Chairman, eloquently articulated the potential of the hilly terrain for gravity-fed sewage systems that could be collected, converted into electricity and manure, and generate employment. This vision showcased how natural features could be leveraged for sustainable infrastructure and economic benefit.</w:t>
      </w:r>
      <w:r w:rsidDel="00000000" w:rsidR="00000000" w:rsidRPr="00000000">
        <w:rPr>
          <w:rtl w:val="0"/>
        </w:rPr>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The Land:</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Beyond its monetary value, the land was recognized for its untapped potential. The dialogue revealed that landowners had not fully "enjoyed its value," and the NVC proposed that collective action could significantly increase this value both in quantity and form (natural, social, economic), shifting from speculative extraction to shared prosperity.</w:t>
      </w:r>
      <w:r w:rsidDel="00000000" w:rsidR="00000000" w:rsidRPr="00000000">
        <w:rPr>
          <w:rtl w:val="0"/>
        </w:rPr>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Ancestral Identity &amp; Obuntu: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deep cultural roots of collaboration and harmony with nature, embodied in the Bantu ancestral identity and proverbs where animals and plants "speak," were emphasized. This cultural legacy was presented as the foundation for future self-governance, with Obuntu serving as the guiding philosophy for collective decision-making.</w:t>
      </w:r>
      <w:r w:rsidDel="00000000" w:rsidR="00000000" w:rsidRPr="00000000">
        <w:rPr>
          <w:rtl w:val="0"/>
        </w:rPr>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36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Youth: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session celebrated the innovative potential of Kiwaatule's youth, citing examples of students transforming plastics into petroleum. This highlighted the need to support local innovations through a "community fund" to create employment and prevent social challenges, recognising the need to develop the creative potential of youth as a vital source of human capital for regenerative livelihoods; and the need to shift from the colonial imposed paradigm of exporting raw materials and importers of finished products to being producers. </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8"/>
          <w:szCs w:val="28"/>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This session effectively "harnessed potential as a source of collective motivation", transforming abstract ideas into vivid possibilities for a thriving Kiwaatule.</w: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SemiBold" w:cs="Atkinson Hyperlegible Next SemiBold" w:eastAsia="Atkinson Hyperlegible Next SemiBold" w:hAnsi="Atkinson Hyperlegible Next SemiBold"/>
          <w:b w:val="1"/>
          <w:bCs w:val="1"/>
          <w:color w:val="1b1c1d"/>
          <w:sz w:val="26"/>
          <w:szCs w:val="26"/>
        </w:rPr>
      </w:pPr>
      <w:bookmarkStart w:colFirst="0" w:colLast="0" w:name="_jen8jvbjs9d5" w:id="7"/>
      <w:bookmarkEnd w:id="7"/>
      <w:r w:rsidDel="00000000" w:rsidR="00000000" w:rsidRPr="00000000">
        <w:rPr>
          <w:rFonts w:ascii="Atkinson Hyperlegible Next SemiBold" w:cs="Atkinson Hyperlegible Next SemiBold" w:eastAsia="Atkinson Hyperlegible Next SemiBold" w:hAnsi="Atkinson Hyperlegible Next SemiBold"/>
          <w:b w:val="1"/>
          <w:bCs w:val="1"/>
          <w:color w:val="1b1c1d"/>
          <w:sz w:val="26"/>
          <w:szCs w:val="26"/>
          <w:rtl w:val="0"/>
        </w:rPr>
        <w:t xml:space="preserve">4. Visioning Kiwaatule 2030: Co-Creating a Regenerative Future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Building on the unveiled potentials, participants engaged in a dynamic "collective visioning" exercise, a cornerstone of the NVC's approach to community-led regeneration. Small groups shared their dreams for Kiwaatule by 2030, translating aspirations into concrete "regenerative goals" focused on vitality, viability, and evolution. This directly addressed the experimental sub-question: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24"/>
          <w:szCs w:val="24"/>
          <w:highlight w:val="white"/>
          <w:vertAlign w:val="superscript"/>
        </w:rPr>
      </w:pP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Does an implicit “envisioning Kiwaatule-2030” exercise increase readiness to commit?</w: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An emerging collective vision for Kiwaatule 2030 around interconnected aspirations:</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Civic Education:</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A desire to build residents' capacity for community with knowledge of societal operations and active participation in development, fostering a more engaged citizenry.</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Enhanced Health Services:</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The establishment of a Grade IV health facility, aligning with historical community contributions and ensuring accessible healthcare for all.</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Sustainable Urban Development: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A shift towards community-owned real estate, modern markets, and the integration of backyard farming and tree planting, reflecting a move towards a "City as Commons" model.</w:t>
      </w:r>
      <w:r w:rsidDel="00000000" w:rsidR="00000000" w:rsidRPr="00000000">
        <w:rPr>
          <w:rtl w:val="0"/>
        </w:rPr>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Improved Transport and Infrastructure: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people suggested solutions like tukutuku transport, a footbridge connecting zones, and comprehensive physical planning with well-built drainage systems, addressing critical urban challenges.</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Advanced Waste Management &amp; Environmental Innovation:</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Transforming waste into valuable resources (e.g., briquettes, tiles, compost) and revitalizing Nalubaaga wetland for fishing and recreational activities, demonstrating circularity and ecological restoration.</w:t>
      </w:r>
      <w:r w:rsidDel="00000000" w:rsidR="00000000" w:rsidRPr="00000000">
        <w:rPr>
          <w:rtl w:val="0"/>
        </w:rPr>
      </w:r>
    </w:p>
    <w:p w:rsidR="00000000" w:rsidDel="00000000" w:rsidP="00000000" w:rsidRDefault="00000000" w:rsidRPr="00000000" w14:paraId="00000033">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Quality Education:</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Establishment of modern, affordable primary, secondary, and vocational schools, investing in the future generations of Kiwaatule.</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Economic Empowerment: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Formation of a financial mechanism for affordable credit, establishing hotel, and creation of manufacturing companies, all aimed at boosting local industry and job creation.</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Holistic Health &amp; Sustainability: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Introduction of community health initiatives and the establishment of a "living, full ecosystem" to ensure long-term environmental and social well-being.</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36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Enhanced Security: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Practical measures like naming roads, installing security cameras, and street lights to foster a safer community.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overwhelming sentiment was one of unity and shared purpose: "A united Kiwaatule where people are working together” was everybody’s vision. This collective excitement underscored the community's readiness to embark on the journey to Kiwaatule 2030, driven by a renewed sense of Obuntu and collaborative spirit.</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SemiBold" w:cs="Atkinson Hyperlegible Next SemiBold" w:eastAsia="Atkinson Hyperlegible Next SemiBold" w:hAnsi="Atkinson Hyperlegible Next SemiBold"/>
          <w:b w:val="1"/>
          <w:bCs w:val="1"/>
          <w:color w:val="1b1c1d"/>
          <w:sz w:val="26"/>
          <w:szCs w:val="26"/>
        </w:rPr>
      </w:pPr>
      <w:bookmarkStart w:colFirst="0" w:colLast="0" w:name="_r1hiuuponjp9" w:id="8"/>
      <w:bookmarkEnd w:id="8"/>
      <w:r w:rsidDel="00000000" w:rsidR="00000000" w:rsidRPr="00000000">
        <w:rPr>
          <w:rFonts w:ascii="Atkinson Hyperlegible Next SemiBold" w:cs="Atkinson Hyperlegible Next SemiBold" w:eastAsia="Atkinson Hyperlegible Next SemiBold" w:hAnsi="Atkinson Hyperlegible Next SemiBold"/>
          <w:b w:val="1"/>
          <w:bCs w:val="1"/>
          <w:color w:val="1b1c1d"/>
          <w:sz w:val="26"/>
          <w:szCs w:val="26"/>
          <w:rtl w:val="0"/>
        </w:rPr>
        <w:t xml:space="preserve">5. The Journey to Kiwaatule 2030: Transforming Fears into Purpose.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While the vision for Kiwaatule 2030 ignited enthusiasm, in the spirit of open conversation on the hard issues that we often ignore, participants were invited to share the "fears and barriers" that could impede the journey, and then collectively brainstorm pathways. These concerns, deeply rooted in historical experiences and systemic mistrust, highlighted the critical need for the NVC's "Re-Trusting" phase. This session directly addressed the experimental sub-question: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Does eliciting a shared love for place, and small-group reflection on personal hopes and fears dissolve divisions and suspicion in favour of collaboration?</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Key fears raised by the groups included:</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Mistrust of Intentions: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Concerns about the NVC potentially working "undercover for someone or an organization," with unclear vision, mission, or objectives. This echoed broader anxieties about land fraud and external manipulation.</w:t>
      </w:r>
      <w:r w:rsidDel="00000000" w:rsidR="00000000" w:rsidRPr="00000000">
        <w:rPr>
          <w:rtl w:val="0"/>
        </w:rPr>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Legal &amp; Financial Uncertainty:</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Questions regarding the involvement of lawyers, the high cost of land in Kiwaatule, and the source of funding for ambitious projects.</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Lack of Internal Trust:</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Acknowledgment of existing "lack of trust among ourselves" within the community.</w:t>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Fear of the Unknown/Government Interference:</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Apprehension about government questioning new development initiatives.</w:t>
      </w:r>
    </w:p>
    <w:p w:rsidR="00000000" w:rsidDel="00000000" w:rsidP="00000000" w:rsidRDefault="00000000" w:rsidRPr="00000000" w14:paraId="0000004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Lack of Collaboration &amp; Confidence: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A perceived deficit in collective action and self-belief within the community, especially around resource coordination.</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pacing w:after="360" w:lineRule="auto"/>
        <w:ind w:left="720" w:hanging="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Unclear timelines:</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excited members questioned “when is all this starting?” expressing the lack of clarity of timelines.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responses offered by participants and facilitators provided crucial "pathways" for overcoming these barriers, emphasizing transparency, legal safeguards, and consistent engagement:</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Involving Legal Support: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suggestion to "involve lawyers at every step" and draft "concrete agreements of collaboration" was seen as vital for building trust and ensuring legal protection for landowners.</w:t>
      </w:r>
      <w:r w:rsidDel="00000000" w:rsidR="00000000" w:rsidRPr="00000000">
        <w:rPr>
          <w:rtl w:val="0"/>
        </w:rPr>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Addressing Funding: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assurance that "we have the land that is needed, as there is both community input and support from funders" began to alleviate financial anxieties, by framing landowners as co-investors in Kiwaatule-2030. </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Cultivating Courage &amp; Consistency:</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Calls to "have courage and believe in ourselves" and to "maintain hope and consistency" by attending future meetings underscored the importance of sustained collective effort.</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Learning by Doing: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statement "</w:t>
      </w: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What we are doing now will lead us to the next step"</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suggested by a participant Mr. Mwesigwa emphasized a pragmatic, iterative approach to building capacity and trust, while embracing emergence.</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Inclusivity: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powerful plea from Nakiwala to involve women, stating "Women need to be involved; this should not be left to men only," highlighted the critical importance of diverse participation for genuine collective action.</w:t>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This session underscored that the journey to 2030 required a deliberate strategy to address deep-seated fears, build robust trust, and foster a resilient collective will, aligning with the NVC's phased approach to land recommoning.</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SemiBold" w:cs="Atkinson Hyperlegible Next SemiBold" w:eastAsia="Atkinson Hyperlegible Next SemiBold" w:hAnsi="Atkinson Hyperlegible Next SemiBold"/>
          <w:b w:val="1"/>
          <w:bCs w:val="1"/>
          <w:color w:val="1b1c1d"/>
          <w:sz w:val="26"/>
          <w:szCs w:val="26"/>
        </w:rPr>
      </w:pPr>
      <w:bookmarkStart w:colFirst="0" w:colLast="0" w:name="_6v9vzv6eatsx" w:id="9"/>
      <w:bookmarkEnd w:id="9"/>
      <w:r w:rsidDel="00000000" w:rsidR="00000000" w:rsidRPr="00000000">
        <w:rPr>
          <w:rFonts w:ascii="Atkinson Hyperlegible Next SemiBold" w:cs="Atkinson Hyperlegible Next SemiBold" w:eastAsia="Atkinson Hyperlegible Next SemiBold" w:hAnsi="Atkinson Hyperlegible Next SemiBold"/>
          <w:b w:val="1"/>
          <w:bCs w:val="1"/>
          <w:color w:val="1b1c1d"/>
          <w:sz w:val="26"/>
          <w:szCs w:val="26"/>
          <w:rtl w:val="0"/>
        </w:rPr>
        <w:t xml:space="preserve">8. Nominating the Organizing Committee: Formalizing Collective Stewardship</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post-lunch atmosphere remained highly energized, fueled by the anticipation of nominating the Organizing Committee – a crucial step in formalizing the NVC's self-organizing structure and distributed leadership. Mr. Semakula outlined the committee's vital roles, which included:</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pacing w:after="0" w:afterAutospacing="0" w:lineRule="auto"/>
        <w:ind w:left="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Drafting bylaws to govern the Nalubaaga Valley Community.</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pacing w:after="0" w:afterAutospacing="0" w:lineRule="auto"/>
        <w:ind w:left="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Registering the Nalubaaga Valley Community as a legal entity.</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pacing w:after="0" w:afterAutospacing="0" w:lineRule="auto"/>
        <w:ind w:left="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Implementing a governance system that enables landowners to steward their place, including voting on how collective funds are spent on community activities like youth mentorship and waste management.</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360" w:lineRule="auto"/>
        <w:ind w:left="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Participating in an intensive design week with government, funders and collaborators within two to three months, signaling a steady progression towards implementation.</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6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This directly addressed the experimental sub-question:</w:t>
        <w:br w:type="textWrapping"/>
        <w:t xml:space="preserve"> </w:t>
      </w:r>
      <w:r w:rsidDel="00000000" w:rsidR="00000000" w:rsidRPr="00000000">
        <w:rPr>
          <w:rFonts w:ascii="Atkinson Hyperlegible Next" w:cs="Atkinson Hyperlegible Next" w:eastAsia="Atkinson Hyperlegible Next" w:hAnsi="Atkinson Hyperlegible Next"/>
          <w:i w:val="1"/>
          <w:iCs w:val="1"/>
          <w:color w:val="1b1c1d"/>
          <w:sz w:val="24"/>
          <w:szCs w:val="24"/>
          <w:rtl w:val="0"/>
        </w:rPr>
        <w:t xml:space="preserve">What kind of tangible “next steps” (e.g. pilot demonstration like collective cleanup of Nalubaaga wetland, waste opportunity, small collective governance experiments) do landowners find most encouraging?</w: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emphasis on an "inclusive committee" – balanced by age, gender, landscape (lower and upper), and means of life – reflected the Obuntu principle of honoring plurality and ensuring diverse representation for holistic decision-making. The nomination process itself was highly participatory: participants were given sticky notes to nominate four individuals (an elder, a youth, and representatives from both upper and lower landscapes), with a specific criterion that nominated youth should be children of landowners to ensure deep attachment to the place. The suggestion from Madam Loyce to only vote for those present reinforced accountability and direct engagement.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subsequent "Circle of Silence," where the nominated committee sat surrounded by participants, followed by a prayer led by Mr. Kyeyune, was a moment of collective blessing and commitment. The "Drum ceremony," with drums being hit, symbolized the "reawakening of joy and collaboration", infusing the formal process with deep cultural significance and emotional resonance.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balance check of the voting outcomes confirmed the successful nomination of a diverse committee, representing various facets of the community. The final list of 19 nominated stewards, comprising landowners from Central, Balintuma, and Kigoowa, and including women and youth, demonstrated the community's commitment to inclusive governance and shared responsibility. Their unanimous acceptance of the roles underscored a powerful collective ownership of the vision for Kiwaatule's regeneration.</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SemiBold" w:cs="Atkinson Hyperlegible Next SemiBold" w:eastAsia="Atkinson Hyperlegible Next SemiBold" w:hAnsi="Atkinson Hyperlegible Next SemiBold"/>
          <w:b w:val="1"/>
          <w:bCs w:val="1"/>
          <w:color w:val="1b1c1d"/>
          <w:sz w:val="26"/>
          <w:szCs w:val="26"/>
        </w:rPr>
      </w:pPr>
      <w:bookmarkStart w:colFirst="0" w:colLast="0" w:name="_42xlqyr8dhre" w:id="10"/>
      <w:bookmarkEnd w:id="10"/>
      <w:r w:rsidDel="00000000" w:rsidR="00000000" w:rsidRPr="00000000">
        <w:rPr>
          <w:rFonts w:ascii="Atkinson Hyperlegible Next SemiBold" w:cs="Atkinson Hyperlegible Next SemiBold" w:eastAsia="Atkinson Hyperlegible Next SemiBold" w:hAnsi="Atkinson Hyperlegible Next SemiBold"/>
          <w:b w:val="1"/>
          <w:bCs w:val="1"/>
          <w:color w:val="1b1c1d"/>
          <w:sz w:val="26"/>
          <w:szCs w:val="26"/>
          <w:rtl w:val="0"/>
        </w:rPr>
        <w:t xml:space="preserve">9. Closing Ceremony: Affirming the Obuntu Spirit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closing ceremony showed an energetic start of a collective journey ahead guided by a renewed spirit of Obuntu. The highlight was the "Obuwanika Drumming Ceremony," a deeply symbolic ritual that resonated with the historical "Drummings of Joy" of Kiwaatule. This involved tying a yarn onto a drum and passing it around the circle – symbolising that creating joy is a collective endeavour.</w: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passing of a yarn, touched by everyone in the circle and then lifted together, beautifully symbolized the interconnectedness of the community and their shared commitment to uplift Kiwaatule as a united entity. This act physically embodied the Obuntu philosophy of "I am because we are," emphasizing that the strength of the whole depends on the contribution of each part. The closing atmosphere was charged with emotion, as people clapped, and expressed appreciation, celebrating the reawakened joy and the tangible steps taken towards collaboration.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final reflections from participants and the newly elected committee members were marked by a strong sense of responsibility and determination. They "vowed to take the right information about Nalubaaga Valley Community to their neighbors," transforming them into ambassadors of the NVC's vision. This commitment to transparent communication and community education is vital for countering misinformation and building broader support. The facilitators concluded by congratulating the interim committee and promising a follow-up meeting within two weeks to clarify their roles, ensuring continued momentum and clear pathways for action. The ceremony concluded with a powerful sense of collective purpose, signaling that the Conference of Land Stewards was not merely an event, but the genesis of an evolutionary movement.</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w:cs="Atkinson Hyperlegible Next" w:eastAsia="Atkinson Hyperlegible Next" w:hAnsi="Atkinson Hyperlegible Next"/>
          <w:color w:val="1b1c1d"/>
          <w:sz w:val="34"/>
          <w:szCs w:val="34"/>
        </w:rPr>
      </w:pPr>
      <w:bookmarkStart w:colFirst="0" w:colLast="0" w:name="_mqvoqe4tbjv" w:id="11"/>
      <w:bookmarkEnd w:id="11"/>
      <w:r w:rsidDel="00000000" w:rsidR="00000000" w:rsidRPr="00000000">
        <w:rPr>
          <w:rFonts w:ascii="Atkinson Hyperlegible Next" w:cs="Atkinson Hyperlegible Next" w:eastAsia="Atkinson Hyperlegible Next" w:hAnsi="Atkinson Hyperlegible Next"/>
          <w:color w:val="1b1c1d"/>
          <w:sz w:val="34"/>
          <w:szCs w:val="34"/>
          <w:rtl w:val="0"/>
        </w:rPr>
        <w:t xml:space="preserve">IV. General Observations: The Bud of a Regenerative Movement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Conference of Landstewards was characterized by a remarkable and sustained surge in energy and enthusiasm from its inception to its conclusion. What began with a cautious curiosity, punctuated with skepticism due to external rumors, steadily blossomed into a vibrant and engaged collective spirit. The participation levels remained consistently high, with attendees actively contributing to discussions, visioning exercises, and the crucial nomination process. This sustained engagement, far exceeding initial expectations, underscored the deep resonance of the NVC's vision with the community's aspirations for a better future.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575b5f"/>
          <w:sz w:val="42"/>
          <w:szCs w:val="42"/>
          <w:highlight w:val="white"/>
          <w:vertAlign w:val="superscript"/>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primary challenge encountered during the day was the pervasive "contradicting rumors" that had positioned the project as a threat to community members and their property, and confused this initiative with KCCA’s upcoming channelisation project. However, the transparent and direct approach of the facilitators, coupled with the open dialogue format, proved highly effective in dispelling these fears – at least for those who were present. The willingness of participants to voice their concerns and receive direct, honest responses was a critical factor in transforming initial resistance into trust and active involvement. This dynamic interaction aligns with the "Communication as an Invitation to Change" framework, where engagement at an emotional and intellectual level catalyzes new thinking and creativity, rather than holding onto old patterns.</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Moments of breakthrough and collective joy were abundant and deeply impactful:</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Transforming Fears into Purpose: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Perhaps the most energising session, it was laced with curiosity, collective self-discovery and learning and shifting mindsets and beliefs. This session enabled people to openly talk about the high-stakes, emotional, and controversial topics we usually ignore, yet they are the sources of potential. </w:t>
        <w:br w:type="textWrapping"/>
        <w:br w:type="textWrapping"/>
        <w:t xml:space="preserve">Going forward, NVC will organise more of these open conversations as a way of building strong community relations to inspire the lasting trust and collaboration needed to unlock potential of collective land stewarding.</w:t>
        <w:br w:type="textWrapping"/>
      </w:r>
      <w:r w:rsidDel="00000000" w:rsidR="00000000" w:rsidRPr="00000000">
        <w:rPr>
          <w:rtl w:val="0"/>
        </w:rPr>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Shared Meal:</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The lunch break served as more than just sustenance; it was a period of informal connection and deepening camaraderie, reinforcing the "family spirit" central to Obuntu.</w:t>
        <w:br w:type="textWrapping"/>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Leader Nominations: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The process of nominating the Organizing Committee was a powerful demonstration of democratic participation and collective agency, generating excitement and a sense of shared ownership.</w:t>
        <w:br w:type="textWrapping"/>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360" w:lineRule="auto"/>
        <w:ind w:left="360"/>
        <w:jc w:val="both"/>
        <w:rPr>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Obuwanika</w:t>
      </w: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 Ceremony:</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 These cultural rituals were the emotional peaks of the day, symbolizing the reawakening of joy, collaboration, and the collective commitment to stewardship. The physical act of lifting the yarn together in the Obuwanika ceremony vividly embodied the unity and shared purpose of the community in uplifting Kiwaatule.</w:t>
      </w:r>
    </w:p>
    <w:p w:rsidR="00000000" w:rsidDel="00000000" w:rsidP="00000000" w:rsidRDefault="00000000" w:rsidRPr="00000000" w14:paraId="0000005F">
      <w:pPr>
        <w:pStyle w:val="Heading3"/>
        <w:pBdr>
          <w:top w:color="auto" w:space="0" w:sz="0" w:val="none"/>
          <w:left w:color="auto" w:space="0" w:sz="0" w:val="none"/>
          <w:bottom w:color="auto" w:space="0" w:sz="0" w:val="none"/>
          <w:right w:color="auto" w:space="0" w:sz="0" w:val="none"/>
          <w:between w:color="auto" w:space="0" w:sz="0" w:val="none"/>
        </w:pBdr>
        <w:spacing w:after="360" w:before="0" w:lineRule="auto"/>
        <w:jc w:val="both"/>
        <w:rPr>
          <w:rFonts w:ascii="Atkinson Hyperlegible Next SemiBold" w:cs="Atkinson Hyperlegible Next SemiBold" w:eastAsia="Atkinson Hyperlegible Next SemiBold" w:hAnsi="Atkinson Hyperlegible Next SemiBold"/>
          <w:color w:val="1b1c1d"/>
          <w:sz w:val="26"/>
          <w:szCs w:val="26"/>
        </w:rPr>
      </w:pPr>
      <w:bookmarkStart w:colFirst="0" w:colLast="0" w:name="_r0hjggq2zinc" w:id="12"/>
      <w:bookmarkEnd w:id="12"/>
      <w:r w:rsidDel="00000000" w:rsidR="00000000" w:rsidRPr="00000000">
        <w:rPr>
          <w:rFonts w:ascii="Atkinson Hyperlegible Next SemiBold" w:cs="Atkinson Hyperlegible Next SemiBold" w:eastAsia="Atkinson Hyperlegible Next SemiBold" w:hAnsi="Atkinson Hyperlegible Next SemiBold"/>
          <w:color w:val="1b1c1d"/>
          <w:sz w:val="26"/>
          <w:szCs w:val="26"/>
          <w:rtl w:val="0"/>
        </w:rPr>
        <w:t xml:space="preserve">What didn’t go as expected;</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Rule="auto"/>
        <w:ind w:left="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Time management: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Although people stayed the course up to 6:20 PM, the timing didn’t go as expected because people came late, and kept asking slowing questions whose answers were in coming sessions. Future sessions need to factor in these.</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360" w:lineRule="auto"/>
        <w:ind w:left="360"/>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b w:val="1"/>
          <w:bCs w:val="1"/>
          <w:color w:val="1b1c1d"/>
          <w:sz w:val="24"/>
          <w:szCs w:val="24"/>
          <w:rtl w:val="0"/>
        </w:rPr>
        <w:t xml:space="preserve">Thoughting vs Visioning: </w:t>
      </w:r>
      <w:r w:rsidDel="00000000" w:rsidR="00000000" w:rsidRPr="00000000">
        <w:rPr>
          <w:rFonts w:ascii="Atkinson Hyperlegible Next" w:cs="Atkinson Hyperlegible Next" w:eastAsia="Atkinson Hyperlegible Next" w:hAnsi="Atkinson Hyperlegible Next"/>
          <w:color w:val="1b1c1d"/>
          <w:sz w:val="24"/>
          <w:szCs w:val="24"/>
          <w:rtl w:val="0"/>
        </w:rPr>
        <w:t xml:space="preserve">for the most part, the ‘visions’ that people shared for Kiwaatule 2030, weren't really visions that came from untapped potential as we anticipated. People relied on thoughts, or problems they’ve had in the past, rather than creating concrete visual dynamic images of a different future – seeing themselves interacting with services in their place. In the future, we will think of methods that make it easy for participants to see and interact with the future, as this generates higher-order will.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Atkinson Hyperlegible Next" w:cs="Atkinson Hyperlegible Next" w:eastAsia="Atkinson Hyperlegible Next" w:hAnsi="Atkinson Hyperlegible Next"/>
          <w:color w:val="1b1c1d"/>
          <w:sz w:val="24"/>
          <w:szCs w:val="24"/>
        </w:rPr>
      </w:pPr>
      <w:r w:rsidDel="00000000" w:rsidR="00000000" w:rsidRPr="00000000">
        <w:rPr>
          <w:rFonts w:ascii="Atkinson Hyperlegible Next" w:cs="Atkinson Hyperlegible Next" w:eastAsia="Atkinson Hyperlegible Next" w:hAnsi="Atkinson Hyperlegible Next"/>
          <w:color w:val="1b1c1d"/>
          <w:sz w:val="24"/>
          <w:szCs w:val="24"/>
          <w:rtl w:val="0"/>
        </w:rPr>
        <w:t xml:space="preserve">All in all, the conference successfully demonstrated that by centering indigenous wisdom, fostering transparent communication, and creating spaces for genuine co-creation, a community can overcome deep-seated mistrust and collectively embark on a transformative journey towards regenerative urban stewardship. People were energised and curious about the potential of working together around urban regeneration.</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Atkinson Hyperlegible Next" w:cs="Atkinson Hyperlegible Next" w:eastAsia="Atkinson Hyperlegible Next" w:hAnsi="Atkinson Hyperlegible Next"/>
          <w:color w:val="1b1c1d"/>
          <w:sz w:val="34"/>
          <w:szCs w:val="34"/>
        </w:rPr>
      </w:pPr>
      <w:bookmarkStart w:colFirst="0" w:colLast="0" w:name="_ajxnm4l0fulh" w:id="13"/>
      <w:bookmarkEnd w:id="13"/>
      <w:r w:rsidDel="00000000" w:rsidR="00000000" w:rsidRPr="00000000">
        <w:rPr>
          <w:rFonts w:ascii="Atkinson Hyperlegible Next" w:cs="Atkinson Hyperlegible Next" w:eastAsia="Atkinson Hyperlegible Next" w:hAnsi="Atkinson Hyperlegible Next"/>
          <w:color w:val="1b1c1d"/>
          <w:sz w:val="34"/>
          <w:szCs w:val="34"/>
          <w:rtl w:val="0"/>
        </w:rPr>
        <w:t xml:space="preserve">V. Attachments</w:t>
      </w:r>
    </w:p>
    <w:p w:rsidR="00000000" w:rsidDel="00000000" w:rsidP="00000000" w:rsidRDefault="00000000" w:rsidRPr="00000000" w14:paraId="00000064">
      <w:pPr>
        <w:numPr>
          <w:ilvl w:val="0"/>
          <w:numId w:val="1"/>
        </w:numPr>
        <w:spacing w:after="0" w:afterAutospacing="0" w:before="240" w:lineRule="auto"/>
        <w:ind w:left="360"/>
        <w:jc w:val="both"/>
        <w:rPr>
          <w:rFonts w:ascii="Atkinson Hyperlegible Next" w:cs="Atkinson Hyperlegible Next" w:eastAsia="Atkinson Hyperlegible Next" w:hAnsi="Atkinson Hyperlegible Next"/>
          <w:sz w:val="24"/>
          <w:szCs w:val="24"/>
        </w:rPr>
      </w:pPr>
      <w:hyperlink r:id="rId6">
        <w:r w:rsidDel="00000000" w:rsidR="00000000" w:rsidRPr="00000000">
          <w:rPr>
            <w:rFonts w:ascii="Atkinson Hyperlegible Next" w:cs="Atkinson Hyperlegible Next" w:eastAsia="Atkinson Hyperlegible Next" w:hAnsi="Atkinson Hyperlegible Next"/>
            <w:color w:val="1155cc"/>
            <w:sz w:val="24"/>
            <w:szCs w:val="24"/>
            <w:u w:val="single"/>
            <w:rtl w:val="0"/>
          </w:rPr>
          <w:t xml:space="preserve">Flipcharts, drawings</w:t>
        </w:r>
      </w:hyperlink>
      <w:r w:rsidDel="00000000" w:rsidR="00000000" w:rsidRPr="00000000">
        <w:rPr>
          <w:rtl w:val="0"/>
        </w:rPr>
      </w:r>
    </w:p>
    <w:p w:rsidR="00000000" w:rsidDel="00000000" w:rsidP="00000000" w:rsidRDefault="00000000" w:rsidRPr="00000000" w14:paraId="00000065">
      <w:pPr>
        <w:numPr>
          <w:ilvl w:val="0"/>
          <w:numId w:val="1"/>
        </w:numPr>
        <w:spacing w:after="0" w:afterAutospacing="0" w:before="0" w:beforeAutospacing="0" w:lineRule="auto"/>
        <w:ind w:left="360"/>
        <w:jc w:val="both"/>
        <w:rPr>
          <w:rFonts w:ascii="Atkinson Hyperlegible Next" w:cs="Atkinson Hyperlegible Next" w:eastAsia="Atkinson Hyperlegible Next" w:hAnsi="Atkinson Hyperlegible Next"/>
          <w:sz w:val="24"/>
          <w:szCs w:val="24"/>
        </w:rPr>
      </w:pPr>
      <w:hyperlink r:id="rId7">
        <w:r w:rsidDel="00000000" w:rsidR="00000000" w:rsidRPr="00000000">
          <w:rPr>
            <w:rFonts w:ascii="Atkinson Hyperlegible Next" w:cs="Atkinson Hyperlegible Next" w:eastAsia="Atkinson Hyperlegible Next" w:hAnsi="Atkinson Hyperlegible Next"/>
            <w:color w:val="1155cc"/>
            <w:sz w:val="24"/>
            <w:szCs w:val="24"/>
            <w:u w:val="single"/>
            <w:rtl w:val="0"/>
          </w:rPr>
          <w:t xml:space="preserve">Group vision documents</w:t>
        </w:r>
      </w:hyperlink>
      <w:r w:rsidDel="00000000" w:rsidR="00000000" w:rsidRPr="00000000">
        <w:rPr>
          <w:rtl w:val="0"/>
        </w:rPr>
      </w:r>
    </w:p>
    <w:p w:rsidR="00000000" w:rsidDel="00000000" w:rsidP="00000000" w:rsidRDefault="00000000" w:rsidRPr="00000000" w14:paraId="00000066">
      <w:pPr>
        <w:numPr>
          <w:ilvl w:val="0"/>
          <w:numId w:val="1"/>
        </w:numPr>
        <w:spacing w:after="0" w:afterAutospacing="0" w:before="0" w:beforeAutospacing="0" w:lineRule="auto"/>
        <w:ind w:left="360"/>
        <w:jc w:val="both"/>
        <w:rPr>
          <w:rFonts w:ascii="Atkinson Hyperlegible Next" w:cs="Atkinson Hyperlegible Next" w:eastAsia="Atkinson Hyperlegible Next" w:hAnsi="Atkinson Hyperlegible Next"/>
          <w:sz w:val="24"/>
          <w:szCs w:val="24"/>
        </w:rPr>
      </w:pPr>
      <w:hyperlink r:id="rId8">
        <w:r w:rsidDel="00000000" w:rsidR="00000000" w:rsidRPr="00000000">
          <w:rPr>
            <w:rFonts w:ascii="Atkinson Hyperlegible Next" w:cs="Atkinson Hyperlegible Next" w:eastAsia="Atkinson Hyperlegible Next" w:hAnsi="Atkinson Hyperlegible Next"/>
            <w:color w:val="1155cc"/>
            <w:sz w:val="24"/>
            <w:szCs w:val="24"/>
            <w:u w:val="single"/>
            <w:rtl w:val="0"/>
          </w:rPr>
          <w:t xml:space="preserve">Participant List</w:t>
        </w:r>
      </w:hyperlink>
      <w:r w:rsidDel="00000000" w:rsidR="00000000" w:rsidRPr="00000000">
        <w:rPr>
          <w:rtl w:val="0"/>
        </w:rPr>
      </w:r>
    </w:p>
    <w:p w:rsidR="00000000" w:rsidDel="00000000" w:rsidP="00000000" w:rsidRDefault="00000000" w:rsidRPr="00000000" w14:paraId="00000067">
      <w:pPr>
        <w:numPr>
          <w:ilvl w:val="0"/>
          <w:numId w:val="1"/>
        </w:numPr>
        <w:spacing w:after="0" w:afterAutospacing="0" w:before="0" w:beforeAutospacing="0" w:lineRule="auto"/>
        <w:ind w:left="360"/>
        <w:jc w:val="both"/>
        <w:rPr>
          <w:rFonts w:ascii="Atkinson Hyperlegible Next" w:cs="Atkinson Hyperlegible Next" w:eastAsia="Atkinson Hyperlegible Next" w:hAnsi="Atkinson Hyperlegible Next"/>
          <w:sz w:val="24"/>
          <w:szCs w:val="24"/>
        </w:rPr>
      </w:pPr>
      <w:hyperlink r:id="rId9">
        <w:r w:rsidDel="00000000" w:rsidR="00000000" w:rsidRPr="00000000">
          <w:rPr>
            <w:rFonts w:ascii="Atkinson Hyperlegible Next" w:cs="Atkinson Hyperlegible Next" w:eastAsia="Atkinson Hyperlegible Next" w:hAnsi="Atkinson Hyperlegible Next"/>
            <w:color w:val="1155cc"/>
            <w:sz w:val="24"/>
            <w:szCs w:val="24"/>
            <w:u w:val="single"/>
            <w:rtl w:val="0"/>
          </w:rPr>
          <w:t xml:space="preserve">Photos</w:t>
        </w:r>
      </w:hyperlink>
      <w:hyperlink r:id="rId10">
        <w:r w:rsidDel="00000000" w:rsidR="00000000" w:rsidRPr="00000000">
          <w:rPr>
            <w:rFonts w:ascii="Atkinson Hyperlegible Next" w:cs="Atkinson Hyperlegible Next" w:eastAsia="Atkinson Hyperlegible Next" w:hAnsi="Atkinson Hyperlegible Next"/>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068">
      <w:pPr>
        <w:numPr>
          <w:ilvl w:val="0"/>
          <w:numId w:val="1"/>
        </w:numPr>
        <w:spacing w:after="240" w:before="0" w:beforeAutospacing="0" w:lineRule="auto"/>
        <w:ind w:left="360"/>
        <w:jc w:val="both"/>
        <w:rPr>
          <w:rFonts w:ascii="Atkinson Hyperlegible Next" w:cs="Atkinson Hyperlegible Next" w:eastAsia="Atkinson Hyperlegible Next" w:hAnsi="Atkinson Hyperlegible Next"/>
          <w:sz w:val="24"/>
          <w:szCs w:val="24"/>
        </w:rPr>
      </w:pPr>
      <w:hyperlink r:id="rId11">
        <w:r w:rsidDel="00000000" w:rsidR="00000000" w:rsidRPr="00000000">
          <w:rPr>
            <w:rFonts w:ascii="Atkinson Hyperlegible Next" w:cs="Atkinson Hyperlegible Next" w:eastAsia="Atkinson Hyperlegible Next" w:hAnsi="Atkinson Hyperlegible Next"/>
            <w:color w:val="1155cc"/>
            <w:sz w:val="24"/>
            <w:szCs w:val="24"/>
            <w:u w:val="single"/>
            <w:rtl w:val="0"/>
          </w:rPr>
          <w:t xml:space="preserve">Video</w:t>
        </w:r>
      </w:hyperlink>
      <w:r w:rsidDel="00000000" w:rsidR="00000000" w:rsidRPr="00000000">
        <w:rPr>
          <w:rtl w:val="0"/>
        </w:rPr>
      </w:r>
    </w:p>
    <w:p w:rsidR="00000000" w:rsidDel="00000000" w:rsidP="00000000" w:rsidRDefault="00000000" w:rsidRPr="00000000" w14:paraId="00000069">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tkinson Hyperlegible Next ExtraBold">
    <w:embedBold w:fontKey="{00000000-0000-0000-0000-000000000000}" r:id="rId1" w:subsetted="0"/>
    <w:embedBoldItalic w:fontKey="{00000000-0000-0000-0000-000000000000}" r:id="rId2" w:subsetted="0"/>
  </w:font>
  <w:font w:name="Atkinson Hyperlegible Nex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tkinson Hyperlegible Nex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4"/>
      <w:szCs w:val="34"/>
    </w:rPr>
  </w:style>
  <w:style w:type="paragraph" w:styleId="Heading2">
    <w:name w:val="heading 2"/>
    <w:basedOn w:val="Normal"/>
    <w:next w:val="Normal"/>
    <w:pPr>
      <w:keepNext w:val="1"/>
      <w:keepLines w:val="1"/>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1drv.ms/f/c/6e92b6cfe8ef753d/El9O3ZHQaYtBt1wgVBHqpTQBgTb2urtMyE1AEnjctlrytw" TargetMode="External"/><Relationship Id="rId10" Type="http://schemas.openxmlformats.org/officeDocument/2006/relationships/hyperlink" Target="https://1drv.ms/f/c/6e92b6cfe8ef753d/El9O3ZHQaYtBt1wgVBHqpTQBgTb2urtMyE1AEnjctlrytw" TargetMode="External"/><Relationship Id="rId9" Type="http://schemas.openxmlformats.org/officeDocument/2006/relationships/hyperlink" Target="https://drive.google.com/drive/folders/1TeeYITifMIveg7Cp6KLjMbMO3l3wOoRS?usp=sharing" TargetMode="External"/><Relationship Id="rId5" Type="http://schemas.openxmlformats.org/officeDocument/2006/relationships/styles" Target="styles.xml"/><Relationship Id="rId6" Type="http://schemas.openxmlformats.org/officeDocument/2006/relationships/hyperlink" Target="https://1drv.ms/f/c/6e92b6cfe8ef753d/Er1rpiIkBTBDhY-I4motwBwBRVYQMiCfkK87-yIPL7hX4Q?e=ZXdtdF" TargetMode="External"/><Relationship Id="rId7" Type="http://schemas.openxmlformats.org/officeDocument/2006/relationships/hyperlink" Target="https://drive.google.com/drive/u/2/folders/1g9rsT3ZmQIKqw_4w22kVNpRUzeFFmowW" TargetMode="External"/><Relationship Id="rId8" Type="http://schemas.openxmlformats.org/officeDocument/2006/relationships/hyperlink" Target="https://docs.google.com/spreadsheets/d/1vwXc2dI1W7QhnhbW7YG-dwDEXKe1EnXy5ZcyODob-Z8/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NextExtraBold-bold.ttf"/><Relationship Id="rId2" Type="http://schemas.openxmlformats.org/officeDocument/2006/relationships/font" Target="fonts/AtkinsonHyperlegibleNextExtraBold-boldItalic.ttf"/><Relationship Id="rId3" Type="http://schemas.openxmlformats.org/officeDocument/2006/relationships/font" Target="fonts/AtkinsonHyperlegibleNextSemiBold-regular.ttf"/><Relationship Id="rId4" Type="http://schemas.openxmlformats.org/officeDocument/2006/relationships/font" Target="fonts/AtkinsonHyperlegibleNextSemiBold-bold.ttf"/><Relationship Id="rId10" Type="http://schemas.openxmlformats.org/officeDocument/2006/relationships/font" Target="fonts/AtkinsonHyperlegibleNext-boldItalic.ttf"/><Relationship Id="rId9" Type="http://schemas.openxmlformats.org/officeDocument/2006/relationships/font" Target="fonts/AtkinsonHyperlegibleNext-italic.ttf"/><Relationship Id="rId5" Type="http://schemas.openxmlformats.org/officeDocument/2006/relationships/font" Target="fonts/AtkinsonHyperlegibleNextSemiBold-italic.ttf"/><Relationship Id="rId6" Type="http://schemas.openxmlformats.org/officeDocument/2006/relationships/font" Target="fonts/AtkinsonHyperlegibleNextSemiBold-boldItalic.ttf"/><Relationship Id="rId7" Type="http://schemas.openxmlformats.org/officeDocument/2006/relationships/font" Target="fonts/AtkinsonHyperlegibleNext-regular.ttf"/><Relationship Id="rId8" Type="http://schemas.openxmlformats.org/officeDocument/2006/relationships/font" Target="fonts/AtkinsonHyperlegibleNex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