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Lines="50"/>
        <w:jc w:val="center"/>
        <w:rPr>
          <w:rFonts w:ascii="Times New Roman" w:hAnsi="Times New Roman" w:eastAsia="黑体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会议记录</w:t>
      </w:r>
    </w:p>
    <w:tbl>
      <w:tblPr>
        <w:tblStyle w:val="7"/>
        <w:tblW w:w="9736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3703"/>
        <w:gridCol w:w="1080"/>
        <w:gridCol w:w="3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会议名称</w:t>
            </w:r>
          </w:p>
        </w:tc>
        <w:tc>
          <w:tcPr>
            <w:tcW w:w="818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eastAsia="zh-CN"/>
              </w:rPr>
              <w:t>齿轮箱轴承检测交流会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会议时间</w:t>
            </w:r>
          </w:p>
        </w:tc>
        <w:tc>
          <w:tcPr>
            <w:tcW w:w="3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2017年0</w:t>
            </w: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月</w:t>
            </w: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22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日</w:t>
            </w:r>
            <w:r>
              <w:rPr>
                <w:rFonts w:hint="eastAsia" w:ascii="Times New Roman" w:hAnsi="Times New Roman" w:cs="Times New Roman"/>
                <w:sz w:val="28"/>
                <w:szCs w:val="28"/>
              </w:rPr>
              <w:t>上午</w:t>
            </w:r>
          </w:p>
        </w:tc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地 点</w:t>
            </w:r>
          </w:p>
        </w:tc>
        <w:tc>
          <w:tcPr>
            <w:tcW w:w="339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青岛四方工程中心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参加人员</w:t>
            </w:r>
          </w:p>
        </w:tc>
        <w:tc>
          <w:tcPr>
            <w:tcW w:w="818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四方：</w:t>
            </w:r>
            <w:r>
              <w:rPr>
                <w:rFonts w:hint="eastAsia" w:ascii="Times New Roman" w:hAnsi="Times New Roman" w:cs="Times New Roman"/>
                <w:sz w:val="28"/>
                <w:szCs w:val="28"/>
                <w:lang w:eastAsia="zh-CN"/>
              </w:rPr>
              <w:t>于翔等</w:t>
            </w: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相关四方</w:t>
            </w:r>
            <w:r>
              <w:rPr>
                <w:rFonts w:hint="eastAsia" w:ascii="Times New Roman" w:hAnsi="Times New Roman" w:cs="Times New Roman"/>
                <w:sz w:val="28"/>
                <w:szCs w:val="28"/>
                <w:lang w:eastAsia="zh-CN"/>
              </w:rPr>
              <w:t>工程师；</w:t>
            </w:r>
          </w:p>
          <w:p>
            <w:pPr>
              <w:rPr>
                <w:rFonts w:hint="eastAsia" w:ascii="Times New Roman" w:hAnsi="Times New Roman" w:cs="Times New Roman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eastAsia="zh-CN"/>
              </w:rPr>
              <w:t>戚所：李峰、刘志远；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交大：</w:t>
            </w:r>
            <w:r>
              <w:rPr>
                <w:rFonts w:hint="eastAsia" w:ascii="Times New Roman" w:hAnsi="Times New Roman" w:cs="Times New Roman"/>
                <w:sz w:val="28"/>
                <w:szCs w:val="28"/>
                <w:lang w:eastAsia="zh-CN"/>
              </w:rPr>
              <w:t>李艳萍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、</w:t>
            </w:r>
            <w:r>
              <w:rPr>
                <w:rFonts w:hint="eastAsia" w:ascii="Times New Roman" w:hAnsi="Times New Roman" w:cs="Times New Roman"/>
                <w:sz w:val="28"/>
                <w:szCs w:val="28"/>
                <w:lang w:eastAsia="zh-CN"/>
              </w:rPr>
              <w:t>胡永旭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、王志文</w:t>
            </w:r>
            <w:r>
              <w:rPr>
                <w:rFonts w:hint="eastAsia" w:ascii="Times New Roman" w:hAnsi="Times New Roman" w:cs="Times New Roman"/>
                <w:sz w:val="28"/>
                <w:szCs w:val="28"/>
                <w:lang w:eastAsia="zh-CN"/>
              </w:rPr>
              <w:t>；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89" w:hRule="atLeast"/>
        </w:trPr>
        <w:tc>
          <w:tcPr>
            <w:tcW w:w="9736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会议内容：</w:t>
            </w:r>
          </w:p>
          <w:p>
            <w:pPr>
              <w:spacing w:line="400" w:lineRule="exact"/>
              <w:ind w:firstLine="480" w:firstLineChars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2017年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月2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日，在四方股份工程中心，四方股份，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eastAsia="zh-CN"/>
              </w:rPr>
              <w:t>戚墅堰所，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西南交大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eastAsia="zh-CN"/>
              </w:rPr>
              <w:t>三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方就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380A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eastAsia="zh-CN"/>
              </w:rPr>
              <w:t>齿轮箱轴承综合检测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进行了技术交流，主要内容如下：</w:t>
            </w:r>
          </w:p>
          <w:p>
            <w:pPr>
              <w:numPr>
                <w:ilvl w:val="0"/>
                <w:numId w:val="1"/>
              </w:numPr>
              <w:spacing w:line="400" w:lineRule="exact"/>
              <w:ind w:firstLine="480" w:firstLineChars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四方股份介绍了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eastAsia="zh-CN"/>
              </w:rPr>
              <w:t>齿轮箱小轴承档边烧蚀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情况，着重对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eastAsia="zh-CN"/>
              </w:rPr>
              <w:t>其关心的滚子大端和内圈大档边接触点（纯滑动摩擦）的载荷和油膜破裂的边界条件进行了阐述，并且希望能对齿轮箱进行综合测试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；</w:t>
            </w:r>
          </w:p>
          <w:p>
            <w:pPr>
              <w:numPr>
                <w:ilvl w:val="0"/>
                <w:numId w:val="1"/>
              </w:numPr>
              <w:spacing w:line="400" w:lineRule="exact"/>
              <w:ind w:firstLine="480" w:firstLineChars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eastAsia="zh-CN"/>
              </w:rPr>
              <w:t>戚所介绍了之前东洋电机的轴承温度测试方案，与大家商讨了本次试验中的诸多细节问题，最后商讨了三方参与的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380A齿轮箱试验项目中的小齿轮损伤检测部分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eastAsia="zh-CN"/>
              </w:rPr>
              <w:t>；</w:t>
            </w:r>
          </w:p>
          <w:p>
            <w:pPr>
              <w:numPr>
                <w:ilvl w:val="0"/>
                <w:numId w:val="1"/>
              </w:numPr>
              <w:spacing w:line="400" w:lineRule="exact"/>
              <w:ind w:firstLine="480" w:firstLineChars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西南交大介绍了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eastAsia="zh-CN"/>
              </w:rPr>
              <w:t>轴承应力和油膜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检测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eastAsia="zh-CN"/>
              </w:rPr>
              <w:t>台架试验方案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、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eastAsia="zh-CN"/>
              </w:rPr>
              <w:t>试验过程中出现的机加工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以及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eastAsia="zh-CN"/>
              </w:rPr>
              <w:t>齿轮箱综合测试中现有振动、应变、油膜、温度和声发射的技术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情况，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eastAsia="zh-CN"/>
              </w:rPr>
              <w:t>并建议对轴承检测中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通过对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eastAsia="zh-CN"/>
              </w:rPr>
              <w:t>小轴承大档边的应力和油膜情况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的检测来反映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eastAsia="zh-CN"/>
              </w:rPr>
              <w:t>滚子大端和内圈大档边接触点的载荷等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变化对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eastAsia="zh-CN"/>
              </w:rPr>
              <w:t>轴承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的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eastAsia="zh-CN"/>
              </w:rPr>
              <w:t>烧蚀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作用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eastAsia="zh-CN"/>
              </w:rPr>
              <w:t>以及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380A齿轮箱和小齿轮损伤试验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等。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eastAsia="zh-CN"/>
              </w:rPr>
              <w:t>此外，还同大家商讨了此次试验前的仿真计算以及试验器材的方案与加工。</w:t>
            </w:r>
          </w:p>
          <w:p>
            <w:pPr>
              <w:spacing w:line="400" w:lineRule="exact"/>
              <w:ind w:firstLine="480" w:firstLineChars="200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line="400" w:lineRule="exact"/>
              <w:ind w:firstLine="480" w:firstLineChars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下一步工作</w:t>
            </w:r>
          </w:p>
          <w:p>
            <w:pPr>
              <w:spacing w:line="400" w:lineRule="exact"/>
              <w:ind w:firstLine="480" w:firstLineChars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、西南交大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向四方股份提供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eastAsia="zh-CN"/>
              </w:rPr>
              <w:t>齿轮箱轴承综合测试方案以及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相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文档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；</w:t>
            </w:r>
          </w:p>
          <w:p>
            <w:pPr>
              <w:spacing w:line="400" w:lineRule="exact"/>
              <w:ind w:firstLine="480" w:firstLineChars="200"/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2、四方股份将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eastAsia="zh-CN"/>
              </w:rPr>
              <w:t>相关资料进行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整合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eastAsia="zh-CN"/>
              </w:rPr>
              <w:t>，并在必要时提供给西南交大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；</w:t>
            </w:r>
          </w:p>
          <w:p>
            <w:pPr>
              <w:spacing w:line="400" w:lineRule="exact"/>
              <w:ind w:firstLine="480" w:firstLineChars="200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3、戚所提供台架试验场地，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eastAsia="zh-CN"/>
              </w:rPr>
              <w:t>并在必要时提供相应资料给西南交大；</w:t>
            </w:r>
          </w:p>
          <w:p>
            <w:pPr>
              <w:spacing w:line="400" w:lineRule="exact"/>
              <w:ind w:firstLine="480" w:firstLineChars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、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eastAsia="zh-CN"/>
              </w:rPr>
              <w:t>三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方就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eastAsia="zh-CN"/>
              </w:rPr>
              <w:t>齿轮箱轴承检测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项目继续保持沟通。</w:t>
            </w:r>
          </w:p>
          <w:p>
            <w:pPr>
              <w:spacing w:line="400" w:lineRule="exact"/>
              <w:ind w:firstLine="480" w:firstLineChars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jc w:val="left"/>
        <w:rPr>
          <w:lang w:val="en-US" w:eastAsia="zh-CN"/>
        </w:rPr>
      </w:pPr>
      <w:bookmarkStart w:id="0" w:name="_GoBack"/>
      <w:bookmarkEnd w:id="0"/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CA9B0"/>
    <w:multiLevelType w:val="singleLevel"/>
    <w:tmpl w:val="594CA9B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30579"/>
    <w:rsid w:val="000012D0"/>
    <w:rsid w:val="0000490B"/>
    <w:rsid w:val="00005EA8"/>
    <w:rsid w:val="00033A81"/>
    <w:rsid w:val="0004139E"/>
    <w:rsid w:val="00052117"/>
    <w:rsid w:val="00056295"/>
    <w:rsid w:val="000667D4"/>
    <w:rsid w:val="00072B00"/>
    <w:rsid w:val="0007376A"/>
    <w:rsid w:val="00077C4F"/>
    <w:rsid w:val="000E480C"/>
    <w:rsid w:val="00147387"/>
    <w:rsid w:val="00163055"/>
    <w:rsid w:val="00170DE8"/>
    <w:rsid w:val="00176137"/>
    <w:rsid w:val="001D4D5E"/>
    <w:rsid w:val="001E10EE"/>
    <w:rsid w:val="00275E82"/>
    <w:rsid w:val="00287EB2"/>
    <w:rsid w:val="002C6EE3"/>
    <w:rsid w:val="002E24F8"/>
    <w:rsid w:val="00301030"/>
    <w:rsid w:val="00314BD2"/>
    <w:rsid w:val="00323ABF"/>
    <w:rsid w:val="00323FEF"/>
    <w:rsid w:val="003314C4"/>
    <w:rsid w:val="003475F2"/>
    <w:rsid w:val="00377162"/>
    <w:rsid w:val="00382158"/>
    <w:rsid w:val="003E1752"/>
    <w:rsid w:val="003E5991"/>
    <w:rsid w:val="00405FAB"/>
    <w:rsid w:val="004706F8"/>
    <w:rsid w:val="004A3AD9"/>
    <w:rsid w:val="004B6DF8"/>
    <w:rsid w:val="004D1567"/>
    <w:rsid w:val="004E54CE"/>
    <w:rsid w:val="004E638F"/>
    <w:rsid w:val="005053B3"/>
    <w:rsid w:val="00507672"/>
    <w:rsid w:val="00554B82"/>
    <w:rsid w:val="0058523C"/>
    <w:rsid w:val="005D0751"/>
    <w:rsid w:val="005E6813"/>
    <w:rsid w:val="005F7C77"/>
    <w:rsid w:val="00601763"/>
    <w:rsid w:val="00634C9F"/>
    <w:rsid w:val="0065416E"/>
    <w:rsid w:val="006905C0"/>
    <w:rsid w:val="00693AB4"/>
    <w:rsid w:val="006A1FD4"/>
    <w:rsid w:val="006B2E2E"/>
    <w:rsid w:val="006F62DF"/>
    <w:rsid w:val="00703BA4"/>
    <w:rsid w:val="0071707B"/>
    <w:rsid w:val="00744224"/>
    <w:rsid w:val="00747FC7"/>
    <w:rsid w:val="00751DF1"/>
    <w:rsid w:val="00770CE7"/>
    <w:rsid w:val="007A31DB"/>
    <w:rsid w:val="007C74A3"/>
    <w:rsid w:val="007E0FE9"/>
    <w:rsid w:val="00804596"/>
    <w:rsid w:val="00843A12"/>
    <w:rsid w:val="00856E29"/>
    <w:rsid w:val="00903D58"/>
    <w:rsid w:val="00911F0F"/>
    <w:rsid w:val="00924284"/>
    <w:rsid w:val="009448AC"/>
    <w:rsid w:val="00963151"/>
    <w:rsid w:val="00975EC8"/>
    <w:rsid w:val="009F17CD"/>
    <w:rsid w:val="009F4830"/>
    <w:rsid w:val="00A5740D"/>
    <w:rsid w:val="00A6771B"/>
    <w:rsid w:val="00B633C5"/>
    <w:rsid w:val="00B71037"/>
    <w:rsid w:val="00B7142B"/>
    <w:rsid w:val="00B726BD"/>
    <w:rsid w:val="00B730DB"/>
    <w:rsid w:val="00B74B03"/>
    <w:rsid w:val="00B96BCD"/>
    <w:rsid w:val="00BA4E13"/>
    <w:rsid w:val="00BC0083"/>
    <w:rsid w:val="00C06C73"/>
    <w:rsid w:val="00C301B1"/>
    <w:rsid w:val="00C35646"/>
    <w:rsid w:val="00C430C1"/>
    <w:rsid w:val="00C513A4"/>
    <w:rsid w:val="00C51EB1"/>
    <w:rsid w:val="00C7327F"/>
    <w:rsid w:val="00C861FB"/>
    <w:rsid w:val="00C96C62"/>
    <w:rsid w:val="00CC2348"/>
    <w:rsid w:val="00CC56B8"/>
    <w:rsid w:val="00D0264D"/>
    <w:rsid w:val="00D30579"/>
    <w:rsid w:val="00D43F8B"/>
    <w:rsid w:val="00D87BD4"/>
    <w:rsid w:val="00D9486E"/>
    <w:rsid w:val="00E14D1B"/>
    <w:rsid w:val="00E252A6"/>
    <w:rsid w:val="00E90B89"/>
    <w:rsid w:val="00EB398F"/>
    <w:rsid w:val="00ED41FE"/>
    <w:rsid w:val="00F336E9"/>
    <w:rsid w:val="00F342D7"/>
    <w:rsid w:val="00F51E71"/>
    <w:rsid w:val="00F555FC"/>
    <w:rsid w:val="00F8663C"/>
    <w:rsid w:val="00F93885"/>
    <w:rsid w:val="00FC272F"/>
    <w:rsid w:val="00FC5CDB"/>
    <w:rsid w:val="00FE068D"/>
    <w:rsid w:val="00FF0752"/>
    <w:rsid w:val="00FF223E"/>
    <w:rsid w:val="01102BC9"/>
    <w:rsid w:val="01757B27"/>
    <w:rsid w:val="0240529A"/>
    <w:rsid w:val="025F7E3E"/>
    <w:rsid w:val="029726A3"/>
    <w:rsid w:val="034B0808"/>
    <w:rsid w:val="046C0285"/>
    <w:rsid w:val="072E1451"/>
    <w:rsid w:val="073645C2"/>
    <w:rsid w:val="08845C0D"/>
    <w:rsid w:val="08DB3E48"/>
    <w:rsid w:val="0919245E"/>
    <w:rsid w:val="0A1251D6"/>
    <w:rsid w:val="0BE02695"/>
    <w:rsid w:val="0D271CF6"/>
    <w:rsid w:val="0DB7491A"/>
    <w:rsid w:val="0DFE7646"/>
    <w:rsid w:val="0F330DE5"/>
    <w:rsid w:val="10872C90"/>
    <w:rsid w:val="10C3099A"/>
    <w:rsid w:val="10ED3B7B"/>
    <w:rsid w:val="110351C9"/>
    <w:rsid w:val="11700398"/>
    <w:rsid w:val="11B71DBF"/>
    <w:rsid w:val="11E71F65"/>
    <w:rsid w:val="12210833"/>
    <w:rsid w:val="14081F9C"/>
    <w:rsid w:val="163621FC"/>
    <w:rsid w:val="16C05A89"/>
    <w:rsid w:val="17460660"/>
    <w:rsid w:val="17DF0CB8"/>
    <w:rsid w:val="1871313B"/>
    <w:rsid w:val="1AAE3703"/>
    <w:rsid w:val="1CAC09CD"/>
    <w:rsid w:val="1D137F05"/>
    <w:rsid w:val="20861569"/>
    <w:rsid w:val="20894F5B"/>
    <w:rsid w:val="20A0465A"/>
    <w:rsid w:val="20E47385"/>
    <w:rsid w:val="21C43AD3"/>
    <w:rsid w:val="22DC52FC"/>
    <w:rsid w:val="231E5C5E"/>
    <w:rsid w:val="2359318A"/>
    <w:rsid w:val="23D50739"/>
    <w:rsid w:val="2559515A"/>
    <w:rsid w:val="26864F4A"/>
    <w:rsid w:val="26E351B5"/>
    <w:rsid w:val="26F13EB4"/>
    <w:rsid w:val="283B150C"/>
    <w:rsid w:val="2B5C7413"/>
    <w:rsid w:val="2B99656E"/>
    <w:rsid w:val="2DA503FD"/>
    <w:rsid w:val="2E0A11AC"/>
    <w:rsid w:val="2F1F5D79"/>
    <w:rsid w:val="313F6247"/>
    <w:rsid w:val="32752F14"/>
    <w:rsid w:val="3281328C"/>
    <w:rsid w:val="32E57DE8"/>
    <w:rsid w:val="33C5185A"/>
    <w:rsid w:val="33C53A12"/>
    <w:rsid w:val="34294949"/>
    <w:rsid w:val="34FA4BF6"/>
    <w:rsid w:val="35880450"/>
    <w:rsid w:val="362C0DA1"/>
    <w:rsid w:val="3730182C"/>
    <w:rsid w:val="377E5778"/>
    <w:rsid w:val="38C323F2"/>
    <w:rsid w:val="39270C49"/>
    <w:rsid w:val="39AC13CF"/>
    <w:rsid w:val="3A870568"/>
    <w:rsid w:val="3B3064AA"/>
    <w:rsid w:val="3CDE0792"/>
    <w:rsid w:val="3D273942"/>
    <w:rsid w:val="3D480B77"/>
    <w:rsid w:val="3ECB0E4B"/>
    <w:rsid w:val="404E54E4"/>
    <w:rsid w:val="40F10121"/>
    <w:rsid w:val="438E1EC5"/>
    <w:rsid w:val="44C4548E"/>
    <w:rsid w:val="457D3756"/>
    <w:rsid w:val="46E7027F"/>
    <w:rsid w:val="49A91022"/>
    <w:rsid w:val="4D2E20A7"/>
    <w:rsid w:val="4D470E30"/>
    <w:rsid w:val="4DC9412F"/>
    <w:rsid w:val="4DE04CFC"/>
    <w:rsid w:val="4E5732F6"/>
    <w:rsid w:val="4E6476BF"/>
    <w:rsid w:val="51CD00FD"/>
    <w:rsid w:val="52671E11"/>
    <w:rsid w:val="538B314C"/>
    <w:rsid w:val="5405214D"/>
    <w:rsid w:val="54705EBB"/>
    <w:rsid w:val="5510213C"/>
    <w:rsid w:val="557C30A6"/>
    <w:rsid w:val="598B4701"/>
    <w:rsid w:val="59916F98"/>
    <w:rsid w:val="5A06037C"/>
    <w:rsid w:val="5A34532A"/>
    <w:rsid w:val="5B88392F"/>
    <w:rsid w:val="5D20696C"/>
    <w:rsid w:val="5DAF7395"/>
    <w:rsid w:val="5EA14E4B"/>
    <w:rsid w:val="5ECB00E6"/>
    <w:rsid w:val="5F364F48"/>
    <w:rsid w:val="5FAA490E"/>
    <w:rsid w:val="605A1310"/>
    <w:rsid w:val="61642813"/>
    <w:rsid w:val="63512DFF"/>
    <w:rsid w:val="63D24E6C"/>
    <w:rsid w:val="63F76CE3"/>
    <w:rsid w:val="64113E6A"/>
    <w:rsid w:val="676D0DD8"/>
    <w:rsid w:val="6BE8491A"/>
    <w:rsid w:val="6E5041E2"/>
    <w:rsid w:val="705D1A1B"/>
    <w:rsid w:val="71181DEA"/>
    <w:rsid w:val="71AD2569"/>
    <w:rsid w:val="725924BE"/>
    <w:rsid w:val="72952418"/>
    <w:rsid w:val="73424C7C"/>
    <w:rsid w:val="77046A16"/>
    <w:rsid w:val="7A415534"/>
    <w:rsid w:val="7AE06F74"/>
    <w:rsid w:val="7AE5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4"/>
    <w:link w:val="3"/>
    <w:semiHidden/>
    <w:qFormat/>
    <w:uiPriority w:val="99"/>
    <w:rPr>
      <w:kern w:val="2"/>
      <w:sz w:val="18"/>
      <w:szCs w:val="18"/>
    </w:rPr>
  </w:style>
  <w:style w:type="character" w:customStyle="1" w:styleId="9">
    <w:name w:val="页脚 Char"/>
    <w:basedOn w:val="4"/>
    <w:link w:val="2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61</Words>
  <Characters>348</Characters>
  <Lines>2</Lines>
  <Paragraphs>1</Paragraphs>
  <ScaleCrop>false</ScaleCrop>
  <LinksUpToDate>false</LinksUpToDate>
  <CharactersWithSpaces>408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2017-01-10T04:44:00Z</dcterms:created>
  <dc:creator>Microsoft</dc:creator>
  <cp:lastModifiedBy>lenovo</cp:lastModifiedBy>
  <dcterms:modified xsi:type="dcterms:W3CDTF">2017-06-23T06:02:52Z</dcterms:modified>
  <cp:revision>112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