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Report: Comparation between Apriori Algorithm and Brute-force</w:t>
      </w:r>
    </w:p>
    <w:p>
      <w:pPr>
        <w:spacing w:before="120" w:after="120" w:line="288" w:lineRule="auto"/>
        <w:ind w:left="0"/>
        <w:jc w:val="center"/>
      </w:pPr>
      <w:r>
        <w:rPr>
          <w:rFonts w:eastAsia="等线" w:ascii="Arial" w:cs="Arial" w:hAnsi="Arial"/>
          <w:sz w:val="22"/>
        </w:rPr>
        <w:t>IN6227-2024-Assignment-2</w:t>
      </w:r>
    </w:p>
    <w:p>
      <w:pPr>
        <w:spacing w:before="120" w:after="120" w:line="288" w:lineRule="auto"/>
        <w:ind w:left="0"/>
        <w:jc w:val="center"/>
      </w:pPr>
      <w:r>
        <w:rPr>
          <w:rFonts w:eastAsia="等线" w:ascii="Arial" w:cs="Arial" w:hAnsi="Arial"/>
          <w:sz w:val="22"/>
        </w:rPr>
        <w:t>G2401631D</w:t>
      </w:r>
    </w:p>
    <w:p>
      <w:pPr>
        <w:spacing w:before="120" w:after="120" w:line="288" w:lineRule="auto"/>
        <w:ind w:left="0"/>
        <w:jc w:val="center"/>
      </w:pPr>
      <w:r>
        <w:rPr>
          <w:rFonts w:eastAsia="等线" w:ascii="Arial" w:cs="Arial" w:hAnsi="Arial"/>
          <w:sz w:val="22"/>
        </w:rPr>
        <w:t>Liang Hou</w:t>
      </w:r>
    </w:p>
    <w:p>
      <w:pPr>
        <w:spacing w:before="120" w:after="120" w:line="288" w:lineRule="auto"/>
        <w:ind w:left="0"/>
        <w:jc w:val="left"/>
      </w:pPr>
      <w:r>
        <w:rPr>
          <w:rFonts w:eastAsia="等线" w:ascii="Arial" w:cs="Arial" w:hAnsi="Arial"/>
          <w:b w:val="true"/>
          <w:sz w:val="22"/>
        </w:rPr>
        <w:t>Introduce</w:t>
      </w:r>
    </w:p>
    <w:p>
      <w:pPr>
        <w:spacing w:before="120" w:after="120" w:line="288" w:lineRule="auto"/>
        <w:ind w:left="0"/>
        <w:jc w:val="left"/>
      </w:pPr>
      <w:r>
        <w:rPr>
          <w:rFonts w:eastAsia="等线" w:ascii="Arial" w:cs="Arial" w:hAnsi="Arial"/>
          <w:sz w:val="22"/>
        </w:rPr>
        <w:t xml:space="preserve">In this report, I used the Orange Python library as my association rule mining tool to implement the Apriori algorithm. Additionally, I wrote a </w:t>
      </w:r>
      <w:r>
        <w:rPr>
          <w:rFonts w:eastAsia="Consolas" w:ascii="Consolas" w:cs="Consolas" w:hAnsi="Consolas"/>
          <w:sz w:val="22"/>
          <w:shd w:fill="EFF0F1"/>
        </w:rPr>
        <w:t>brute_force_association_rule_mining</w:t>
      </w:r>
      <w:r>
        <w:rPr>
          <w:rFonts w:eastAsia="等线" w:ascii="Arial" w:cs="Arial" w:hAnsi="Arial"/>
          <w:sz w:val="22"/>
        </w:rPr>
        <w:t xml:space="preserve"> function to implement a brute-force algorithm and compared their runtimes. I downloaded five datasets from Kaggle: </w:t>
      </w:r>
      <w:hyperlink r:id="rId4">
        <w:r>
          <w:rPr>
            <w:rFonts w:eastAsia="等线" w:ascii="Arial" w:cs="Arial" w:hAnsi="Arial"/>
            <w:color w:val="3370ff"/>
            <w:sz w:val="22"/>
          </w:rPr>
          <w:t>Market Basket Analysis</w:t>
        </w:r>
      </w:hyperlink>
      <w:r>
        <w:rPr>
          <w:rFonts w:eastAsia="等线" w:ascii="Arial" w:cs="Arial" w:hAnsi="Arial"/>
          <w:sz w:val="22"/>
        </w:rPr>
        <w:t xml:space="preserve"> (Dataset 1), </w:t>
      </w:r>
      <w:hyperlink r:id="rId5">
        <w:r>
          <w:rPr>
            <w:rFonts w:eastAsia="等线" w:ascii="Arial" w:cs="Arial" w:hAnsi="Arial"/>
            <w:color w:val="3370ff"/>
            <w:sz w:val="22"/>
          </w:rPr>
          <w:t>Groceries dataset</w:t>
        </w:r>
      </w:hyperlink>
      <w:r>
        <w:rPr>
          <w:rFonts w:eastAsia="等线" w:ascii="Arial" w:cs="Arial" w:hAnsi="Arial"/>
          <w:sz w:val="22"/>
        </w:rPr>
        <w:t xml:space="preserve"> (Dataset 2), </w:t>
      </w:r>
      <w:hyperlink r:id="rId6">
        <w:r>
          <w:rPr>
            <w:rFonts w:eastAsia="等线" w:ascii="Arial" w:cs="Arial" w:hAnsi="Arial"/>
            <w:color w:val="3370ff"/>
            <w:sz w:val="22"/>
          </w:rPr>
          <w:t>E-commerce Business Transaction</w:t>
        </w:r>
      </w:hyperlink>
      <w:r>
        <w:rPr>
          <w:rFonts w:eastAsia="等线" w:ascii="Arial" w:cs="Arial" w:hAnsi="Arial"/>
          <w:sz w:val="22"/>
        </w:rPr>
        <w:t xml:space="preserve"> (Dataset 3), </w:t>
      </w:r>
      <w:hyperlink r:id="rId7">
        <w:r>
          <w:rPr>
            <w:rFonts w:eastAsia="等线" w:ascii="Arial" w:cs="Arial" w:hAnsi="Arial"/>
            <w:color w:val="3370ff"/>
            <w:sz w:val="22"/>
          </w:rPr>
          <w:t>Transaction Data</w:t>
        </w:r>
      </w:hyperlink>
      <w:r>
        <w:rPr>
          <w:rFonts w:eastAsia="等线" w:ascii="Arial" w:cs="Arial" w:hAnsi="Arial"/>
          <w:sz w:val="22"/>
        </w:rPr>
        <w:t xml:space="preserve"> (Dataset 4), and the </w:t>
      </w:r>
      <w:hyperlink r:id="rId8">
        <w:r>
          <w:rPr>
            <w:rFonts w:eastAsia="等线" w:ascii="Arial" w:cs="Arial" w:hAnsi="Arial"/>
            <w:color w:val="3370ff"/>
            <w:sz w:val="22"/>
          </w:rPr>
          <w:t>Sales transaction dataset of Google Merchandise Store in a Binary Matrix</w:t>
        </w:r>
      </w:hyperlink>
      <w:r>
        <w:rPr>
          <w:rFonts w:eastAsia="等线" w:ascii="Arial" w:cs="Arial" w:hAnsi="Arial"/>
          <w:sz w:val="22"/>
        </w:rPr>
        <w:t xml:space="preserve"> (Dataset 5).</w:t>
      </w:r>
    </w:p>
    <w:p>
      <w:pPr>
        <w:spacing w:before="120" w:after="120" w:line="288" w:lineRule="auto"/>
        <w:ind w:left="0"/>
        <w:jc w:val="left"/>
      </w:pPr>
      <w:r>
        <w:rPr>
          <w:rFonts w:eastAsia="等线" w:ascii="Arial" w:cs="Arial" w:hAnsi="Arial"/>
          <w:sz w:val="22"/>
        </w:rPr>
        <w:t>The results are presented in the following tables. Fig. 1 show the results for 200 items, while Fig. 2 show the results for 15 items. The minimum support and confidence values used were [0.1, 0.5] and [0.4, 0.7], respectively.</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13811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9"/>
                          <a:stretch>
                            <a:fillRect/>
                          </a:stretch>
                        </pic:blipFill>
                        <pic:spPr>
                          <a:xfrm>
                            <a:off x="0" y="0"/>
                            <a:ext cx="2476500" cy="1381125"/>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t>Fig.1</w:t>
              <w:br/>
            </w:r>
          </w:p>
        </w:tc>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13335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0"/>
                          <a:stretch>
                            <a:fillRect/>
                          </a:stretch>
                        </pic:blipFill>
                        <pic:spPr>
                          <a:xfrm>
                            <a:off x="0" y="0"/>
                            <a:ext cx="2476500" cy="1333500"/>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t>Fig.2</w:t>
              <w:br/>
            </w:r>
          </w:p>
        </w:tc>
      </w:tr>
    </w:tbl>
    <w:p>
      <w:pPr>
        <w:spacing w:before="120" w:after="120" w:line="288" w:lineRule="auto"/>
        <w:ind w:left="0"/>
        <w:jc w:val="left"/>
      </w:pPr>
      <w:r>
        <w:rPr>
          <w:rFonts w:eastAsia="等线" w:ascii="Arial" w:cs="Arial" w:hAnsi="Arial"/>
          <w:b w:val="true"/>
          <w:sz w:val="22"/>
        </w:rPr>
        <w:t xml:space="preserve">Explanation of N/A: </w:t>
      </w:r>
      <w:r>
        <w:rPr>
          <w:rFonts w:eastAsia="等线" w:ascii="Arial" w:cs="Arial" w:hAnsi="Arial"/>
          <w:sz w:val="22"/>
        </w:rPr>
        <w:t>The brute-force algorithm examines every possible combination of items, so the time required grows exponentially as the item count increases. With an item count of 200, the computation becomes too large to complete within the limits of available computing resources, making the exact runtime unknown (N/A).</w:t>
      </w:r>
    </w:p>
    <w:p>
      <w:pPr>
        <w:spacing w:before="120" w:after="120" w:line="288" w:lineRule="auto"/>
        <w:ind w:left="0"/>
        <w:jc w:val="left"/>
      </w:pPr>
      <w:r>
        <w:rPr>
          <w:rFonts w:eastAsia="等线" w:ascii="Arial" w:cs="Arial" w:hAnsi="Arial"/>
          <w:b w:val="true"/>
          <w:sz w:val="22"/>
        </w:rPr>
        <w:t>Compared Results between Aprior and Brute-force</w:t>
      </w:r>
    </w:p>
    <w:p>
      <w:pPr>
        <w:spacing w:before="120" w:after="120" w:line="288" w:lineRule="auto"/>
        <w:ind w:left="0"/>
        <w:jc w:val="left"/>
      </w:pPr>
      <w:r>
        <w:rPr>
          <w:rFonts w:eastAsia="等线" w:ascii="Arial" w:cs="Arial" w:hAnsi="Arial"/>
          <w:sz w:val="22"/>
        </w:rPr>
        <w:t xml:space="preserve">A simple sample of mining results when implementing Aprior and Brute-force in Dataset 2 under </w:t>
      </w:r>
      <w:r>
        <w:rPr>
          <w:rFonts w:eastAsia="Consolas" w:ascii="Consolas" w:cs="Consolas" w:hAnsi="Consolas"/>
          <w:sz w:val="22"/>
          <w:shd w:fill="EFF0F1"/>
        </w:rPr>
        <w:t>min_support = 0.1</w:t>
      </w:r>
      <w:r>
        <w:rPr>
          <w:rFonts w:eastAsia="等线" w:ascii="Arial" w:cs="Arial" w:hAnsi="Arial"/>
          <w:sz w:val="22"/>
        </w:rPr>
        <w:t xml:space="preserve"> and </w:t>
      </w:r>
      <w:r>
        <w:rPr>
          <w:rFonts w:eastAsia="Consolas" w:ascii="Consolas" w:cs="Consolas" w:hAnsi="Consolas"/>
          <w:sz w:val="22"/>
          <w:shd w:fill="EFF0F1"/>
        </w:rPr>
        <w:t>min_confidence = 0.5</w:t>
      </w:r>
      <w:r>
        <w:rPr>
          <w:rFonts w:eastAsia="等线" w:ascii="Arial" w:cs="Arial" w:hAnsi="Arial"/>
          <w:sz w:val="22"/>
        </w:rPr>
        <w:t>.</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3312"/>
        <w:gridCol w:w="4968"/>
      </w:tblGrid>
      <w:tr>
        <w:tc>
          <w:tcPr>
            <w:tcW w:w="3312" w:type="dxa"/>
            <w:tcMar>
              <w:top w:type="dxa" w:w="60"/>
              <w:left w:type="dxa" w:w="120"/>
              <w:bottom w:type="dxa" w:w="30"/>
              <w:right w:type="dxa" w:w="120"/>
            </w:tcMar>
          </w:tcPr>
          <w:p>
            <w:pPr>
              <w:spacing w:before="120" w:after="120" w:line="288" w:lineRule="auto"/>
              <w:ind w:left="0"/>
              <w:jc w:val="center"/>
            </w:pPr>
            <w:r>
              <w:drawing>
                <wp:inline distT="0" distR="0" distB="0" distL="0">
                  <wp:extent cx="1943100" cy="8667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1"/>
                          <a:stretch>
                            <a:fillRect/>
                          </a:stretch>
                        </pic:blipFill>
                        <pic:spPr>
                          <a:xfrm>
                            <a:off x="0" y="0"/>
                            <a:ext cx="1943100" cy="866775"/>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t>AR</w:t>
              <w:br/>
            </w:r>
          </w:p>
        </w:tc>
        <w:tc>
          <w:tcPr>
            <w:tcW w:w="4968" w:type="dxa"/>
            <w:tcMar>
              <w:top w:type="dxa" w:w="60"/>
              <w:left w:type="dxa" w:w="120"/>
              <w:bottom w:type="dxa" w:w="30"/>
              <w:right w:type="dxa" w:w="120"/>
            </w:tcMar>
          </w:tcPr>
          <w:p>
            <w:pPr>
              <w:spacing w:before="120" w:after="120" w:line="288" w:lineRule="auto"/>
              <w:ind w:left="0"/>
              <w:jc w:val="center"/>
            </w:pPr>
            <w:r>
              <w:drawing>
                <wp:inline distT="0" distR="0" distB="0" distL="0">
                  <wp:extent cx="3000375" cy="8001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2"/>
                          <a:stretch>
                            <a:fillRect/>
                          </a:stretch>
                        </pic:blipFill>
                        <pic:spPr>
                          <a:xfrm>
                            <a:off x="0" y="0"/>
                            <a:ext cx="3000375" cy="800100"/>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t>Brute-force</w:t>
              <w:br/>
            </w:r>
          </w:p>
        </w:tc>
      </w:tr>
    </w:tbl>
    <w:p>
      <w:pPr>
        <w:spacing w:before="120" w:after="120" w:line="288" w:lineRule="auto"/>
        <w:ind w:left="0"/>
        <w:jc w:val="left"/>
      </w:pPr>
      <w:r>
        <w:rPr>
          <w:rFonts w:eastAsia="等线" w:ascii="Arial" w:cs="Arial" w:hAnsi="Arial"/>
          <w:b w:val="true"/>
          <w:sz w:val="22"/>
        </w:rPr>
        <w:t>Mining Result Sample</w:t>
      </w:r>
    </w:p>
    <w:p>
      <w:pPr>
        <w:spacing w:before="120" w:after="120" w:line="288" w:lineRule="auto"/>
        <w:ind w:left="0"/>
        <w:jc w:val="left"/>
      </w:pPr>
      <w:r>
        <w:rPr>
          <w:rFonts w:eastAsia="等线" w:ascii="Arial" w:cs="Arial" w:hAnsi="Arial"/>
          <w:sz w:val="22"/>
        </w:rPr>
        <w:t xml:space="preserve">And one of the mining results of Dataset 2 when </w:t>
      </w:r>
      <w:r>
        <w:rPr>
          <w:rFonts w:eastAsia="Consolas" w:ascii="Consolas" w:cs="Consolas" w:hAnsi="Consolas"/>
          <w:sz w:val="22"/>
          <w:shd w:fill="EFF0F1"/>
        </w:rPr>
        <w:t>min_support = 0.1</w:t>
      </w:r>
      <w:r>
        <w:rPr>
          <w:rFonts w:eastAsia="等线" w:ascii="Arial" w:cs="Arial" w:hAnsi="Arial"/>
          <w:sz w:val="22"/>
        </w:rPr>
        <w:t xml:space="preserve"> and </w:t>
      </w:r>
      <w:r>
        <w:rPr>
          <w:rFonts w:eastAsia="Consolas" w:ascii="Consolas" w:cs="Consolas" w:hAnsi="Consolas"/>
          <w:sz w:val="22"/>
          <w:shd w:fill="EFF0F1"/>
        </w:rPr>
        <w:t>min_confidence = 0.5</w:t>
      </w:r>
      <w:r>
        <w:rPr>
          <w:rFonts w:eastAsia="等线" w:ascii="Arial" w:cs="Arial" w:hAnsi="Arial"/>
          <w:sz w:val="22"/>
        </w:rPr>
        <w:t>.</w:t>
      </w:r>
    </w:p>
    <w:p>
      <w:pPr>
        <w:spacing w:before="120" w:after="120" w:line="288" w:lineRule="auto"/>
        <w:ind w:left="0"/>
        <w:jc w:val="center"/>
      </w:pPr>
      <w:r>
        <w:drawing>
          <wp:inline distT="0" distR="0" distB="0" distL="0">
            <wp:extent cx="5257800" cy="7905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3"/>
                    <a:stretch>
                      <a:fillRect/>
                    </a:stretch>
                  </pic:blipFill>
                  <pic:spPr>
                    <a:xfrm>
                      <a:off x="0" y="0"/>
                      <a:ext cx="5257800" cy="790575"/>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br/>
      </w:r>
    </w:p>
    <w:p>
      <w:pPr>
        <w:spacing w:before="120" w:after="120" w:line="288" w:lineRule="auto"/>
        <w:ind w:left="0"/>
        <w:jc w:val="left"/>
      </w:pPr>
      <w:r>
        <w:rPr>
          <w:rFonts w:eastAsia="等线" w:ascii="Arial" w:cs="Arial" w:hAnsi="Arial"/>
          <w:b w:val="true"/>
          <w:sz w:val="22"/>
        </w:rPr>
        <w:t>Code</w:t>
      </w:r>
    </w:p>
    <w:p>
      <w:pPr>
        <w:spacing w:before="120" w:after="120" w:line="288" w:lineRule="auto"/>
        <w:ind w:left="0"/>
        <w:jc w:val="left"/>
      </w:pPr>
      <w:r>
        <w:rPr>
          <w:rFonts w:eastAsia="等线" w:ascii="Arial" w:cs="Arial" w:hAnsi="Arial"/>
          <w:sz w:val="22"/>
        </w:rPr>
        <w:t xml:space="preserve">I wrote the code in a Jupyter Notebook file and ran my program in Google Colab. You can find the code on GitHub at </w:t>
      </w:r>
      <w:hyperlink r:id="rId14">
        <w:r>
          <w:rPr>
            <w:rFonts w:eastAsia="等线" w:ascii="Arial" w:cs="Arial" w:hAnsi="Arial"/>
            <w:color w:val="3370ff"/>
            <w:sz w:val="22"/>
          </w:rPr>
          <w:t>GitHub - RiverLiangH/Apriori-vs-BruteForce: Assignment-2 in IN6227: Comparation between Apriori &amp; Br</w:t>
        </w:r>
      </w:hyperlink>
      <w:r>
        <w:rPr>
          <w:rFonts w:eastAsia="等线" w:ascii="Arial" w:cs="Arial" w:hAnsi="Arial"/>
          <w:sz w:val="22"/>
        </w:rPr>
        <w:t xml:space="preserve">. The dataset is available on Google Drive at </w:t>
      </w:r>
      <w:hyperlink r:id="rId15">
        <w:r>
          <w:rPr>
            <w:rFonts w:eastAsia="等线" w:ascii="Arial" w:cs="Arial" w:hAnsi="Arial"/>
            <w:color w:val="3370ff"/>
            <w:sz w:val="22"/>
          </w:rPr>
          <w:t>drive.google.com</w:t>
        </w:r>
      </w:hyperlink>
      <w:r>
        <w:rPr>
          <w:rFonts w:eastAsia="等线" w:ascii="Arial" w:cs="Arial" w:hAnsi="Arial"/>
          <w:sz w:val="22"/>
        </w:rPr>
        <w:t>.</w:t>
      </w:r>
    </w:p>
    <w:sectPr>
      <w:footerReference w:type="default" r:id="rId3"/>
      <w:headerReference w:type="default" r:id="rId1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media/image5.png" Type="http://schemas.openxmlformats.org/officeDocument/2006/relationships/image"/><Relationship Id="rId14" Target="https://github.com/RiverLiangH/Apriori-vs-BruteForce" TargetMode="External" Type="http://schemas.openxmlformats.org/officeDocument/2006/relationships/hyperlink"/><Relationship Id="rId15" Target="https://drive.google.com/drive/folders/1snZ6yQ349qZ2cb9asEhi5P5u7FnVdzdy?usp=drive_link" TargetMode="External" Type="http://schemas.openxmlformats.org/officeDocument/2006/relationships/hyperlink"/><Relationship Id="rId16"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www.kaggle.com/datasets/aslanahmedov/market-basket-analysis" TargetMode="External" Type="http://schemas.openxmlformats.org/officeDocument/2006/relationships/hyperlink"/><Relationship Id="rId5" Target="https://www.kaggle.com/datasets/heeraldedhia/groceries-dataset" TargetMode="External" Type="http://schemas.openxmlformats.org/officeDocument/2006/relationships/hyperlink"/><Relationship Id="rId6" Target="https://www.kaggle.com/datasets/gabrielramos87/an-online-shop-business" TargetMode="External" Type="http://schemas.openxmlformats.org/officeDocument/2006/relationships/hyperlink"/><Relationship Id="rId7" Target="https://www.kaggle.com/datasets/vipin20/transaction-data" TargetMode="External" Type="http://schemas.openxmlformats.org/officeDocument/2006/relationships/hyperlink"/><Relationship Id="rId8" Target="https://www.kaggle.com/datasets/dinosilooy/sales-transaction-of-an-online-retailer"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2025-02-27T10:59:15Z</dcterms:created>
  <dc:creator>Apache POI</dc:creator>
</cp:coreProperties>
</file>