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TrendsArc</w:t>
      </w:r>
    </w:p>
    <w:p>
      <w:pPr>
        <w:spacing w:after="100"/>
      </w:pPr>
      <w:r>
        <w:rPr>
          <w:b/>
          <w:bCs/>
          <w:color w:val="1F2937"/>
          <w:sz w:val="32"/>
          <w:szCs w:val="32"/>
        </w:rPr>
        <w:t xml:space="preserve">Product Requirements Document</w:t>
      </w:r>
    </w:p>
    <w:p>
      <w:pPr>
        <w:spacing w:after="400"/>
      </w:pPr>
      <w:r>
        <w:rPr>
          <w:i/>
          <w:iCs/>
          <w:color w:val="555555"/>
        </w:rPr>
        <w:t xml:space="preserve">Explainable 30-day sales forecasting for small e-commerce sellers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2937" w:val="clear"/>
            <w:tcMar>
              <w:top w:type="dxa" w:w="80"/>
              <w:left w:type="dxa" w:w="100"/>
              <w:bottom w:type="dxa" w:w="80"/>
              <w:right w:type="dxa" w:w="100"/>
            </w:tcMar>
            <w:vAlign w:val="center"/>
          </w:tcPr>
          <w:p>
            <w:pPr>
              <w:jc w:val="left"/>
            </w:pPr>
            <w:r>
              <w:rPr>
                <w:b/>
                <w:bCs/>
                <w:color w:val="FFFFFF"/>
              </w:rPr>
              <w:t xml:space="preserve">Field</w:t>
            </w:r>
          </w:p>
        </w:tc>
        <w:tc>
          <w:tcPr>
            <w:tcW w:type="dxa" w:w="6300"/>
            <w:shd w:fill="1F2937" w:val="clear"/>
            <w:tcMar>
              <w:top w:type="dxa" w:w="80"/>
              <w:left w:type="dxa" w:w="100"/>
              <w:bottom w:type="dxa" w:w="80"/>
              <w:right w:type="dxa" w:w="100"/>
            </w:tcMar>
            <w:vAlign w:val="center"/>
          </w:tcPr>
          <w:p>
            <w:pPr>
              <w:jc w:val="left"/>
            </w:pPr>
            <w:r>
              <w:rPr>
                <w:b/>
                <w:bCs/>
                <w:color w:val="FFFFFF"/>
              </w:rPr>
              <w:t xml:space="preserve">Detail</w:t>
            </w:r>
          </w:p>
        </w:tc>
      </w:tr>
      <w:tr>
        <w:tc>
          <w:tcPr>
            <w:tcW w:type="dxa" w:w="3200"/>
            <w:tcMar>
              <w:top w:type="dxa" w:w="80"/>
              <w:left w:type="dxa" w:w="100"/>
              <w:bottom w:type="dxa" w:w="80"/>
              <w:right w:type="dxa" w:w="100"/>
            </w:tcMar>
            <w:vAlign w:val="center"/>
          </w:tcPr>
          <w:p>
            <w:pPr>
              <w:jc w:val="left"/>
            </w:pPr>
            <w:r>
              <w:rPr>
                <w:b w:val="false"/>
                <w:bCs w:val="false"/>
              </w:rPr>
              <w:t xml:space="preserve">Product</w:t>
            </w:r>
          </w:p>
        </w:tc>
        <w:tc>
          <w:tcPr>
            <w:tcW w:type="dxa" w:w="6300"/>
            <w:tcMar>
              <w:top w:type="dxa" w:w="80"/>
              <w:left w:type="dxa" w:w="100"/>
              <w:bottom w:type="dxa" w:w="80"/>
              <w:right w:type="dxa" w:w="100"/>
            </w:tcMar>
            <w:vAlign w:val="center"/>
          </w:tcPr>
          <w:p>
            <w:pPr>
              <w:jc w:val="left"/>
            </w:pPr>
            <w:r>
              <w:rPr>
                <w:b w:val="false"/>
                <w:bCs w:val="false"/>
              </w:rPr>
              <w:t xml:space="preserve">TrendsArc — Explainable Sales Forecasting for E-commerce Sellers</w:t>
            </w:r>
          </w:p>
        </w:tc>
      </w:tr>
      <w:tr>
        <w:tc>
          <w:tcPr>
            <w:tcW w:type="dxa" w:w="3200"/>
            <w:shd w:fill="F5F5F5" w:val="clear"/>
            <w:tcMar>
              <w:top w:type="dxa" w:w="80"/>
              <w:left w:type="dxa" w:w="100"/>
              <w:bottom w:type="dxa" w:w="80"/>
              <w:right w:type="dxa" w:w="100"/>
            </w:tcMar>
            <w:vAlign w:val="center"/>
          </w:tcPr>
          <w:p>
            <w:pPr>
              <w:jc w:val="left"/>
            </w:pPr>
            <w:r>
              <w:rPr>
                <w:b w:val="false"/>
                <w:bCs w:val="false"/>
              </w:rPr>
              <w:t xml:space="preserve">Document status</w:t>
            </w:r>
          </w:p>
        </w:tc>
        <w:tc>
          <w:tcPr>
            <w:tcW w:type="dxa" w:w="6300"/>
            <w:shd w:fill="F5F5F5" w:val="clear"/>
            <w:tcMar>
              <w:top w:type="dxa" w:w="80"/>
              <w:left w:type="dxa" w:w="100"/>
              <w:bottom w:type="dxa" w:w="80"/>
              <w:right w:type="dxa" w:w="100"/>
            </w:tcMar>
            <w:vAlign w:val="center"/>
          </w:tcPr>
          <w:p>
            <w:pPr>
              <w:jc w:val="left"/>
            </w:pPr>
            <w:r>
              <w:rPr>
                <w:b w:val="false"/>
                <w:bCs w:val="false"/>
              </w:rPr>
              <w:t xml:space="preserve">Draft — for review</w:t>
            </w:r>
          </w:p>
        </w:tc>
      </w:tr>
      <w:tr>
        <w:tc>
          <w:tcPr>
            <w:tcW w:type="dxa" w:w="3200"/>
            <w:tcMar>
              <w:top w:type="dxa" w:w="80"/>
              <w:left w:type="dxa" w:w="100"/>
              <w:bottom w:type="dxa" w:w="80"/>
              <w:right w:type="dxa" w:w="100"/>
            </w:tcMar>
            <w:vAlign w:val="center"/>
          </w:tcPr>
          <w:p>
            <w:pPr>
              <w:jc w:val="left"/>
            </w:pPr>
            <w:r>
              <w:rPr>
                <w:b w:val="false"/>
                <w:bCs w:val="false"/>
              </w:rPr>
              <w:t xml:space="preserve">Version</w:t>
            </w:r>
          </w:p>
        </w:tc>
        <w:tc>
          <w:tcPr>
            <w:tcW w:type="dxa" w:w="6300"/>
            <w:tcMar>
              <w:top w:type="dxa" w:w="80"/>
              <w:left w:type="dxa" w:w="100"/>
              <w:bottom w:type="dxa" w:w="80"/>
              <w:right w:type="dxa" w:w="100"/>
            </w:tcMar>
            <w:vAlign w:val="center"/>
          </w:tcPr>
          <w:p>
            <w:pPr>
              <w:jc w:val="left"/>
            </w:pPr>
            <w:r>
              <w:rPr>
                <w:b w:val="false"/>
                <w:bCs w:val="false"/>
              </w:rPr>
              <w:t xml:space="preserve">1.0</w:t>
            </w:r>
          </w:p>
        </w:tc>
      </w:tr>
      <w:tr>
        <w:tc>
          <w:tcPr>
            <w:tcW w:type="dxa" w:w="3200"/>
            <w:shd w:fill="F5F5F5" w:val="clear"/>
            <w:tcMar>
              <w:top w:type="dxa" w:w="80"/>
              <w:left w:type="dxa" w:w="100"/>
              <w:bottom w:type="dxa" w:w="80"/>
              <w:right w:type="dxa" w:w="100"/>
            </w:tcMar>
            <w:vAlign w:val="center"/>
          </w:tcPr>
          <w:p>
            <w:pPr>
              <w:jc w:val="left"/>
            </w:pPr>
            <w:r>
              <w:rPr>
                <w:b w:val="false"/>
                <w:bCs w:val="false"/>
              </w:rPr>
              <w:t xml:space="preserve">Owner / Author</w:t>
            </w:r>
          </w:p>
        </w:tc>
        <w:tc>
          <w:tcPr>
            <w:tcW w:type="dxa" w:w="6300"/>
            <w:shd w:fill="F5F5F5" w:val="clear"/>
            <w:tcMar>
              <w:top w:type="dxa" w:w="80"/>
              <w:left w:type="dxa" w:w="100"/>
              <w:bottom w:type="dxa" w:w="80"/>
              <w:right w:type="dxa" w:w="100"/>
            </w:tcMar>
            <w:vAlign w:val="center"/>
          </w:tcPr>
          <w:p>
            <w:pPr>
              <w:jc w:val="left"/>
            </w:pPr>
            <w:r>
              <w:rPr>
                <w:b w:val="false"/>
                <w:bCs w:val="false"/>
              </w:rPr>
              <w:t xml:space="preserve">Kaustubh Agrawal</w:t>
            </w:r>
          </w:p>
        </w:tc>
      </w:tr>
      <w:tr>
        <w:tc>
          <w:tcPr>
            <w:tcW w:type="dxa" w:w="3200"/>
            <w:tcMar>
              <w:top w:type="dxa" w:w="80"/>
              <w:left w:type="dxa" w:w="100"/>
              <w:bottom w:type="dxa" w:w="80"/>
              <w:right w:type="dxa" w:w="100"/>
            </w:tcMar>
            <w:vAlign w:val="center"/>
          </w:tcPr>
          <w:p>
            <w:pPr>
              <w:jc w:val="left"/>
            </w:pPr>
            <w:r>
              <w:rPr>
                <w:b w:val="false"/>
                <w:bCs w:val="false"/>
              </w:rPr>
              <w:t xml:space="preserve">Last updated</w:t>
            </w:r>
          </w:p>
        </w:tc>
        <w:tc>
          <w:tcPr>
            <w:tcW w:type="dxa" w:w="6300"/>
            <w:tcMar>
              <w:top w:type="dxa" w:w="80"/>
              <w:left w:type="dxa" w:w="100"/>
              <w:bottom w:type="dxa" w:w="80"/>
              <w:right w:type="dxa" w:w="100"/>
            </w:tcMar>
            <w:vAlign w:val="center"/>
          </w:tcPr>
          <w:p>
            <w:pPr>
              <w:jc w:val="left"/>
            </w:pPr>
            <w:r>
              <w:rPr>
                <w:b w:val="false"/>
                <w:bCs w:val="false"/>
              </w:rPr>
              <w:t xml:space="preserve">July 19, 2026</w:t>
            </w:r>
          </w:p>
        </w:tc>
      </w:tr>
      <w:tr>
        <w:tc>
          <w:tcPr>
            <w:tcW w:type="dxa" w:w="3200"/>
            <w:shd w:fill="F5F5F5" w:val="clear"/>
            <w:tcMar>
              <w:top w:type="dxa" w:w="80"/>
              <w:left w:type="dxa" w:w="100"/>
              <w:bottom w:type="dxa" w:w="80"/>
              <w:right w:type="dxa" w:w="100"/>
            </w:tcMar>
            <w:vAlign w:val="center"/>
          </w:tcPr>
          <w:p>
            <w:pPr>
              <w:jc w:val="left"/>
            </w:pPr>
            <w:r>
              <w:rPr>
                <w:b w:val="false"/>
                <w:bCs w:val="false"/>
              </w:rPr>
              <w:t xml:space="preserve">Target MVP timeline</w:t>
            </w:r>
          </w:p>
        </w:tc>
        <w:tc>
          <w:tcPr>
            <w:tcW w:type="dxa" w:w="6300"/>
            <w:shd w:fill="F5F5F5" w:val="clear"/>
            <w:tcMar>
              <w:top w:type="dxa" w:w="80"/>
              <w:left w:type="dxa" w:w="100"/>
              <w:bottom w:type="dxa" w:w="80"/>
              <w:right w:type="dxa" w:w="100"/>
            </w:tcMar>
            <w:vAlign w:val="center"/>
          </w:tcPr>
          <w:p>
            <w:pPr>
              <w:jc w:val="left"/>
            </w:pPr>
            <w:r>
              <w:rPr>
                <w:b w:val="false"/>
                <w:bCs w:val="false"/>
              </w:rPr>
              <w:t xml:space="preserve">2 weeks from build start</w:t>
            </w:r>
          </w:p>
        </w:tc>
      </w:tr>
      <w:tr>
        <w:tc>
          <w:tcPr>
            <w:tcW w:type="dxa" w:w="3200"/>
            <w:tcMar>
              <w:top w:type="dxa" w:w="80"/>
              <w:left w:type="dxa" w:w="100"/>
              <w:bottom w:type="dxa" w:w="80"/>
              <w:right w:type="dxa" w:w="100"/>
            </w:tcMar>
            <w:vAlign w:val="center"/>
          </w:tcPr>
          <w:p>
            <w:pPr>
              <w:jc w:val="left"/>
            </w:pPr>
            <w:r>
              <w:rPr>
                <w:b w:val="false"/>
                <w:bCs w:val="false"/>
              </w:rPr>
              <w:t xml:space="preserve">Source documents</w:t>
            </w:r>
          </w:p>
        </w:tc>
        <w:tc>
          <w:tcPr>
            <w:tcW w:type="dxa" w:w="6300"/>
            <w:tcMar>
              <w:top w:type="dxa" w:w="80"/>
              <w:left w:type="dxa" w:w="100"/>
              <w:bottom w:type="dxa" w:w="80"/>
              <w:right w:type="dxa" w:w="100"/>
            </w:tcMar>
            <w:vAlign w:val="center"/>
          </w:tcPr>
          <w:p>
            <w:pPr>
              <w:jc w:val="left"/>
            </w:pPr>
            <w:r>
              <w:rPr>
                <w:b w:val="false"/>
                <w:bCs w:val="false"/>
              </w:rPr>
              <w:t xml:space="preserve">design-doc.md, landing-copy.md, DESIGN.md, competitor-analysis-prompt.md, docs/app-dashboard-plan.md</w:t>
            </w:r>
          </w:p>
        </w:tc>
      </w:tr>
    </w:tbl>
    <w:p>
      <w:r>
        <w:br w:type="page"/>
      </w:r>
    </w:p>
    <w:p>
      <w:pPr>
        <w:pStyle w:val="Heading1"/>
        <w:spacing w:after="200" w:before="400"/>
      </w:pPr>
      <w:r>
        <w:t xml:space="preserve">Table of Contents</w:t>
      </w:r>
    </w:p>
    <w:p>
      <w:pPr>
        <w:spacing w:after="120"/>
      </w:pPr>
      <w:r>
        <w:t xml:space="preserve">1. Executive Summary</w:t>
      </w:r>
    </w:p>
    <w:p>
      <w:pPr>
        <w:spacing w:after="120"/>
      </w:pPr>
      <w:r>
        <w:t xml:space="preserve">2. Problem Statement</w:t>
      </w:r>
    </w:p>
    <w:p>
      <w:pPr>
        <w:spacing w:after="120"/>
      </w:pPr>
      <w:r>
        <w:t xml:space="preserve">3. Goals &amp; Objectives</w:t>
      </w:r>
    </w:p>
    <w:p>
      <w:pPr>
        <w:spacing w:after="120"/>
      </w:pPr>
      <w:r>
        <w:t xml:space="preserve">4. Target Users &amp; Personas</w:t>
      </w:r>
    </w:p>
    <w:p>
      <w:pPr>
        <w:spacing w:after="120"/>
      </w:pPr>
      <w:r>
        <w:t xml:space="preserve">5. Solution Overview</w:t>
      </w:r>
    </w:p>
    <w:p>
      <w:pPr>
        <w:spacing w:after="120"/>
      </w:pPr>
      <w:r>
        <w:t xml:space="preserve">6. Current Implementation Status</w:t>
      </w:r>
    </w:p>
    <w:p>
      <w:pPr>
        <w:spacing w:after="120"/>
      </w:pPr>
      <w:r>
        <w:t xml:space="preserve">7. Release 1 (V1 / MVP) — Functional Requirements</w:t>
      </w:r>
    </w:p>
    <w:p>
      <w:pPr>
        <w:spacing w:after="120"/>
      </w:pPr>
      <w:r>
        <w:t xml:space="preserve">8. Explicitly Out of Scope for V1</w:t>
      </w:r>
    </w:p>
    <w:p>
      <w:pPr>
        <w:spacing w:after="120"/>
      </w:pPr>
      <w:r>
        <w:t xml:space="preserve">9. Phased Roadmap — Post-V1 Features</w:t>
      </w:r>
    </w:p>
    <w:p>
      <w:pPr>
        <w:spacing w:after="120"/>
      </w:pPr>
      <w:r>
        <w:t xml:space="preserve">10. Non-Functional Requirements</w:t>
      </w:r>
    </w:p>
    <w:p>
      <w:pPr>
        <w:spacing w:after="120"/>
      </w:pPr>
      <w:r>
        <w:t xml:space="preserve">11. Technical Architecture (Summary)</w:t>
      </w:r>
    </w:p>
    <w:p>
      <w:pPr>
        <w:spacing w:after="120"/>
      </w:pPr>
      <w:r>
        <w:t xml:space="preserve">12. Competitive Landscape</w:t>
      </w:r>
    </w:p>
    <w:p>
      <w:pPr>
        <w:spacing w:after="120"/>
      </w:pPr>
      <w:r>
        <w:t xml:space="preserve">13. Risks &amp; Mitigations</w:t>
      </w:r>
    </w:p>
    <w:p>
      <w:pPr>
        <w:spacing w:after="120"/>
      </w:pPr>
      <w:r>
        <w:t xml:space="preserve">14. Cost Estimate</w:t>
      </w:r>
    </w:p>
    <w:p>
      <w:pPr>
        <w:spacing w:after="120"/>
      </w:pPr>
      <w:r>
        <w:t xml:space="preserve">15. Open Questions</w:t>
      </w:r>
    </w:p>
    <w:p>
      <w:pPr>
        <w:spacing w:after="120"/>
      </w:pPr>
      <w:r>
        <w:t xml:space="preserve">16. Appendix — Reference Documents</w:t>
      </w:r>
    </w:p>
    <w:p>
      <w:r>
        <w:br w:type="page"/>
      </w:r>
    </w:p>
    <w:p>
      <w:pPr>
        <w:pStyle w:val="Heading1"/>
        <w:spacing w:after="200" w:before="400"/>
      </w:pPr>
      <w:r>
        <w:t xml:space="preserve">1. Executive Summary</w:t>
      </w:r>
    </w:p>
    <w:p>
      <w:pPr>
        <w:spacing w:after="160"/>
      </w:pPr>
      <w:r>
        <w:t xml:space="preserve">TrendsArc is a web-based tool that turns a Shopify seller's order-history export into a 30-day revenue forecast, paired with a plain-English explanation of what is driving that forecast. Where existing forecasting tools return a bare number, TrendsArc's differentiator is explainability: every forecast ships with a short, readable breakdown (powered by SHAP feature attribution over an XGBoost model) that lets a seller check the prediction against what they already know about their business before acting on it.</w:t>
      </w:r>
    </w:p>
    <w:p>
      <w:pPr>
        <w:spacing w:after="160"/>
      </w:pPr>
      <w:r>
        <w:t xml:space="preserve">The V1 release is a free, no-login, CSV-upload tool positioned as an SEO/lead-generation entry point. It is deliberately scoped to ship in two weeks by deferring persistence, billing, and live store connections. A phased roadmap (Section 9) extends this into a paid product with live Shopify sync, per-SKU forecasting, forecast accuracy tracking, and eventually inventory and ad-spend recommendations.</w:t>
      </w:r>
    </w:p>
    <w:p>
      <w:pPr>
        <w:spacing w:after="160"/>
      </w:pPr>
      <w:r>
        <w:t xml:space="preserve">As of this document's writing, Phase 1 of the build (project scaffold, landing page, and a real — not mocked — FastAPI backend with a health-check endpoint) is complete. The forecasting endpoint itself (CSV validation, model training, SHAP explanation) has not yet been built; see Section 6 for current implementation status.</w:t>
      </w:r>
    </w:p>
    <w:p>
      <w:pPr>
        <w:pStyle w:val="Heading1"/>
        <w:spacing w:after="200" w:before="400"/>
      </w:pPr>
      <w:r>
        <w:t xml:space="preserve">2. Problem Statement</w:t>
      </w:r>
    </w:p>
    <w:p>
      <w:pPr>
        <w:spacing w:after="160"/>
      </w:pPr>
      <w:r>
        <w:t xml:space="preserve">E-commerce sellers make inventory and revenue decisions largely by looking backward. Shopify's native analytics, and most lightweight analytics apps, show what happened — last month's revenue, last week's units sold — but not what is likely to happen next. This leaves sellers guessing on decisions that directly cost money: how much stock to reorder, whether to increase ad spend, whether a slow week is noise or the start of a real decline.</w:t>
      </w:r>
    </w:p>
    <w:p>
      <w:pPr>
        <w:spacing w:after="160"/>
      </w:pPr>
      <w:r>
        <w:t xml:space="preserve">Forecasting tools that do exist tend to produce a number with no explanation ("next month: $42,300") and stop there. For a solo seller or small team, an unexplained prediction is hard to trust and even harder to act on. If a forecast doesn't say why it is up or down, the seller has no way to sanity-check it against what they know about their own business — a promotion they are running, a product that is trending, a seasonal pattern — so the forecast gets ignored rather than used.</w:t>
      </w:r>
    </w:p>
    <w:p>
      <w:pPr>
        <w:spacing w:after="160"/>
      </w:pPr>
      <w:r>
        <w:rPr>
          <w:b/>
          <w:bCs/>
        </w:rPr>
        <w:t xml:space="preserve">Core problem: </w:t>
      </w:r>
      <w:r>
        <w:t xml:space="preserve">sellers don't simply lack a forecast — they lack a forecast they can trust enough to act on. Closing that trust gap, more than raw predictive accuracy alone, is what unlocks confident planning for small e-commerce sellers.</w:t>
      </w:r>
    </w:p>
    <w:p>
      <w:pPr>
        <w:pStyle w:val="Heading1"/>
        <w:spacing w:after="200" w:before="400"/>
      </w:pPr>
      <w:r>
        <w:t xml:space="preserve">3. Goals &amp; Objectives</w:t>
      </w:r>
    </w:p>
    <w:p>
      <w:pPr>
        <w:pStyle w:val="Heading2"/>
        <w:spacing w:after="150" w:before="300"/>
      </w:pPr>
      <w:r>
        <w:t xml:space="preserve">3.1 Business Goals</w:t>
      </w:r>
    </w:p>
    <w:p>
      <w:pPr>
        <w:pStyle w:val="ListParagraph"/>
        <w:numPr>
          <w:ilvl w:val="0"/>
          <w:numId w:val="2"/>
        </w:numPr>
        <w:spacing w:after="80"/>
      </w:pPr>
      <w:r>
        <w:t xml:space="preserve">Validate demand for an explainable forecasting product among small Shopify sellers before investing in billing infrastructure or a live Shopify integration.</w:t>
      </w:r>
    </w:p>
    <w:p>
      <w:pPr>
        <w:pStyle w:val="ListParagraph"/>
        <w:numPr>
          <w:ilvl w:val="0"/>
          <w:numId w:val="2"/>
        </w:numPr>
        <w:spacing w:after="80"/>
      </w:pPr>
      <w:r>
        <w:t xml:space="preserve">Establish an SEO-driven acquisition funnel: a genuinely useful free tool that ranks for forecast-related search intent and builds a base of engaged users to convert once a paid tier ships.</w:t>
      </w:r>
    </w:p>
    <w:p>
      <w:pPr>
        <w:pStyle w:val="ListParagraph"/>
        <w:numPr>
          <w:ilvl w:val="0"/>
          <w:numId w:val="2"/>
        </w:numPr>
        <w:spacing w:after="80"/>
      </w:pPr>
      <w:r>
        <w:t xml:space="preserve">Reuse and productize an existing forecasting + explainability pipeline (XGBoost + SHAP, proven in a prior project) in a domain where sellers will pay for the result.</w:t>
      </w:r>
    </w:p>
    <w:p>
      <w:pPr>
        <w:pStyle w:val="ListParagraph"/>
        <w:numPr>
          <w:ilvl w:val="0"/>
          <w:numId w:val="2"/>
        </w:numPr>
        <w:spacing w:after="80"/>
      </w:pPr>
      <w:r>
        <w:t xml:space="preserve">Keep infrastructure cost near zero pre-revenue while the product is unproven (see Section 10, Cost Estimate).</w:t>
      </w:r>
    </w:p>
    <w:p>
      <w:pPr>
        <w:pStyle w:val="Heading2"/>
        <w:spacing w:after="150" w:before="300"/>
      </w:pPr>
      <w:r>
        <w:t xml:space="preserve">3.2 Product Goals</w:t>
      </w:r>
    </w:p>
    <w:p>
      <w:pPr>
        <w:pStyle w:val="ListParagraph"/>
        <w:numPr>
          <w:ilvl w:val="0"/>
          <w:numId w:val="2"/>
        </w:numPr>
        <w:spacing w:after="80"/>
      </w:pPr>
      <w:r>
        <w:t xml:space="preserve">A seller with a real Shopify CSV export can go from landing page to a readable, explained forecast in under a minute, with no signup friction.</w:t>
      </w:r>
    </w:p>
    <w:p>
      <w:pPr>
        <w:pStyle w:val="ListParagraph"/>
        <w:numPr>
          <w:ilvl w:val="0"/>
          <w:numId w:val="2"/>
        </w:numPr>
        <w:spacing w:after="80"/>
      </w:pPr>
      <w:r>
        <w:t xml:space="preserve">The explanation panel must make each forecast feel checkable, not just consumable — this is the product's core differentiator against competitors that only report aggregate historical accuracy.</w:t>
      </w:r>
    </w:p>
    <w:p>
      <w:pPr>
        <w:pStyle w:val="ListParagraph"/>
        <w:numPr>
          <w:ilvl w:val="0"/>
          <w:numId w:val="2"/>
        </w:numPr>
        <w:spacing w:after="80"/>
      </w:pPr>
      <w:r>
        <w:t xml:space="preserve">The system fails honestly: when data is too thin or malformed to forecast responsibly, it says so rather than returning a shaky number.</w:t>
      </w:r>
    </w:p>
    <w:p>
      <w:pPr>
        <w:pStyle w:val="Heading2"/>
        <w:spacing w:after="150" w:before="300"/>
      </w:pPr>
      <w:r>
        <w:t xml:space="preserve">3.3 Success Signals (V1 — directional, not committed targets)</w:t>
      </w:r>
    </w:p>
    <w:p>
      <w:pPr>
        <w:spacing w:after="160"/>
      </w:pPr>
      <w:r>
        <w:t xml:space="preserve">No production traffic exists yet, so this document intentionally avoids inventing specific percentage or dollar targets. Once V1 is live, the following signal categories should be instrumented and turned into concrete targets from real data:</w:t>
      </w:r>
    </w:p>
    <w:p>
      <w:pPr>
        <w:pStyle w:val="ListParagraph"/>
        <w:numPr>
          <w:ilvl w:val="0"/>
          <w:numId w:val="2"/>
        </w:numPr>
        <w:spacing w:after="80"/>
      </w:pPr>
      <w:r>
        <w:t xml:space="preserve">Upload → completed forecast rate (funnel completion, a proxy for whether the tool works and is trusted enough to finish).</w:t>
      </w:r>
    </w:p>
    <w:p>
      <w:pPr>
        <w:pStyle w:val="ListParagraph"/>
        <w:numPr>
          <w:ilvl w:val="0"/>
          <w:numId w:val="2"/>
        </w:numPr>
        <w:spacing w:after="80"/>
      </w:pPr>
      <w:r>
        <w:t xml:space="preserve">Organic search impressions/clicks against the "shopify sales forecast" and related search intent (validates the SEO funnel assumption).</w:t>
      </w:r>
    </w:p>
    <w:p>
      <w:pPr>
        <w:pStyle w:val="ListParagraph"/>
        <w:numPr>
          <w:ilvl w:val="0"/>
          <w:numId w:val="2"/>
        </w:numPr>
        <w:spacing w:after="80"/>
      </w:pPr>
      <w:r>
        <w:t xml:space="preserve">Qualitative feedback on whether the "why" panel is understood and trusted (surveys, direct outreach, Product Hunt / Reddit comments).</w:t>
      </w:r>
    </w:p>
    <w:p>
      <w:pPr>
        <w:pStyle w:val="ListParagraph"/>
        <w:numPr>
          <w:ilvl w:val="0"/>
          <w:numId w:val="2"/>
        </w:numPr>
        <w:spacing w:after="80"/>
      </w:pPr>
      <w:r>
        <w:t xml:space="preserve">Once Section 9's paid tier ships: free-to-paid conversion rate.</w:t>
      </w:r>
    </w:p>
    <w:p>
      <w:pPr>
        <w:pStyle w:val="Heading1"/>
        <w:spacing w:after="200" w:before="400"/>
      </w:pPr>
      <w:r>
        <w:t xml:space="preserve">4. Target Users &amp; Personas</w:t>
      </w:r>
    </w:p>
    <w:p>
      <w:pPr>
        <w:pStyle w:val="Heading2"/>
        <w:spacing w:after="150" w:before="300"/>
      </w:pPr>
      <w:r>
        <w:t xml:space="preserve">4.1 Primary persona — Solo/Small-Team Shopify Seller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2937" w:val="clear"/>
            <w:tcMar>
              <w:top w:type="dxa" w:w="80"/>
              <w:left w:type="dxa" w:w="100"/>
              <w:bottom w:type="dxa" w:w="80"/>
              <w:right w:type="dxa" w:w="100"/>
            </w:tcMar>
            <w:vAlign w:val="center"/>
          </w:tcPr>
          <w:p>
            <w:pPr>
              <w:jc w:val="left"/>
            </w:pPr>
            <w:r>
              <w:rPr>
                <w:b/>
                <w:bCs/>
                <w:color w:val="FFFFFF"/>
              </w:rPr>
              <w:t xml:space="preserve">Attribute</w:t>
            </w:r>
          </w:p>
        </w:tc>
        <w:tc>
          <w:tcPr>
            <w:tcW w:type="dxa" w:w="7100"/>
            <w:shd w:fill="1F2937" w:val="clear"/>
            <w:tcMar>
              <w:top w:type="dxa" w:w="80"/>
              <w:left w:type="dxa" w:w="100"/>
              <w:bottom w:type="dxa" w:w="80"/>
              <w:right w:type="dxa" w:w="100"/>
            </w:tcMar>
            <w:vAlign w:val="center"/>
          </w:tcPr>
          <w:p>
            <w:pPr>
              <w:jc w:val="left"/>
            </w:pPr>
            <w:r>
              <w:rPr>
                <w:b/>
                <w:bCs/>
                <w:color w:val="FFFFFF"/>
              </w:rPr>
              <w:t xml:space="preserve">Description</w:t>
            </w:r>
          </w:p>
        </w:tc>
      </w:tr>
      <w:tr>
        <w:tc>
          <w:tcPr>
            <w:tcW w:type="dxa" w:w="2400"/>
            <w:tcMar>
              <w:top w:type="dxa" w:w="80"/>
              <w:left w:type="dxa" w:w="100"/>
              <w:bottom w:type="dxa" w:w="80"/>
              <w:right w:type="dxa" w:w="100"/>
            </w:tcMar>
            <w:vAlign w:val="center"/>
          </w:tcPr>
          <w:p>
            <w:pPr>
              <w:jc w:val="left"/>
            </w:pPr>
            <w:r>
              <w:rPr>
                <w:b w:val="false"/>
                <w:bCs w:val="false"/>
              </w:rPr>
              <w:t xml:space="preserve">Profile</w:t>
            </w:r>
          </w:p>
        </w:tc>
        <w:tc>
          <w:tcPr>
            <w:tcW w:type="dxa" w:w="7100"/>
            <w:tcMar>
              <w:top w:type="dxa" w:w="80"/>
              <w:left w:type="dxa" w:w="100"/>
              <w:bottom w:type="dxa" w:w="80"/>
              <w:right w:type="dxa" w:w="100"/>
            </w:tcMar>
            <w:vAlign w:val="center"/>
          </w:tcPr>
          <w:p>
            <w:pPr>
              <w:jc w:val="left"/>
            </w:pPr>
            <w:r>
              <w:rPr>
                <w:b w:val="false"/>
                <w:bCs w:val="false"/>
              </w:rPr>
              <w:t xml:space="preserve">Runs or manages a single Shopify store, typically alone or with a very small team. Handles their own inventory, marketing, and reordering decisions.</w:t>
            </w:r>
          </w:p>
        </w:tc>
      </w:tr>
      <w:tr>
        <w:tc>
          <w:tcPr>
            <w:tcW w:type="dxa" w:w="2400"/>
            <w:shd w:fill="F5F5F5" w:val="clear"/>
            <w:tcMar>
              <w:top w:type="dxa" w:w="80"/>
              <w:left w:type="dxa" w:w="100"/>
              <w:bottom w:type="dxa" w:w="80"/>
              <w:right w:type="dxa" w:w="100"/>
            </w:tcMar>
            <w:vAlign w:val="center"/>
          </w:tcPr>
          <w:p>
            <w:pPr>
              <w:jc w:val="left"/>
            </w:pPr>
            <w:r>
              <w:rPr>
                <w:b w:val="false"/>
                <w:bCs w:val="false"/>
              </w:rPr>
              <w:t xml:space="preserve">Data reality</w:t>
            </w:r>
          </w:p>
        </w:tc>
        <w:tc>
          <w:tcPr>
            <w:tcW w:type="dxa" w:w="7100"/>
            <w:shd w:fill="F5F5F5" w:val="clear"/>
            <w:tcMar>
              <w:top w:type="dxa" w:w="80"/>
              <w:left w:type="dxa" w:w="100"/>
              <w:bottom w:type="dxa" w:w="80"/>
              <w:right w:type="dxa" w:w="100"/>
            </w:tcMar>
            <w:vAlign w:val="center"/>
          </w:tcPr>
          <w:p>
            <w:pPr>
              <w:jc w:val="left"/>
            </w:pPr>
            <w:r>
              <w:rPr>
                <w:b w:val="false"/>
                <w:bCs w:val="false"/>
              </w:rPr>
              <w:t xml:space="preserve">6–18 months of order history is typical; history is often gappy or inconsistent rather than clean, continuous daily data.</w:t>
            </w:r>
          </w:p>
        </w:tc>
      </w:tr>
      <w:tr>
        <w:tc>
          <w:tcPr>
            <w:tcW w:type="dxa" w:w="2400"/>
            <w:tcMar>
              <w:top w:type="dxa" w:w="80"/>
              <w:left w:type="dxa" w:w="100"/>
              <w:bottom w:type="dxa" w:w="80"/>
              <w:right w:type="dxa" w:w="100"/>
            </w:tcMar>
            <w:vAlign w:val="center"/>
          </w:tcPr>
          <w:p>
            <w:pPr>
              <w:jc w:val="left"/>
            </w:pPr>
            <w:r>
              <w:rPr>
                <w:b w:val="false"/>
                <w:bCs w:val="false"/>
              </w:rPr>
              <w:t xml:space="preserve">Pain point</w:t>
            </w:r>
          </w:p>
        </w:tc>
        <w:tc>
          <w:tcPr>
            <w:tcW w:type="dxa" w:w="7100"/>
            <w:tcMar>
              <w:top w:type="dxa" w:w="80"/>
              <w:left w:type="dxa" w:w="100"/>
              <w:bottom w:type="dxa" w:w="80"/>
              <w:right w:type="dxa" w:w="100"/>
            </w:tcMar>
            <w:vAlign w:val="center"/>
          </w:tcPr>
          <w:p>
            <w:pPr>
              <w:jc w:val="left"/>
            </w:pPr>
            <w:r>
              <w:rPr>
                <w:b w:val="false"/>
                <w:bCs w:val="false"/>
              </w:rPr>
              <w:t xml:space="preserve">Cannot confidently plan reorders or ad spend because they only have backward-looking analytics; existing forecast tools they've tried (or seen) give a number with no reasoning, so they don't act on it.</w:t>
            </w:r>
          </w:p>
        </w:tc>
      </w:tr>
      <w:tr>
        <w:tc>
          <w:tcPr>
            <w:tcW w:type="dxa" w:w="2400"/>
            <w:shd w:fill="F5F5F5" w:val="clear"/>
            <w:tcMar>
              <w:top w:type="dxa" w:w="80"/>
              <w:left w:type="dxa" w:w="100"/>
              <w:bottom w:type="dxa" w:w="80"/>
              <w:right w:type="dxa" w:w="100"/>
            </w:tcMar>
            <w:vAlign w:val="center"/>
          </w:tcPr>
          <w:p>
            <w:pPr>
              <w:jc w:val="left"/>
            </w:pPr>
            <w:r>
              <w:rPr>
                <w:b w:val="false"/>
                <w:bCs w:val="false"/>
              </w:rPr>
              <w:t xml:space="preserve">What they need from TrendsArc</w:t>
            </w:r>
          </w:p>
        </w:tc>
        <w:tc>
          <w:tcPr>
            <w:tcW w:type="dxa" w:w="7100"/>
            <w:shd w:fill="F5F5F5" w:val="clear"/>
            <w:tcMar>
              <w:top w:type="dxa" w:w="80"/>
              <w:left w:type="dxa" w:w="100"/>
              <w:bottom w:type="dxa" w:w="80"/>
              <w:right w:type="dxa" w:w="100"/>
            </w:tcMar>
            <w:vAlign w:val="center"/>
          </w:tcPr>
          <w:p>
            <w:pPr>
              <w:jc w:val="left"/>
            </w:pPr>
            <w:r>
              <w:rPr>
                <w:b w:val="false"/>
                <w:bCs w:val="false"/>
              </w:rPr>
              <w:t xml:space="preserve">A fast, free way to see a near-term revenue forecast and understand why it looks the way it does, without connecting their live store or signing up for anything.</w:t>
            </w:r>
          </w:p>
        </w:tc>
      </w:tr>
    </w:tbl>
    <w:p>
      <w:pPr>
        <w:pStyle w:val="Heading2"/>
        <w:spacing w:after="150" w:before="300"/>
      </w:pPr>
      <w:r>
        <w:t xml:space="preserve">4.2 Secondary persona — Small Agency / Multi-Store Operator (future roadmap)</w:t>
      </w:r>
    </w:p>
    <w:p>
      <w:pPr>
        <w:spacing w:after="160"/>
      </w:pPr>
      <w:r>
        <w:t xml:space="preserve">Manages more than one Shopify storefront on behalf of clients. Not served by V1 (single-store, single-session tool); addressed by the multi-store item in the future roadmap (Section 9).</w:t>
      </w:r>
    </w:p>
    <w:p>
      <w:pPr>
        <w:pStyle w:val="Heading1"/>
        <w:spacing w:after="200" w:before="400"/>
      </w:pPr>
      <w:r>
        <w:t xml:space="preserve">5. Solution Overview</w:t>
      </w:r>
    </w:p>
    <w:p>
      <w:pPr>
        <w:spacing w:after="160"/>
      </w:pPr>
      <w:r>
        <w:t xml:space="preserve">TrendsArc turns a seller's raw sales history into a trustworthy, explained forecast — not just a number, but the reasoning behind it. End-to-end flow:</w:t>
      </w:r>
    </w:p>
    <w:p>
      <w:pPr>
        <w:pStyle w:val="ListParagraph"/>
        <w:numPr>
          <w:ilvl w:val="0"/>
          <w:numId w:val="2"/>
        </w:numPr>
        <w:spacing w:after="80"/>
      </w:pPr>
      <w:r>
        <w:t xml:space="preserve">1. Seller uploads a CSV export of their order history (date, revenue, units, SKU).</w:t>
      </w:r>
    </w:p>
    <w:p>
      <w:pPr>
        <w:pStyle w:val="ListParagraph"/>
        <w:numPr>
          <w:ilvl w:val="0"/>
          <w:numId w:val="2"/>
        </w:numPr>
        <w:spacing w:after="80"/>
      </w:pPr>
      <w:r>
        <w:t xml:space="preserve">2. The tool cleans and validates the data, then runs it through a trained forecasting model to produce a 30-day revenue forecast.</w:t>
      </w:r>
    </w:p>
    <w:p>
      <w:pPr>
        <w:pStyle w:val="ListParagraph"/>
        <w:numPr>
          <w:ilvl w:val="0"/>
          <w:numId w:val="2"/>
        </w:numPr>
        <w:spacing w:after="80"/>
      </w:pPr>
      <w:r>
        <w:t xml:space="preserve">3. Alongside the forecast, the tool surfaces a plain-English explanation of why the number looks the way it does — SHAP feature attribution translated from raw feature weights into readable statements (e.g., "your last 3 Fridays show a recurring spike; this is pulling the forecast up").</w:t>
      </w:r>
    </w:p>
    <w:p>
      <w:pPr>
        <w:pStyle w:val="ListParagraph"/>
        <w:numPr>
          <w:ilvl w:val="0"/>
          <w:numId w:val="2"/>
        </w:numPr>
        <w:spacing w:after="80"/>
      </w:pPr>
      <w:r>
        <w:t xml:space="preserve">4. The seller sees a forecast chart plus a short "why" panel side by side, and can use both to decide on reordering, ad spend, or promotions with real reasoning to check against what they already know about their business.</w:t>
      </w:r>
    </w:p>
    <w:p>
      <w:pPr>
        <w:spacing w:after="160"/>
      </w:pPr>
      <w:r>
        <w:t xml:space="preserve">The differentiator is not forecasting accuracy alone — plenty of tools forecast. It is that TrendsArc is the only tool in reach of a solo seller that explains its own reasoning per forecast, not just after the fact.</w:t>
      </w:r>
    </w:p>
    <w:p>
      <w:pPr>
        <w:pStyle w:val="Heading1"/>
        <w:spacing w:after="200" w:before="400"/>
      </w:pPr>
      <w:r>
        <w:t xml:space="preserve">6. Current Implementation Status</w:t>
      </w:r>
    </w:p>
    <w:p>
      <w:pPr>
        <w:spacing w:after="160"/>
      </w:pPr>
      <w:r>
        <w:t xml:space="preserve">This section reflects what exists in the codebase today, not the target end state, so the roadmap in Sections 7–8 can be read against real progress.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2937" w:val="clear"/>
            <w:tcMar>
              <w:top w:type="dxa" w:w="80"/>
              <w:left w:type="dxa" w:w="100"/>
              <w:bottom w:type="dxa" w:w="80"/>
              <w:right w:type="dxa" w:w="100"/>
            </w:tcMar>
            <w:vAlign w:val="center"/>
          </w:tcPr>
          <w:p>
            <w:pPr>
              <w:jc w:val="left"/>
            </w:pPr>
            <w:r>
              <w:rPr>
                <w:b/>
                <w:bCs/>
                <w:color w:val="FFFFFF"/>
              </w:rPr>
              <w:t xml:space="preserve">Area</w:t>
            </w:r>
          </w:p>
        </w:tc>
        <w:tc>
          <w:tcPr>
            <w:tcW w:type="dxa" w:w="6300"/>
            <w:shd w:fill="1F2937" w:val="clear"/>
            <w:tcMar>
              <w:top w:type="dxa" w:w="80"/>
              <w:left w:type="dxa" w:w="100"/>
              <w:bottom w:type="dxa" w:w="80"/>
              <w:right w:type="dxa" w:w="100"/>
            </w:tcMar>
            <w:vAlign w:val="center"/>
          </w:tcPr>
          <w:p>
            <w:pPr>
              <w:jc w:val="left"/>
            </w:pPr>
            <w:r>
              <w:rPr>
                <w:b/>
                <w:bCs/>
                <w:color w:val="FFFFFF"/>
              </w:rPr>
              <w:t xml:space="preserve">Status</w:t>
            </w:r>
          </w:p>
        </w:tc>
      </w:tr>
      <w:tr>
        <w:tc>
          <w:tcPr>
            <w:tcW w:type="dxa" w:w="3200"/>
            <w:tcMar>
              <w:top w:type="dxa" w:w="80"/>
              <w:left w:type="dxa" w:w="100"/>
              <w:bottom w:type="dxa" w:w="80"/>
              <w:right w:type="dxa" w:w="100"/>
            </w:tcMar>
            <w:vAlign w:val="center"/>
          </w:tcPr>
          <w:p>
            <w:pPr>
              <w:jc w:val="left"/>
            </w:pPr>
            <w:r>
              <w:rPr>
                <w:b w:val="false"/>
                <w:bCs w:val="false"/>
              </w:rPr>
              <w:t xml:space="preserve">Astro frontend scaffold</w:t>
            </w:r>
          </w:p>
        </w:tc>
        <w:tc>
          <w:tcPr>
            <w:tcW w:type="dxa" w:w="6300"/>
            <w:tcMar>
              <w:top w:type="dxa" w:w="80"/>
              <w:left w:type="dxa" w:w="100"/>
              <w:bottom w:type="dxa" w:w="80"/>
              <w:right w:type="dxa" w:w="100"/>
            </w:tcMar>
            <w:vAlign w:val="center"/>
          </w:tcPr>
          <w:p>
            <w:pPr>
              <w:jc w:val="left"/>
            </w:pPr>
            <w:r>
              <w:rPr>
                <w:b w:val="false"/>
                <w:bCs w:val="false"/>
              </w:rPr>
              <w:t xml:space="preserve">Complete. Landing page (index.astro), a real (non-mocked) /app tool page, shared Logo/SiteHeader/SiteFooter/CtaButton components, and a styled 404 page.</w:t>
            </w:r>
          </w:p>
        </w:tc>
      </w:tr>
      <w:tr>
        <w:tc>
          <w:tcPr>
            <w:tcW w:type="dxa" w:w="3200"/>
            <w:shd w:fill="F5F5F5" w:val="clear"/>
            <w:tcMar>
              <w:top w:type="dxa" w:w="80"/>
              <w:left w:type="dxa" w:w="100"/>
              <w:bottom w:type="dxa" w:w="80"/>
              <w:right w:type="dxa" w:w="100"/>
            </w:tcMar>
            <w:vAlign w:val="center"/>
          </w:tcPr>
          <w:p>
            <w:pPr>
              <w:jc w:val="left"/>
            </w:pPr>
            <w:r>
              <w:rPr>
                <w:b w:val="false"/>
                <w:bCs w:val="false"/>
              </w:rPr>
              <w:t xml:space="preserve">FastAPI backend scaffold</w:t>
            </w:r>
          </w:p>
        </w:tc>
        <w:tc>
          <w:tcPr>
            <w:tcW w:type="dxa" w:w="6300"/>
            <w:shd w:fill="F5F5F5" w:val="clear"/>
            <w:tcMar>
              <w:top w:type="dxa" w:w="80"/>
              <w:left w:type="dxa" w:w="100"/>
              <w:bottom w:type="dxa" w:w="80"/>
              <w:right w:type="dxa" w:w="100"/>
            </w:tcMar>
            <w:vAlign w:val="center"/>
          </w:tcPr>
          <w:p>
            <w:pPr>
              <w:jc w:val="left"/>
            </w:pPr>
            <w:r>
              <w:rPr>
                <w:b w:val="false"/>
                <w:bCs w:val="false"/>
              </w:rPr>
              <w:t xml:space="preserve">Complete. GET /health returns {"status": "ok"}, CORS configured for local dev, Dockerfile reads PORT from the environment for Cloud Run.</w:t>
            </w:r>
          </w:p>
        </w:tc>
      </w:tr>
      <w:tr>
        <w:tc>
          <w:tcPr>
            <w:tcW w:type="dxa" w:w="3200"/>
            <w:tcMar>
              <w:top w:type="dxa" w:w="80"/>
              <w:left w:type="dxa" w:w="100"/>
              <w:bottom w:type="dxa" w:w="80"/>
              <w:right w:type="dxa" w:w="100"/>
            </w:tcMar>
            <w:vAlign w:val="center"/>
          </w:tcPr>
          <w:p>
            <w:pPr>
              <w:jc w:val="left"/>
            </w:pPr>
            <w:r>
              <w:rPr>
                <w:b w:val="false"/>
                <w:bCs w:val="false"/>
              </w:rPr>
              <w:t xml:space="preserve">/app ↔ backend connectivity</w:t>
            </w:r>
          </w:p>
        </w:tc>
        <w:tc>
          <w:tcPr>
            <w:tcW w:type="dxa" w:w="6300"/>
            <w:tcMar>
              <w:top w:type="dxa" w:w="80"/>
              <w:left w:type="dxa" w:w="100"/>
              <w:bottom w:type="dxa" w:w="80"/>
              <w:right w:type="dxa" w:w="100"/>
            </w:tcMar>
            <w:vAlign w:val="center"/>
          </w:tcPr>
          <w:p>
            <w:pPr>
              <w:jc w:val="left"/>
            </w:pPr>
            <w:r>
              <w:rPr>
                <w:b w:val="false"/>
                <w:bCs w:val="false"/>
              </w:rPr>
              <w:t xml:space="preserve">Complete. The /app page calls the backend's /health endpoint client-side and shows live connection status — proving the link is real rather than asserted.</w:t>
            </w:r>
          </w:p>
        </w:tc>
      </w:tr>
      <w:tr>
        <w:tc>
          <w:tcPr>
            <w:tcW w:type="dxa" w:w="3200"/>
            <w:shd w:fill="F5F5F5" w:val="clear"/>
            <w:tcMar>
              <w:top w:type="dxa" w:w="80"/>
              <w:left w:type="dxa" w:w="100"/>
              <w:bottom w:type="dxa" w:w="80"/>
              <w:right w:type="dxa" w:w="100"/>
            </w:tcMar>
            <w:vAlign w:val="center"/>
          </w:tcPr>
          <w:p>
            <w:pPr>
              <w:jc w:val="left"/>
            </w:pPr>
            <w:r>
              <w:rPr>
                <w:b w:val="false"/>
                <w:bCs w:val="false"/>
              </w:rPr>
              <w:t xml:space="preserve">CSV upload UI</w:t>
            </w:r>
          </w:p>
        </w:tc>
        <w:tc>
          <w:tcPr>
            <w:tcW w:type="dxa" w:w="6300"/>
            <w:shd w:fill="F5F5F5" w:val="clear"/>
            <w:tcMar>
              <w:top w:type="dxa" w:w="80"/>
              <w:left w:type="dxa" w:w="100"/>
              <w:bottom w:type="dxa" w:w="80"/>
              <w:right w:type="dxa" w:w="100"/>
            </w:tcMar>
            <w:vAlign w:val="center"/>
          </w:tcPr>
          <w:p>
            <w:pPr>
              <w:jc w:val="left"/>
            </w:pPr>
            <w:r>
              <w:rPr>
                <w:b w:val="false"/>
                <w:bCs w:val="false"/>
              </w:rPr>
              <w:t xml:space="preserve">Complete (drag-and-drop / click-to-browse), but submission is intentionally honest: since POST /forecast does not exist yet, submitting states plainly that forecasting isn't implemented yet. No mock forecast, chart, or invented numbers are shown.</w:t>
            </w:r>
          </w:p>
        </w:tc>
      </w:tr>
      <w:tr>
        <w:tc>
          <w:tcPr>
            <w:tcW w:type="dxa" w:w="3200"/>
            <w:tcMar>
              <w:top w:type="dxa" w:w="80"/>
              <w:left w:type="dxa" w:w="100"/>
              <w:bottom w:type="dxa" w:w="80"/>
              <w:right w:type="dxa" w:w="100"/>
            </w:tcMar>
            <w:vAlign w:val="center"/>
          </w:tcPr>
          <w:p>
            <w:pPr>
              <w:jc w:val="left"/>
            </w:pPr>
            <w:r>
              <w:rPr>
                <w:b w:val="false"/>
                <w:bCs w:val="false"/>
              </w:rPr>
              <w:t xml:space="preserve">POST /forecast — validation, XGBoost model, SHAP explanation</w:t>
            </w:r>
          </w:p>
        </w:tc>
        <w:tc>
          <w:tcPr>
            <w:tcW w:type="dxa" w:w="6300"/>
            <w:tcMar>
              <w:top w:type="dxa" w:w="80"/>
              <w:left w:type="dxa" w:w="100"/>
              <w:bottom w:type="dxa" w:w="80"/>
              <w:right w:type="dxa" w:w="100"/>
            </w:tcMar>
            <w:vAlign w:val="center"/>
          </w:tcPr>
          <w:p>
            <w:pPr>
              <w:jc w:val="left"/>
            </w:pPr>
            <w:r>
              <w:rPr>
                <w:b w:val="false"/>
                <w:bCs w:val="false"/>
              </w:rPr>
              <w:t xml:space="preserve">Not yet built. This is the core forecasting + explainability pipeline described in Section 7 and is the critical path to a usable V1.</w:t>
            </w:r>
          </w:p>
        </w:tc>
      </w:tr>
      <w:tr>
        <w:tc>
          <w:tcPr>
            <w:tcW w:type="dxa" w:w="3200"/>
            <w:shd w:fill="F5F5F5" w:val="clear"/>
            <w:tcMar>
              <w:top w:type="dxa" w:w="80"/>
              <w:left w:type="dxa" w:w="100"/>
              <w:bottom w:type="dxa" w:w="80"/>
              <w:right w:type="dxa" w:w="100"/>
            </w:tcMar>
            <w:vAlign w:val="center"/>
          </w:tcPr>
          <w:p>
            <w:pPr>
              <w:jc w:val="left"/>
            </w:pPr>
            <w:r>
              <w:rPr>
                <w:b w:val="false"/>
                <w:bCs w:val="false"/>
              </w:rPr>
              <w:t xml:space="preserve">Deployment (Cloud Run + Cloudflare Pages)</w:t>
            </w:r>
          </w:p>
        </w:tc>
        <w:tc>
          <w:tcPr>
            <w:tcW w:type="dxa" w:w="6300"/>
            <w:shd w:fill="F5F5F5" w:val="clear"/>
            <w:tcMar>
              <w:top w:type="dxa" w:w="80"/>
              <w:left w:type="dxa" w:w="100"/>
              <w:bottom w:type="dxa" w:w="80"/>
              <w:right w:type="dxa" w:w="100"/>
            </w:tcMar>
            <w:vAlign w:val="center"/>
          </w:tcPr>
          <w:p>
            <w:pPr>
              <w:jc w:val="left"/>
            </w:pPr>
            <w:r>
              <w:rPr>
                <w:b w:val="false"/>
                <w:bCs w:val="false"/>
              </w:rPr>
              <w:t xml:space="preserve">Not yet executed — Dockerfile and build config exist, but nothing is deployed.</w:t>
            </w:r>
          </w:p>
        </w:tc>
      </w:tr>
      <w:tr>
        <w:tc>
          <w:tcPr>
            <w:tcW w:type="dxa" w:w="3200"/>
            <w:tcMar>
              <w:top w:type="dxa" w:w="80"/>
              <w:left w:type="dxa" w:w="100"/>
              <w:bottom w:type="dxa" w:w="80"/>
              <w:right w:type="dxa" w:w="100"/>
            </w:tcMar>
            <w:vAlign w:val="center"/>
          </w:tcPr>
          <w:p>
            <w:pPr>
              <w:jc w:val="left"/>
            </w:pPr>
            <w:r>
              <w:rPr>
                <w:b w:val="false"/>
                <w:bCs w:val="false"/>
              </w:rPr>
              <w:t xml:space="preserve">SEO landing copy</w:t>
            </w:r>
          </w:p>
        </w:tc>
        <w:tc>
          <w:tcPr>
            <w:tcW w:type="dxa" w:w="6300"/>
            <w:tcMar>
              <w:top w:type="dxa" w:w="80"/>
              <w:left w:type="dxa" w:w="100"/>
              <w:bottom w:type="dxa" w:w="80"/>
              <w:right w:type="dxa" w:w="100"/>
            </w:tcMar>
            <w:vAlign w:val="center"/>
          </w:tcPr>
          <w:p>
            <w:pPr>
              <w:jc w:val="left"/>
            </w:pPr>
            <w:r>
              <w:rPr>
                <w:b w:val="false"/>
                <w:bCs w:val="false"/>
              </w:rPr>
              <w:t xml:space="preserve">Drafted (landing-copy.md) and verified against the live competitor site as of 2026-07-17; not yet integrated into index.astro.</w:t>
            </w:r>
          </w:p>
        </w:tc>
      </w:tr>
    </w:tbl>
    <w:p>
      <w:pPr>
        <w:pStyle w:val="Heading1"/>
        <w:spacing w:after="200" w:before="400"/>
      </w:pPr>
      <w:r>
        <w:t xml:space="preserve">7. Release 1 (V1 / MVP) — Functional Requirements</w:t>
      </w:r>
    </w:p>
    <w:p>
      <w:pPr>
        <w:spacing w:after="160"/>
      </w:pPr>
      <w:r>
        <w:t xml:space="preserve">Definition of done for V1: a seller can land on the marketing page, upload a real Shopify CSV export, and within seconds see a 30-day revenue forecast with a readable explanation of what's driving it — end to end, no errors, on both desktop and mobile.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000"/>
        <w:gridCol w:w="1200"/>
      </w:tblGrid>
      <w:tr>
        <w:trPr>
          <w:tblHeader/>
        </w:trPr>
        <w:tc>
          <w:tcPr>
            <w:tcW w:type="dxa" w:w="700"/>
            <w:shd w:fill="1F2937" w:val="clear"/>
            <w:tcMar>
              <w:top w:type="dxa" w:w="80"/>
              <w:left w:type="dxa" w:w="100"/>
              <w:bottom w:type="dxa" w:w="80"/>
              <w:right w:type="dxa" w:w="100"/>
            </w:tcMar>
            <w:vAlign w:val="center"/>
          </w:tcPr>
          <w:p>
            <w:pPr>
              <w:jc w:val="left"/>
            </w:pPr>
            <w:r>
              <w:rPr>
                <w:b/>
                <w:bCs/>
                <w:color w:val="FFFFFF"/>
              </w:rPr>
              <w:t xml:space="preserve">ID</w:t>
            </w:r>
          </w:p>
        </w:tc>
        <w:tc>
          <w:tcPr>
            <w:tcW w:type="dxa" w:w="2600"/>
            <w:shd w:fill="1F2937" w:val="clear"/>
            <w:tcMar>
              <w:top w:type="dxa" w:w="80"/>
              <w:left w:type="dxa" w:w="100"/>
              <w:bottom w:type="dxa" w:w="80"/>
              <w:right w:type="dxa" w:w="100"/>
            </w:tcMar>
            <w:vAlign w:val="center"/>
          </w:tcPr>
          <w:p>
            <w:pPr>
              <w:jc w:val="left"/>
            </w:pPr>
            <w:r>
              <w:rPr>
                <w:b/>
                <w:bCs/>
                <w:color w:val="FFFFFF"/>
              </w:rPr>
              <w:t xml:space="preserve">Requirement</w:t>
            </w:r>
          </w:p>
        </w:tc>
        <w:tc>
          <w:tcPr>
            <w:tcW w:type="dxa" w:w="5000"/>
            <w:shd w:fill="1F2937" w:val="clear"/>
            <w:tcMar>
              <w:top w:type="dxa" w:w="80"/>
              <w:left w:type="dxa" w:w="100"/>
              <w:bottom w:type="dxa" w:w="80"/>
              <w:right w:type="dxa" w:w="100"/>
            </w:tcMar>
            <w:vAlign w:val="center"/>
          </w:tcPr>
          <w:p>
            <w:pPr>
              <w:jc w:val="left"/>
            </w:pPr>
            <w:r>
              <w:rPr>
                <w:b/>
                <w:bCs/>
                <w:color w:val="FFFFFF"/>
              </w:rPr>
              <w:t xml:space="preserve">Description</w:t>
            </w:r>
          </w:p>
        </w:tc>
        <w:tc>
          <w:tcPr>
            <w:tcW w:type="dxa" w:w="1200"/>
            <w:shd w:fill="1F2937" w:val="clear"/>
            <w:tcMar>
              <w:top w:type="dxa" w:w="80"/>
              <w:left w:type="dxa" w:w="100"/>
              <w:bottom w:type="dxa" w:w="80"/>
              <w:right w:type="dxa" w:w="100"/>
            </w:tcMar>
            <w:vAlign w:val="center"/>
          </w:tcPr>
          <w:p>
            <w:pPr>
              <w:jc w:val="left"/>
            </w:pPr>
            <w:r>
              <w:rPr>
                <w:b/>
                <w:bCs/>
                <w:color w:val="FFFFFF"/>
              </w:rPr>
              <w:t xml:space="preserve">Priority</w:t>
            </w:r>
          </w:p>
        </w:tc>
      </w:tr>
      <w:tr>
        <w:tc>
          <w:tcPr>
            <w:tcW w:type="dxa" w:w="700"/>
            <w:tcMar>
              <w:top w:type="dxa" w:w="80"/>
              <w:left w:type="dxa" w:w="100"/>
              <w:bottom w:type="dxa" w:w="80"/>
              <w:right w:type="dxa" w:w="100"/>
            </w:tcMar>
            <w:vAlign w:val="center"/>
          </w:tcPr>
          <w:p>
            <w:pPr>
              <w:jc w:val="left"/>
            </w:pPr>
            <w:r>
              <w:rPr>
                <w:b w:val="false"/>
                <w:bCs w:val="false"/>
              </w:rPr>
              <w:t xml:space="preserve">FR-1</w:t>
            </w:r>
          </w:p>
        </w:tc>
        <w:tc>
          <w:tcPr>
            <w:tcW w:type="dxa" w:w="2600"/>
            <w:tcMar>
              <w:top w:type="dxa" w:w="80"/>
              <w:left w:type="dxa" w:w="100"/>
              <w:bottom w:type="dxa" w:w="80"/>
              <w:right w:type="dxa" w:w="100"/>
            </w:tcMar>
            <w:vAlign w:val="center"/>
          </w:tcPr>
          <w:p>
            <w:pPr>
              <w:jc w:val="left"/>
            </w:pPr>
            <w:r>
              <w:rPr>
                <w:b w:val="false"/>
                <w:bCs w:val="false"/>
              </w:rPr>
              <w:t xml:space="preserve">CSV upload</w:t>
            </w:r>
          </w:p>
        </w:tc>
        <w:tc>
          <w:tcPr>
            <w:tcW w:type="dxa" w:w="5000"/>
            <w:tcMar>
              <w:top w:type="dxa" w:w="80"/>
              <w:left w:type="dxa" w:w="100"/>
              <w:bottom w:type="dxa" w:w="80"/>
              <w:right w:type="dxa" w:w="100"/>
            </w:tcMar>
            <w:vAlign w:val="center"/>
          </w:tcPr>
          <w:p>
            <w:pPr>
              <w:jc w:val="left"/>
            </w:pPr>
            <w:r>
              <w:rPr>
                <w:b w:val="false"/>
                <w:bCs w:val="false"/>
              </w:rPr>
              <w:t xml:space="preserve">Accept a multipart CSV export of order history via drag-and-drop or click-to-browse on the /app page.</w:t>
            </w:r>
          </w:p>
        </w:tc>
        <w:tc>
          <w:tcPr>
            <w:tcW w:type="dxa" w:w="1200"/>
            <w:tcMar>
              <w:top w:type="dxa" w:w="80"/>
              <w:left w:type="dxa" w:w="100"/>
              <w:bottom w:type="dxa" w:w="80"/>
              <w:right w:type="dxa" w:w="100"/>
            </w:tcMar>
            <w:vAlign w:val="center"/>
          </w:tcPr>
          <w:p>
            <w:pPr>
              <w:jc w:val="left"/>
            </w:pPr>
            <w:r>
              <w:rPr>
                <w:b w:val="false"/>
                <w:bCs w:val="false"/>
              </w:rPr>
              <w:t xml:space="preserve">Must</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FR-2</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Data validation</w:t>
            </w:r>
          </w:p>
        </w:tc>
        <w:tc>
          <w:tcPr>
            <w:tcW w:type="dxa" w:w="5000"/>
            <w:shd w:fill="F5F5F5" w:val="clear"/>
            <w:tcMar>
              <w:top w:type="dxa" w:w="80"/>
              <w:left w:type="dxa" w:w="100"/>
              <w:bottom w:type="dxa" w:w="80"/>
              <w:right w:type="dxa" w:w="100"/>
            </w:tcMar>
            <w:vAlign w:val="center"/>
          </w:tcPr>
          <w:p>
            <w:pPr>
              <w:jc w:val="left"/>
            </w:pPr>
            <w:r>
              <w:rPr>
                <w:b w:val="false"/>
                <w:bCs w:val="false"/>
              </w:rPr>
              <w:t xml:space="preserve">Validate required columns (date, revenue, units_sold; SKU optional), reject empty files, malformed dates, non-numeric revenue/units, and files over 5 MB — with a clear, user-facing error message, not a raw 500.</w:t>
            </w:r>
          </w:p>
        </w:tc>
        <w:tc>
          <w:tcPr>
            <w:tcW w:type="dxa" w:w="1200"/>
            <w:shd w:fill="F5F5F5" w:val="clear"/>
            <w:tcMar>
              <w:top w:type="dxa" w:w="80"/>
              <w:left w:type="dxa" w:w="100"/>
              <w:bottom w:type="dxa" w:w="80"/>
              <w:right w:type="dxa" w:w="100"/>
            </w:tcMar>
            <w:vAlign w:val="center"/>
          </w:tcPr>
          <w:p>
            <w:pPr>
              <w:jc w:val="left"/>
            </w:pPr>
            <w:r>
              <w:rPr>
                <w:b w:val="false"/>
                <w:bCs w:val="false"/>
              </w:rPr>
              <w:t xml:space="preserve">Must</w:t>
            </w:r>
          </w:p>
        </w:tc>
      </w:tr>
      <w:tr>
        <w:tc>
          <w:tcPr>
            <w:tcW w:type="dxa" w:w="700"/>
            <w:tcMar>
              <w:top w:type="dxa" w:w="80"/>
              <w:left w:type="dxa" w:w="100"/>
              <w:bottom w:type="dxa" w:w="80"/>
              <w:right w:type="dxa" w:w="100"/>
            </w:tcMar>
            <w:vAlign w:val="center"/>
          </w:tcPr>
          <w:p>
            <w:pPr>
              <w:jc w:val="left"/>
            </w:pPr>
            <w:r>
              <w:rPr>
                <w:b w:val="false"/>
                <w:bCs w:val="false"/>
              </w:rPr>
              <w:t xml:space="preserve">FR-3</w:t>
            </w:r>
          </w:p>
        </w:tc>
        <w:tc>
          <w:tcPr>
            <w:tcW w:type="dxa" w:w="2600"/>
            <w:tcMar>
              <w:top w:type="dxa" w:w="80"/>
              <w:left w:type="dxa" w:w="100"/>
              <w:bottom w:type="dxa" w:w="80"/>
              <w:right w:type="dxa" w:w="100"/>
            </w:tcMar>
            <w:vAlign w:val="center"/>
          </w:tcPr>
          <w:p>
            <w:pPr>
              <w:jc w:val="left"/>
            </w:pPr>
            <w:r>
              <w:rPr>
                <w:b w:val="false"/>
                <w:bCs w:val="false"/>
              </w:rPr>
              <w:t xml:space="preserve">Minimum-data threshold</w:t>
            </w:r>
          </w:p>
        </w:tc>
        <w:tc>
          <w:tcPr>
            <w:tcW w:type="dxa" w:w="5000"/>
            <w:tcMar>
              <w:top w:type="dxa" w:w="80"/>
              <w:left w:type="dxa" w:w="100"/>
              <w:bottom w:type="dxa" w:w="80"/>
              <w:right w:type="dxa" w:w="100"/>
            </w:tcMar>
            <w:vAlign w:val="center"/>
          </w:tcPr>
          <w:p>
            <w:pPr>
              <w:jc w:val="left"/>
            </w:pPr>
            <w:r>
              <w:rPr>
                <w:b w:val="false"/>
                <w:bCs w:val="false"/>
              </w:rPr>
              <w:t xml:space="preserve">If uploaded history is below a reliable minimum (e.g., under 30 rows), return a clear message asking for more history instead of producing an unreliable forecast.</w:t>
            </w:r>
          </w:p>
        </w:tc>
        <w:tc>
          <w:tcPr>
            <w:tcW w:type="dxa" w:w="1200"/>
            <w:tcMar>
              <w:top w:type="dxa" w:w="80"/>
              <w:left w:type="dxa" w:w="100"/>
              <w:bottom w:type="dxa" w:w="80"/>
              <w:right w:type="dxa" w:w="100"/>
            </w:tcMar>
            <w:vAlign w:val="center"/>
          </w:tcPr>
          <w:p>
            <w:pPr>
              <w:jc w:val="left"/>
            </w:pPr>
            <w:r>
              <w:rPr>
                <w:b w:val="false"/>
                <w:bCs w:val="false"/>
              </w:rPr>
              <w:t xml:space="preserve">Must</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FR-4</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30-day revenue forecast</w:t>
            </w:r>
          </w:p>
        </w:tc>
        <w:tc>
          <w:tcPr>
            <w:tcW w:type="dxa" w:w="5000"/>
            <w:shd w:fill="F5F5F5" w:val="clear"/>
            <w:tcMar>
              <w:top w:type="dxa" w:w="80"/>
              <w:left w:type="dxa" w:w="100"/>
              <w:bottom w:type="dxa" w:w="80"/>
              <w:right w:type="dxa" w:w="100"/>
            </w:tcMar>
            <w:vAlign w:val="center"/>
          </w:tcPr>
          <w:p>
            <w:pPr>
              <w:jc w:val="left"/>
            </w:pPr>
            <w:r>
              <w:rPr>
                <w:b w:val="false"/>
                <w:bCs w:val="false"/>
              </w:rPr>
              <w:t xml:space="preserve">Train an XGBoost regressor server-side, per upload, on engineered features (day-of-week, rolling 7-day average, day-of-month, linear trend index); return a daily forecast plus a 30-day total. Store-level only, not per-SKU.</w:t>
            </w:r>
          </w:p>
        </w:tc>
        <w:tc>
          <w:tcPr>
            <w:tcW w:type="dxa" w:w="1200"/>
            <w:shd w:fill="F5F5F5" w:val="clear"/>
            <w:tcMar>
              <w:top w:type="dxa" w:w="80"/>
              <w:left w:type="dxa" w:w="100"/>
              <w:bottom w:type="dxa" w:w="80"/>
              <w:right w:type="dxa" w:w="100"/>
            </w:tcMar>
            <w:vAlign w:val="center"/>
          </w:tcPr>
          <w:p>
            <w:pPr>
              <w:jc w:val="left"/>
            </w:pPr>
            <w:r>
              <w:rPr>
                <w:b w:val="false"/>
                <w:bCs w:val="false"/>
              </w:rPr>
              <w:t xml:space="preserve">Must</w:t>
            </w:r>
          </w:p>
        </w:tc>
      </w:tr>
      <w:tr>
        <w:tc>
          <w:tcPr>
            <w:tcW w:type="dxa" w:w="700"/>
            <w:tcMar>
              <w:top w:type="dxa" w:w="80"/>
              <w:left w:type="dxa" w:w="100"/>
              <w:bottom w:type="dxa" w:w="80"/>
              <w:right w:type="dxa" w:w="100"/>
            </w:tcMar>
            <w:vAlign w:val="center"/>
          </w:tcPr>
          <w:p>
            <w:pPr>
              <w:jc w:val="left"/>
            </w:pPr>
            <w:r>
              <w:rPr>
                <w:b w:val="false"/>
                <w:bCs w:val="false"/>
              </w:rPr>
              <w:t xml:space="preserve">FR-5</w:t>
            </w:r>
          </w:p>
        </w:tc>
        <w:tc>
          <w:tcPr>
            <w:tcW w:type="dxa" w:w="2600"/>
            <w:tcMar>
              <w:top w:type="dxa" w:w="80"/>
              <w:left w:type="dxa" w:w="100"/>
              <w:bottom w:type="dxa" w:w="80"/>
              <w:right w:type="dxa" w:w="100"/>
            </w:tcMar>
            <w:vAlign w:val="center"/>
          </w:tcPr>
          <w:p>
            <w:pPr>
              <w:jc w:val="left"/>
            </w:pPr>
            <w:r>
              <w:rPr>
                <w:b w:val="false"/>
                <w:bCs w:val="false"/>
              </w:rPr>
              <w:t xml:space="preserve">SHAP explainability panel</w:t>
            </w:r>
          </w:p>
        </w:tc>
        <w:tc>
          <w:tcPr>
            <w:tcW w:type="dxa" w:w="5000"/>
            <w:tcMar>
              <w:top w:type="dxa" w:w="80"/>
              <w:left w:type="dxa" w:w="100"/>
              <w:bottom w:type="dxa" w:w="80"/>
              <w:right w:type="dxa" w:w="100"/>
            </w:tcMar>
            <w:vAlign w:val="center"/>
          </w:tcPr>
          <w:p>
            <w:pPr>
              <w:jc w:val="left"/>
            </w:pPr>
            <w:r>
              <w:rPr>
                <w:b w:val="false"/>
                <w:bCs w:val="false"/>
              </w:rPr>
              <w:t xml:space="preserve">Run SHAP TreeExplainer against the trained model; aggregate attributions per feature and translate the top 3–5 into templated plain-English "why" statements.</w:t>
            </w:r>
          </w:p>
        </w:tc>
        <w:tc>
          <w:tcPr>
            <w:tcW w:type="dxa" w:w="1200"/>
            <w:tcMar>
              <w:top w:type="dxa" w:w="80"/>
              <w:left w:type="dxa" w:w="100"/>
              <w:bottom w:type="dxa" w:w="80"/>
              <w:right w:type="dxa" w:w="100"/>
            </w:tcMar>
            <w:vAlign w:val="center"/>
          </w:tcPr>
          <w:p>
            <w:pPr>
              <w:jc w:val="left"/>
            </w:pPr>
            <w:r>
              <w:rPr>
                <w:b w:val="false"/>
                <w:bCs w:val="false"/>
              </w:rPr>
              <w:t xml:space="preserve">Must</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FR-6</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Forecast dashboard</w:t>
            </w:r>
          </w:p>
        </w:tc>
        <w:tc>
          <w:tcPr>
            <w:tcW w:type="dxa" w:w="5000"/>
            <w:shd w:fill="F5F5F5" w:val="clear"/>
            <w:tcMar>
              <w:top w:type="dxa" w:w="80"/>
              <w:left w:type="dxa" w:w="100"/>
              <w:bottom w:type="dxa" w:w="80"/>
              <w:right w:type="dxa" w:w="100"/>
            </w:tcMar>
            <w:vAlign w:val="center"/>
          </w:tcPr>
          <w:p>
            <w:pPr>
              <w:jc w:val="left"/>
            </w:pPr>
            <w:r>
              <w:rPr>
                <w:b w:val="false"/>
                <w:bCs w:val="false"/>
              </w:rPr>
              <w:t xml:space="preserve">Single /app view rendering a line chart of the 30-day forecast, a prominent 30-day total revenue number, and the "why" panel, side by side.</w:t>
            </w:r>
          </w:p>
        </w:tc>
        <w:tc>
          <w:tcPr>
            <w:tcW w:type="dxa" w:w="1200"/>
            <w:shd w:fill="F5F5F5" w:val="clear"/>
            <w:tcMar>
              <w:top w:type="dxa" w:w="80"/>
              <w:left w:type="dxa" w:w="100"/>
              <w:bottom w:type="dxa" w:w="80"/>
              <w:right w:type="dxa" w:w="100"/>
            </w:tcMar>
            <w:vAlign w:val="center"/>
          </w:tcPr>
          <w:p>
            <w:pPr>
              <w:jc w:val="left"/>
            </w:pPr>
            <w:r>
              <w:rPr>
                <w:b w:val="false"/>
                <w:bCs w:val="false"/>
              </w:rPr>
              <w:t xml:space="preserve">Must</w:t>
            </w:r>
          </w:p>
        </w:tc>
      </w:tr>
      <w:tr>
        <w:tc>
          <w:tcPr>
            <w:tcW w:type="dxa" w:w="700"/>
            <w:tcMar>
              <w:top w:type="dxa" w:w="80"/>
              <w:left w:type="dxa" w:w="100"/>
              <w:bottom w:type="dxa" w:w="80"/>
              <w:right w:type="dxa" w:w="100"/>
            </w:tcMar>
            <w:vAlign w:val="center"/>
          </w:tcPr>
          <w:p>
            <w:pPr>
              <w:jc w:val="left"/>
            </w:pPr>
            <w:r>
              <w:rPr>
                <w:b w:val="false"/>
                <w:bCs w:val="false"/>
              </w:rPr>
              <w:t xml:space="preserve">FR-7</w:t>
            </w:r>
          </w:p>
        </w:tc>
        <w:tc>
          <w:tcPr>
            <w:tcW w:type="dxa" w:w="2600"/>
            <w:tcMar>
              <w:top w:type="dxa" w:w="80"/>
              <w:left w:type="dxa" w:w="100"/>
              <w:bottom w:type="dxa" w:w="80"/>
              <w:right w:type="dxa" w:w="100"/>
            </w:tcMar>
            <w:vAlign w:val="center"/>
          </w:tcPr>
          <w:p>
            <w:pPr>
              <w:jc w:val="left"/>
            </w:pPr>
            <w:r>
              <w:rPr>
                <w:b w:val="false"/>
                <w:bCs w:val="false"/>
              </w:rPr>
              <w:t xml:space="preserve">No-login free flow</w:t>
            </w:r>
          </w:p>
        </w:tc>
        <w:tc>
          <w:tcPr>
            <w:tcW w:type="dxa" w:w="5000"/>
            <w:tcMar>
              <w:top w:type="dxa" w:w="80"/>
              <w:left w:type="dxa" w:w="100"/>
              <w:bottom w:type="dxa" w:w="80"/>
              <w:right w:type="dxa" w:w="100"/>
            </w:tcMar>
            <w:vAlign w:val="center"/>
          </w:tcPr>
          <w:p>
            <w:pPr>
              <w:jc w:val="left"/>
            </w:pPr>
            <w:r>
              <w:rPr>
                <w:b w:val="false"/>
                <w:bCs w:val="false"/>
              </w:rPr>
              <w:t xml:space="preserve">No account, signup, or payment required to upload a CSV and receive a forecast. This is the SEO/lead-gen hook.</w:t>
            </w:r>
          </w:p>
        </w:tc>
        <w:tc>
          <w:tcPr>
            <w:tcW w:type="dxa" w:w="1200"/>
            <w:tcMar>
              <w:top w:type="dxa" w:w="80"/>
              <w:left w:type="dxa" w:w="100"/>
              <w:bottom w:type="dxa" w:w="80"/>
              <w:right w:type="dxa" w:w="100"/>
            </w:tcMar>
            <w:vAlign w:val="center"/>
          </w:tcPr>
          <w:p>
            <w:pPr>
              <w:jc w:val="left"/>
            </w:pPr>
            <w:r>
              <w:rPr>
                <w:b w:val="false"/>
                <w:bCs w:val="false"/>
              </w:rPr>
              <w:t xml:space="preserve">Must</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FR-8</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Error states</w:t>
            </w:r>
          </w:p>
        </w:tc>
        <w:tc>
          <w:tcPr>
            <w:tcW w:type="dxa" w:w="5000"/>
            <w:shd w:fill="F5F5F5" w:val="clear"/>
            <w:tcMar>
              <w:top w:type="dxa" w:w="80"/>
              <w:left w:type="dxa" w:w="100"/>
              <w:bottom w:type="dxa" w:w="80"/>
              <w:right w:type="dxa" w:w="100"/>
            </w:tcMar>
            <w:vAlign w:val="center"/>
          </w:tcPr>
          <w:p>
            <w:pPr>
              <w:jc w:val="left"/>
            </w:pPr>
            <w:r>
              <w:rPr>
                <w:b w:val="false"/>
                <w:bCs w:val="false"/>
              </w:rPr>
              <w:t xml:space="preserve">Validation failures and insufficient-data cases surface the backend's specific error message in the UI, not a generic failure screen.</w:t>
            </w:r>
          </w:p>
        </w:tc>
        <w:tc>
          <w:tcPr>
            <w:tcW w:type="dxa" w:w="1200"/>
            <w:shd w:fill="F5F5F5" w:val="clear"/>
            <w:tcMar>
              <w:top w:type="dxa" w:w="80"/>
              <w:left w:type="dxa" w:w="100"/>
              <w:bottom w:type="dxa" w:w="80"/>
              <w:right w:type="dxa" w:w="100"/>
            </w:tcMar>
            <w:vAlign w:val="center"/>
          </w:tcPr>
          <w:p>
            <w:pPr>
              <w:jc w:val="left"/>
            </w:pPr>
            <w:r>
              <w:rPr>
                <w:b w:val="false"/>
                <w:bCs w:val="false"/>
              </w:rPr>
              <w:t xml:space="preserve">Must</w:t>
            </w:r>
          </w:p>
        </w:tc>
      </w:tr>
      <w:tr>
        <w:tc>
          <w:tcPr>
            <w:tcW w:type="dxa" w:w="700"/>
            <w:tcMar>
              <w:top w:type="dxa" w:w="80"/>
              <w:left w:type="dxa" w:w="100"/>
              <w:bottom w:type="dxa" w:w="80"/>
              <w:right w:type="dxa" w:w="100"/>
            </w:tcMar>
            <w:vAlign w:val="center"/>
          </w:tcPr>
          <w:p>
            <w:pPr>
              <w:jc w:val="left"/>
            </w:pPr>
            <w:r>
              <w:rPr>
                <w:b w:val="false"/>
                <w:bCs w:val="false"/>
              </w:rPr>
              <w:t xml:space="preserve">FR-9</w:t>
            </w:r>
          </w:p>
        </w:tc>
        <w:tc>
          <w:tcPr>
            <w:tcW w:type="dxa" w:w="2600"/>
            <w:tcMar>
              <w:top w:type="dxa" w:w="80"/>
              <w:left w:type="dxa" w:w="100"/>
              <w:bottom w:type="dxa" w:w="80"/>
              <w:right w:type="dxa" w:w="100"/>
            </w:tcMar>
            <w:vAlign w:val="center"/>
          </w:tcPr>
          <w:p>
            <w:pPr>
              <w:jc w:val="left"/>
            </w:pPr>
            <w:r>
              <w:rPr>
                <w:b w:val="false"/>
                <w:bCs w:val="false"/>
              </w:rPr>
              <w:t xml:space="preserve">SEO marketing landing page</w:t>
            </w:r>
          </w:p>
        </w:tc>
        <w:tc>
          <w:tcPr>
            <w:tcW w:type="dxa" w:w="5000"/>
            <w:tcMar>
              <w:top w:type="dxa" w:w="80"/>
              <w:left w:type="dxa" w:w="100"/>
              <w:bottom w:type="dxa" w:w="80"/>
              <w:right w:type="dxa" w:w="100"/>
            </w:tcMar>
            <w:vAlign w:val="center"/>
          </w:tcPr>
          <w:p>
            <w:pPr>
              <w:jc w:val="left"/>
            </w:pPr>
            <w:r>
              <w:rPr>
                <w:b w:val="false"/>
                <w:bCs w:val="false"/>
              </w:rPr>
              <w:t xml:space="preserve">Astro landing page targeting "shopify sales forecast" and related search intent: H1, differentiator explanation, primary CTA, FAQ section, semantic HTML with a single H1 and descriptive meta title/description.</w:t>
            </w:r>
          </w:p>
        </w:tc>
        <w:tc>
          <w:tcPr>
            <w:tcW w:type="dxa" w:w="1200"/>
            <w:tcMar>
              <w:top w:type="dxa" w:w="80"/>
              <w:left w:type="dxa" w:w="100"/>
              <w:bottom w:type="dxa" w:w="80"/>
              <w:right w:type="dxa" w:w="100"/>
            </w:tcMar>
            <w:vAlign w:val="center"/>
          </w:tcPr>
          <w:p>
            <w:pPr>
              <w:jc w:val="left"/>
            </w:pPr>
            <w:r>
              <w:rPr>
                <w:b w:val="false"/>
                <w:bCs w:val="false"/>
              </w:rPr>
              <w:t xml:space="preserve">Must</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FR-10</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Responsive design</w:t>
            </w:r>
          </w:p>
        </w:tc>
        <w:tc>
          <w:tcPr>
            <w:tcW w:type="dxa" w:w="5000"/>
            <w:shd w:fill="F5F5F5" w:val="clear"/>
            <w:tcMar>
              <w:top w:type="dxa" w:w="80"/>
              <w:left w:type="dxa" w:w="100"/>
              <w:bottom w:type="dxa" w:w="80"/>
              <w:right w:type="dxa" w:w="100"/>
            </w:tcMar>
            <w:vAlign w:val="center"/>
          </w:tcPr>
          <w:p>
            <w:pPr>
              <w:jc w:val="left"/>
            </w:pPr>
            <w:r>
              <w:rPr>
                <w:b w:val="false"/>
                <w:bCs w:val="false"/>
              </w:rPr>
              <w:t xml:space="preserve">Full upload-to-forecast flow works on both desktop and mobile viewports.</w:t>
            </w:r>
          </w:p>
        </w:tc>
        <w:tc>
          <w:tcPr>
            <w:tcW w:type="dxa" w:w="1200"/>
            <w:shd w:fill="F5F5F5" w:val="clear"/>
            <w:tcMar>
              <w:top w:type="dxa" w:w="80"/>
              <w:left w:type="dxa" w:w="100"/>
              <w:bottom w:type="dxa" w:w="80"/>
              <w:right w:type="dxa" w:w="100"/>
            </w:tcMar>
            <w:vAlign w:val="center"/>
          </w:tcPr>
          <w:p>
            <w:pPr>
              <w:jc w:val="left"/>
            </w:pPr>
            <w:r>
              <w:rPr>
                <w:b w:val="false"/>
                <w:bCs w:val="false"/>
              </w:rPr>
              <w:t xml:space="preserve">Must</w:t>
            </w:r>
          </w:p>
        </w:tc>
      </w:tr>
      <w:tr>
        <w:tc>
          <w:tcPr>
            <w:tcW w:type="dxa" w:w="700"/>
            <w:tcMar>
              <w:top w:type="dxa" w:w="80"/>
              <w:left w:type="dxa" w:w="100"/>
              <w:bottom w:type="dxa" w:w="80"/>
              <w:right w:type="dxa" w:w="100"/>
            </w:tcMar>
            <w:vAlign w:val="center"/>
          </w:tcPr>
          <w:p>
            <w:pPr>
              <w:jc w:val="left"/>
            </w:pPr>
            <w:r>
              <w:rPr>
                <w:b w:val="false"/>
                <w:bCs w:val="false"/>
              </w:rPr>
              <w:t xml:space="preserve">FR-11</w:t>
            </w:r>
          </w:p>
        </w:tc>
        <w:tc>
          <w:tcPr>
            <w:tcW w:type="dxa" w:w="2600"/>
            <w:tcMar>
              <w:top w:type="dxa" w:w="80"/>
              <w:left w:type="dxa" w:w="100"/>
              <w:bottom w:type="dxa" w:w="80"/>
              <w:right w:type="dxa" w:w="100"/>
            </w:tcMar>
            <w:vAlign w:val="center"/>
          </w:tcPr>
          <w:p>
            <w:pPr>
              <w:jc w:val="left"/>
            </w:pPr>
            <w:r>
              <w:rPr>
                <w:b w:val="false"/>
                <w:bCs w:val="false"/>
              </w:rPr>
              <w:t xml:space="preserve">Privacy / Terms pages</w:t>
            </w:r>
          </w:p>
        </w:tc>
        <w:tc>
          <w:tcPr>
            <w:tcW w:type="dxa" w:w="5000"/>
            <w:tcMar>
              <w:top w:type="dxa" w:w="80"/>
              <w:left w:type="dxa" w:w="100"/>
              <w:bottom w:type="dxa" w:w="80"/>
              <w:right w:type="dxa" w:w="100"/>
            </w:tcMar>
            <w:vAlign w:val="center"/>
          </w:tcPr>
          <w:p>
            <w:pPr>
              <w:jc w:val="left"/>
            </w:pPr>
            <w:r>
              <w:rPr>
                <w:b w:val="false"/>
                <w:bCs w:val="false"/>
              </w:rPr>
              <w:t xml:space="preserve">Privacy Policy and Terms pages published (placeholder content acceptable pre-launch but must be flagged and replaced before real launch), required because the tool accepts user file uploads.</w:t>
            </w:r>
          </w:p>
        </w:tc>
        <w:tc>
          <w:tcPr>
            <w:tcW w:type="dxa" w:w="1200"/>
            <w:tcMar>
              <w:top w:type="dxa" w:w="80"/>
              <w:left w:type="dxa" w:w="100"/>
              <w:bottom w:type="dxa" w:w="80"/>
              <w:right w:type="dxa" w:w="100"/>
            </w:tcMar>
            <w:vAlign w:val="center"/>
          </w:tcPr>
          <w:p>
            <w:pPr>
              <w:jc w:val="left"/>
            </w:pPr>
            <w:r>
              <w:rPr>
                <w:b w:val="false"/>
                <w:bCs w:val="false"/>
              </w:rPr>
              <w:t xml:space="preserve">Must</w:t>
            </w:r>
          </w:p>
        </w:tc>
      </w:tr>
    </w:tbl>
    <w:p>
      <w:pPr>
        <w:pStyle w:val="Heading1"/>
        <w:spacing w:after="200" w:before="400"/>
      </w:pPr>
      <w:r>
        <w:t xml:space="preserve">8. Explicitly Out of Scope for V1</w:t>
      </w:r>
    </w:p>
    <w:p>
      <w:pPr>
        <w:spacing w:after="160"/>
      </w:pPr>
      <w:r>
        <w:t xml:space="preserve">These are deliberate exclusions to hit the 2-week MVP window, not oversights. Each is addressed by the phased roadmap in Section 9.</w:t>
      </w:r>
    </w:p>
    <w:p>
      <w:pPr>
        <w:pStyle w:val="ListParagraph"/>
        <w:numPr>
          <w:ilvl w:val="0"/>
          <w:numId w:val="2"/>
        </w:numPr>
        <w:spacing w:after="80"/>
      </w:pPr>
      <w:r>
        <w:t xml:space="preserve">User accounts, login, or saved forecast history</w:t>
      </w:r>
    </w:p>
    <w:p>
      <w:pPr>
        <w:pStyle w:val="ListParagraph"/>
        <w:numPr>
          <w:ilvl w:val="0"/>
          <w:numId w:val="2"/>
        </w:numPr>
        <w:spacing w:after="80"/>
      </w:pPr>
      <w:r>
        <w:t xml:space="preserve">Live Shopify OAuth connection (CSV upload only in V1)</w:t>
      </w:r>
    </w:p>
    <w:p>
      <w:pPr>
        <w:pStyle w:val="ListParagraph"/>
        <w:numPr>
          <w:ilvl w:val="0"/>
          <w:numId w:val="2"/>
        </w:numPr>
        <w:spacing w:after="80"/>
      </w:pPr>
      <w:r>
        <w:t xml:space="preserve">Per-SKU forecasting (store-level only)</w:t>
      </w:r>
    </w:p>
    <w:p>
      <w:pPr>
        <w:pStyle w:val="ListParagraph"/>
        <w:numPr>
          <w:ilvl w:val="0"/>
          <w:numId w:val="2"/>
        </w:numPr>
        <w:spacing w:after="80"/>
      </w:pPr>
      <w:r>
        <w:t xml:space="preserve">LSTM/ensemble modeling or forecast horizons beyond 30 days</w:t>
      </w:r>
    </w:p>
    <w:p>
      <w:pPr>
        <w:pStyle w:val="ListParagraph"/>
        <w:numPr>
          <w:ilvl w:val="0"/>
          <w:numId w:val="2"/>
        </w:numPr>
        <w:spacing w:after="80"/>
      </w:pPr>
      <w:r>
        <w:t xml:space="preserve">Payment/subscription billing</w:t>
      </w:r>
    </w:p>
    <w:p>
      <w:pPr>
        <w:pStyle w:val="ListParagraph"/>
        <w:numPr>
          <w:ilvl w:val="0"/>
          <w:numId w:val="2"/>
        </w:numPr>
        <w:spacing w:after="80"/>
      </w:pPr>
      <w:r>
        <w:t xml:space="preserve">Multi-store support</w:t>
      </w:r>
    </w:p>
    <w:p>
      <w:pPr>
        <w:pStyle w:val="ListParagraph"/>
        <w:numPr>
          <w:ilvl w:val="0"/>
          <w:numId w:val="2"/>
        </w:numPr>
        <w:spacing w:after="80"/>
      </w:pPr>
      <w:r>
        <w:t xml:space="preserve">Forecast accuracy tracking over time ("we predicted X, actual was Y")</w:t>
      </w:r>
    </w:p>
    <w:p>
      <w:pPr>
        <w:pStyle w:val="ListParagraph"/>
        <w:numPr>
          <w:ilvl w:val="0"/>
          <w:numId w:val="2"/>
        </w:numPr>
        <w:spacing w:after="80"/>
      </w:pPr>
      <w:r>
        <w:t xml:space="preserve">Inventory reorder recommendations or ad-spend suggestions</w:t>
      </w:r>
    </w:p>
    <w:p>
      <w:pPr>
        <w:pStyle w:val="Heading1"/>
        <w:spacing w:after="200" w:before="400"/>
      </w:pPr>
      <w:r>
        <w:t xml:space="preserve">9. Phased Roadmap — Post-V1 Features</w:t>
      </w:r>
    </w:p>
    <w:p>
      <w:pPr>
        <w:spacing w:after="160"/>
      </w:pPr>
      <w:r>
        <w:t xml:space="preserve">Sequenced by value delivered versus dependency on earlier items; a sane build order once V1 has real users, not a rigid commitment. API response schemas in V1 are written to anticipate these items (e.g., the forecast JSON reserves a null sku_level field from day one) so V1 build decisions don't foreclose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600"/>
        <w:gridCol w:w="1700"/>
      </w:tblGrid>
      <w:tr>
        <w:trPr>
          <w:tblHeader/>
        </w:trPr>
        <w:tc>
          <w:tcPr>
            <w:tcW w:type="dxa" w:w="700"/>
            <w:shd w:fill="1F2937" w:val="clear"/>
            <w:tcMar>
              <w:top w:type="dxa" w:w="80"/>
              <w:left w:type="dxa" w:w="100"/>
              <w:bottom w:type="dxa" w:w="80"/>
              <w:right w:type="dxa" w:w="100"/>
            </w:tcMar>
            <w:vAlign w:val="center"/>
          </w:tcPr>
          <w:p>
            <w:pPr>
              <w:jc w:val="left"/>
            </w:pPr>
            <w:r>
              <w:rPr>
                <w:b/>
                <w:bCs/>
                <w:color w:val="FFFFFF"/>
              </w:rPr>
              <w:t xml:space="preserve">Phase</w:t>
            </w:r>
          </w:p>
        </w:tc>
        <w:tc>
          <w:tcPr>
            <w:tcW w:type="dxa" w:w="2600"/>
            <w:shd w:fill="1F2937" w:val="clear"/>
            <w:tcMar>
              <w:top w:type="dxa" w:w="80"/>
              <w:left w:type="dxa" w:w="100"/>
              <w:bottom w:type="dxa" w:w="80"/>
              <w:right w:type="dxa" w:w="100"/>
            </w:tcMar>
            <w:vAlign w:val="center"/>
          </w:tcPr>
          <w:p>
            <w:pPr>
              <w:jc w:val="left"/>
            </w:pPr>
            <w:r>
              <w:rPr>
                <w:b/>
                <w:bCs/>
                <w:color w:val="FFFFFF"/>
              </w:rPr>
              <w:t xml:space="preserve">Feature</w:t>
            </w:r>
          </w:p>
        </w:tc>
        <w:tc>
          <w:tcPr>
            <w:tcW w:type="dxa" w:w="4600"/>
            <w:shd w:fill="1F2937" w:val="clear"/>
            <w:tcMar>
              <w:top w:type="dxa" w:w="80"/>
              <w:left w:type="dxa" w:w="100"/>
              <w:bottom w:type="dxa" w:w="80"/>
              <w:right w:type="dxa" w:w="100"/>
            </w:tcMar>
            <w:vAlign w:val="center"/>
          </w:tcPr>
          <w:p>
            <w:pPr>
              <w:jc w:val="left"/>
            </w:pPr>
            <w:r>
              <w:rPr>
                <w:b/>
                <w:bCs/>
                <w:color w:val="FFFFFF"/>
              </w:rPr>
              <w:t xml:space="preserve">Description</w:t>
            </w:r>
          </w:p>
        </w:tc>
        <w:tc>
          <w:tcPr>
            <w:tcW w:type="dxa" w:w="1700"/>
            <w:shd w:fill="1F2937" w:val="clear"/>
            <w:tcMar>
              <w:top w:type="dxa" w:w="80"/>
              <w:left w:type="dxa" w:w="100"/>
              <w:bottom w:type="dxa" w:w="80"/>
              <w:right w:type="dxa" w:w="100"/>
            </w:tcMar>
            <w:vAlign w:val="center"/>
          </w:tcPr>
          <w:p>
            <w:pPr>
              <w:jc w:val="left"/>
            </w:pPr>
            <w:r>
              <w:rPr>
                <w:b/>
                <w:bCs/>
                <w:color w:val="FFFFFF"/>
              </w:rPr>
              <w:t xml:space="preserve">Depends on</w:t>
            </w:r>
          </w:p>
        </w:tc>
      </w:tr>
      <w:tr>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600"/>
            <w:tcMar>
              <w:top w:type="dxa" w:w="80"/>
              <w:left w:type="dxa" w:w="100"/>
              <w:bottom w:type="dxa" w:w="80"/>
              <w:right w:type="dxa" w:w="100"/>
            </w:tcMar>
            <w:vAlign w:val="center"/>
          </w:tcPr>
          <w:p>
            <w:pPr>
              <w:jc w:val="left"/>
            </w:pPr>
            <w:r>
              <w:rPr>
                <w:b w:val="false"/>
                <w:bCs w:val="false"/>
              </w:rPr>
              <w:t xml:space="preserve">Paid tier / billing (Stripe)</w:t>
            </w:r>
          </w:p>
        </w:tc>
        <w:tc>
          <w:tcPr>
            <w:tcW w:type="dxa" w:w="4600"/>
            <w:tcMar>
              <w:top w:type="dxa" w:w="80"/>
              <w:left w:type="dxa" w:w="100"/>
              <w:bottom w:type="dxa" w:w="80"/>
              <w:right w:type="dxa" w:w="100"/>
            </w:tcMar>
            <w:vAlign w:val="center"/>
          </w:tcPr>
          <w:p>
            <w:pPr>
              <w:jc w:val="left"/>
            </w:pPr>
            <w:r>
              <w:rPr>
                <w:b w:val="false"/>
                <w:bCs w:val="false"/>
              </w:rPr>
              <w:t xml:space="preserve">Introduce a paid subscription to begin converting free-tool users into paying customers. Unlocks funding for every feature below.</w:t>
            </w:r>
          </w:p>
        </w:tc>
        <w:tc>
          <w:tcPr>
            <w:tcW w:type="dxa" w:w="1700"/>
            <w:tcMar>
              <w:top w:type="dxa" w:w="80"/>
              <w:left w:type="dxa" w:w="100"/>
              <w:bottom w:type="dxa" w:w="80"/>
              <w:right w:type="dxa" w:w="100"/>
            </w:tcMar>
            <w:vAlign w:val="center"/>
          </w:tcPr>
          <w:p>
            <w:pPr>
              <w:jc w:val="left"/>
            </w:pPr>
            <w:r>
              <w:rPr>
                <w:b w:val="false"/>
                <w:bCs w:val="false"/>
              </w:rPr>
              <w:t xml:space="preserve">V1 demand validation</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2</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Shopify OAuth live connection</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Replace manual CSV upload with an auto-refreshing live data feed from the seller's store. Likely anchor feature of the first paid tier.</w:t>
            </w:r>
          </w:p>
        </w:tc>
        <w:tc>
          <w:tcPr>
            <w:tcW w:type="dxa" w:w="1700"/>
            <w:shd w:fill="F5F5F5" w:val="clear"/>
            <w:tcMar>
              <w:top w:type="dxa" w:w="80"/>
              <w:left w:type="dxa" w:w="100"/>
              <w:bottom w:type="dxa" w:w="80"/>
              <w:right w:type="dxa" w:w="100"/>
            </w:tcMar>
            <w:vAlign w:val="center"/>
          </w:tcPr>
          <w:p>
            <w:pPr>
              <w:jc w:val="left"/>
            </w:pPr>
            <w:r>
              <w:rPr>
                <w:b w:val="false"/>
                <w:bCs w:val="false"/>
              </w:rPr>
              <w:t xml:space="preserve">Phase 1 billing</w:t>
            </w:r>
          </w:p>
        </w:tc>
      </w:tr>
      <w:tr>
        <w:tc>
          <w:tcPr>
            <w:tcW w:type="dxa" w:w="700"/>
            <w:tcMar>
              <w:top w:type="dxa" w:w="80"/>
              <w:left w:type="dxa" w:w="100"/>
              <w:bottom w:type="dxa" w:w="80"/>
              <w:right w:type="dxa" w:w="100"/>
            </w:tcMar>
            <w:vAlign w:val="center"/>
          </w:tcPr>
          <w:p>
            <w:pPr>
              <w:jc w:val="left"/>
            </w:pPr>
            <w:r>
              <w:rPr>
                <w:b w:val="false"/>
                <w:bCs w:val="false"/>
              </w:rPr>
              <w:t xml:space="preserve">3</w:t>
            </w:r>
          </w:p>
        </w:tc>
        <w:tc>
          <w:tcPr>
            <w:tcW w:type="dxa" w:w="2600"/>
            <w:tcMar>
              <w:top w:type="dxa" w:w="80"/>
              <w:left w:type="dxa" w:w="100"/>
              <w:bottom w:type="dxa" w:w="80"/>
              <w:right w:type="dxa" w:w="100"/>
            </w:tcMar>
            <w:vAlign w:val="center"/>
          </w:tcPr>
          <w:p>
            <w:pPr>
              <w:jc w:val="left"/>
            </w:pPr>
            <w:r>
              <w:rPr>
                <w:b w:val="false"/>
                <w:bCs w:val="false"/>
              </w:rPr>
              <w:t xml:space="preserve">Forecast accuracy tracking</w:t>
            </w:r>
          </w:p>
        </w:tc>
        <w:tc>
          <w:tcPr>
            <w:tcW w:type="dxa" w:w="4600"/>
            <w:tcMar>
              <w:top w:type="dxa" w:w="80"/>
              <w:left w:type="dxa" w:w="100"/>
              <w:bottom w:type="dxa" w:w="80"/>
              <w:right w:type="dxa" w:w="100"/>
            </w:tcMar>
            <w:vAlign w:val="center"/>
          </w:tcPr>
          <w:p>
            <w:pPr>
              <w:jc w:val="left"/>
            </w:pPr>
            <w:r>
              <w:rPr>
                <w:b w:val="false"/>
                <w:bCs w:val="false"/>
              </w:rPr>
              <w:t xml:space="preserve">Persist each forecast and compare it against actual results a month later ("we predicted $42K, actual was $44K"). Major trust-builder and retention driver.</w:t>
            </w:r>
          </w:p>
        </w:tc>
        <w:tc>
          <w:tcPr>
            <w:tcW w:type="dxa" w:w="1700"/>
            <w:tcMar>
              <w:top w:type="dxa" w:w="80"/>
              <w:left w:type="dxa" w:w="100"/>
              <w:bottom w:type="dxa" w:w="80"/>
              <w:right w:type="dxa" w:w="100"/>
            </w:tcMar>
            <w:vAlign w:val="center"/>
          </w:tcPr>
          <w:p>
            <w:pPr>
              <w:jc w:val="left"/>
            </w:pPr>
            <w:r>
              <w:rPr>
                <w:b w:val="false"/>
                <w:bCs w:val="false"/>
              </w:rPr>
              <w:t xml:space="preserve">A database (not in V1)</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4</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Per-SKU forecasting</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Extend the existing XGBoost + SHAP pipeline to run per product instead of store-wide. High value for sellers with larger catalogs.</w:t>
            </w:r>
          </w:p>
        </w:tc>
        <w:tc>
          <w:tcPr>
            <w:tcW w:type="dxa" w:w="1700"/>
            <w:shd w:fill="F5F5F5" w:val="clear"/>
            <w:tcMar>
              <w:top w:type="dxa" w:w="80"/>
              <w:left w:type="dxa" w:w="100"/>
              <w:bottom w:type="dxa" w:w="80"/>
              <w:right w:type="dxa" w:w="100"/>
            </w:tcMar>
            <w:vAlign w:val="center"/>
          </w:tcPr>
          <w:p>
            <w:pPr>
              <w:jc w:val="left"/>
            </w:pPr>
            <w:r>
              <w:rPr>
                <w:b w:val="false"/>
                <w:bCs w:val="false"/>
              </w:rPr>
              <w:t xml:space="preserve">V1 model pipeline</w:t>
            </w:r>
          </w:p>
        </w:tc>
      </w:tr>
      <w:tr>
        <w:tc>
          <w:tcPr>
            <w:tcW w:type="dxa" w:w="700"/>
            <w:tcMar>
              <w:top w:type="dxa" w:w="80"/>
              <w:left w:type="dxa" w:w="100"/>
              <w:bottom w:type="dxa" w:w="80"/>
              <w:right w:type="dxa" w:w="100"/>
            </w:tcMar>
            <w:vAlign w:val="center"/>
          </w:tcPr>
          <w:p>
            <w:pPr>
              <w:jc w:val="left"/>
            </w:pPr>
            <w:r>
              <w:rPr>
                <w:b w:val="false"/>
                <w:bCs w:val="false"/>
              </w:rPr>
              <w:t xml:space="preserve">5</w:t>
            </w:r>
          </w:p>
        </w:tc>
        <w:tc>
          <w:tcPr>
            <w:tcW w:type="dxa" w:w="2600"/>
            <w:tcMar>
              <w:top w:type="dxa" w:w="80"/>
              <w:left w:type="dxa" w:w="100"/>
              <w:bottom w:type="dxa" w:w="80"/>
              <w:right w:type="dxa" w:w="100"/>
            </w:tcMar>
            <w:vAlign w:val="center"/>
          </w:tcPr>
          <w:p>
            <w:pPr>
              <w:jc w:val="left"/>
            </w:pPr>
            <w:r>
              <w:rPr>
                <w:b w:val="false"/>
                <w:bCs w:val="false"/>
              </w:rPr>
              <w:t xml:space="preserve">LSTM / ensemble modeling</w:t>
            </w:r>
          </w:p>
        </w:tc>
        <w:tc>
          <w:tcPr>
            <w:tcW w:type="dxa" w:w="4600"/>
            <w:tcMar>
              <w:top w:type="dxa" w:w="80"/>
              <w:left w:type="dxa" w:w="100"/>
              <w:bottom w:type="dxa" w:w="80"/>
              <w:right w:type="dxa" w:w="100"/>
            </w:tcMar>
            <w:vAlign w:val="center"/>
          </w:tcPr>
          <w:p>
            <w:pPr>
              <w:jc w:val="left"/>
            </w:pPr>
            <w:r>
              <w:rPr>
                <w:b w:val="false"/>
                <w:bCs w:val="false"/>
              </w:rPr>
              <w:t xml:space="preserve">Longer-horizon (60–90 day) forecasting once usage data shows sellers have enough history and are asking for it.</w:t>
            </w:r>
          </w:p>
        </w:tc>
        <w:tc>
          <w:tcPr>
            <w:tcW w:type="dxa" w:w="1700"/>
            <w:tcMar>
              <w:top w:type="dxa" w:w="80"/>
              <w:left w:type="dxa" w:w="100"/>
              <w:bottom w:type="dxa" w:w="80"/>
              <w:right w:type="dxa" w:w="100"/>
            </w:tcMar>
            <w:vAlign w:val="center"/>
          </w:tcPr>
          <w:p>
            <w:pPr>
              <w:jc w:val="left"/>
            </w:pPr>
            <w:r>
              <w:rPr>
                <w:b w:val="false"/>
                <w:bCs w:val="false"/>
              </w:rPr>
              <w:t xml:space="preserve">Real usage data</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6</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Inventory reorder recommendations</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Turn the forecast into a concrete action ("reorder 120 units of SKU X by [date]"). Builds on per-SKU forecasting and accuracy tracking.</w:t>
            </w:r>
          </w:p>
        </w:tc>
        <w:tc>
          <w:tcPr>
            <w:tcW w:type="dxa" w:w="1700"/>
            <w:shd w:fill="F5F5F5" w:val="clear"/>
            <w:tcMar>
              <w:top w:type="dxa" w:w="80"/>
              <w:left w:type="dxa" w:w="100"/>
              <w:bottom w:type="dxa" w:w="80"/>
              <w:right w:type="dxa" w:w="100"/>
            </w:tcMar>
            <w:vAlign w:val="center"/>
          </w:tcPr>
          <w:p>
            <w:pPr>
              <w:jc w:val="left"/>
            </w:pPr>
            <w:r>
              <w:rPr>
                <w:b w:val="false"/>
                <w:bCs w:val="false"/>
              </w:rPr>
              <w:t xml:space="preserve">Phases 3 &amp; 4</w:t>
            </w:r>
          </w:p>
        </w:tc>
      </w:tr>
      <w:tr>
        <w:tc>
          <w:tcPr>
            <w:tcW w:type="dxa" w:w="700"/>
            <w:tcMar>
              <w:top w:type="dxa" w:w="80"/>
              <w:left w:type="dxa" w:w="100"/>
              <w:bottom w:type="dxa" w:w="80"/>
              <w:right w:type="dxa" w:w="100"/>
            </w:tcMar>
            <w:vAlign w:val="center"/>
          </w:tcPr>
          <w:p>
            <w:pPr>
              <w:jc w:val="left"/>
            </w:pPr>
            <w:r>
              <w:rPr>
                <w:b w:val="false"/>
                <w:bCs w:val="false"/>
              </w:rPr>
              <w:t xml:space="preserve">7</w:t>
            </w:r>
          </w:p>
        </w:tc>
        <w:tc>
          <w:tcPr>
            <w:tcW w:type="dxa" w:w="2600"/>
            <w:tcMar>
              <w:top w:type="dxa" w:w="80"/>
              <w:left w:type="dxa" w:w="100"/>
              <w:bottom w:type="dxa" w:w="80"/>
              <w:right w:type="dxa" w:w="100"/>
            </w:tcMar>
            <w:vAlign w:val="center"/>
          </w:tcPr>
          <w:p>
            <w:pPr>
              <w:jc w:val="left"/>
            </w:pPr>
            <w:r>
              <w:rPr>
                <w:b w:val="false"/>
                <w:bCs w:val="false"/>
              </w:rPr>
              <w:t xml:space="preserve">Multi-store support</w:t>
            </w:r>
          </w:p>
        </w:tc>
        <w:tc>
          <w:tcPr>
            <w:tcW w:type="dxa" w:w="4600"/>
            <w:tcMar>
              <w:top w:type="dxa" w:w="80"/>
              <w:left w:type="dxa" w:w="100"/>
              <w:bottom w:type="dxa" w:w="80"/>
              <w:right w:type="dxa" w:w="100"/>
            </w:tcMar>
            <w:vAlign w:val="center"/>
          </w:tcPr>
          <w:p>
            <w:pPr>
              <w:jc w:val="left"/>
            </w:pPr>
            <w:r>
              <w:rPr>
                <w:b w:val="false"/>
                <w:bCs w:val="false"/>
              </w:rPr>
              <w:t xml:space="preserve">Support sellers or agencies managing more than one storefront.</w:t>
            </w:r>
          </w:p>
        </w:tc>
        <w:tc>
          <w:tcPr>
            <w:tcW w:type="dxa" w:w="1700"/>
            <w:tcMar>
              <w:top w:type="dxa" w:w="80"/>
              <w:left w:type="dxa" w:w="100"/>
              <w:bottom w:type="dxa" w:w="80"/>
              <w:right w:type="dxa" w:w="100"/>
            </w:tcMar>
            <w:vAlign w:val="center"/>
          </w:tcPr>
          <w:p>
            <w:pPr>
              <w:jc w:val="left"/>
            </w:pPr>
            <w:r>
              <w:rPr>
                <w:b w:val="false"/>
                <w:bCs w:val="false"/>
              </w:rPr>
              <w:t xml:space="preserve">Phase 2 OAuth</w:t>
            </w:r>
          </w:p>
        </w:tc>
      </w:tr>
      <w:tr>
        <w:tc>
          <w:tcPr>
            <w:tcW w:type="dxa" w:w="700"/>
            <w:shd w:fill="F5F5F5" w:val="clear"/>
            <w:tcMar>
              <w:top w:type="dxa" w:w="80"/>
              <w:left w:type="dxa" w:w="100"/>
              <w:bottom w:type="dxa" w:w="80"/>
              <w:right w:type="dxa" w:w="100"/>
            </w:tcMar>
            <w:vAlign w:val="center"/>
          </w:tcPr>
          <w:p>
            <w:pPr>
              <w:jc w:val="left"/>
            </w:pPr>
            <w:r>
              <w:rPr>
                <w:b w:val="false"/>
                <w:bCs w:val="false"/>
              </w:rPr>
              <w:t xml:space="preserve">8</w:t>
            </w:r>
          </w:p>
        </w:tc>
        <w:tc>
          <w:tcPr>
            <w:tcW w:type="dxa" w:w="2600"/>
            <w:shd w:fill="F5F5F5" w:val="clear"/>
            <w:tcMar>
              <w:top w:type="dxa" w:w="80"/>
              <w:left w:type="dxa" w:w="100"/>
              <w:bottom w:type="dxa" w:w="80"/>
              <w:right w:type="dxa" w:w="100"/>
            </w:tcMar>
            <w:vAlign w:val="center"/>
          </w:tcPr>
          <w:p>
            <w:pPr>
              <w:jc w:val="left"/>
            </w:pPr>
            <w:r>
              <w:rPr>
                <w:b w:val="false"/>
                <w:bCs w:val="false"/>
              </w:rPr>
              <w:t xml:space="preserve">Ad-spend suggestions</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Integrate an ads platform API (Meta/Google Ads) to suggest spend changes. Furthest out, biggest scope increase.</w:t>
            </w:r>
          </w:p>
        </w:tc>
        <w:tc>
          <w:tcPr>
            <w:tcW w:type="dxa" w:w="1700"/>
            <w:shd w:fill="F5F5F5" w:val="clear"/>
            <w:tcMar>
              <w:top w:type="dxa" w:w="80"/>
              <w:left w:type="dxa" w:w="100"/>
              <w:bottom w:type="dxa" w:w="80"/>
              <w:right w:type="dxa" w:w="100"/>
            </w:tcMar>
            <w:vAlign w:val="center"/>
          </w:tcPr>
          <w:p>
            <w:pPr>
              <w:jc w:val="left"/>
            </w:pPr>
            <w:r>
              <w:rPr>
                <w:b w:val="false"/>
                <w:bCs w:val="false"/>
              </w:rPr>
              <w:t xml:space="preserve">Phases 2, 6</w:t>
            </w:r>
          </w:p>
        </w:tc>
      </w:tr>
    </w:tbl>
    <w:p>
      <w:pPr>
        <w:spacing w:after="160"/>
      </w:pPr>
      <w:r>
        <w:rPr>
          <w:i/>
          <w:iCs/>
        </w:rPr>
        <w:t xml:space="preserve">Each roadmap item should get its own short design note when it is actually prioritized; this table exists so current build decisions don't accidentally close off later phases.</w:t>
      </w:r>
    </w:p>
    <w:p>
      <w:pPr>
        <w:pStyle w:val="Heading1"/>
        <w:spacing w:after="200" w:before="400"/>
      </w:pPr>
      <w:r>
        <w:t xml:space="preserve">10. 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2937" w:val="clear"/>
            <w:tcMar>
              <w:top w:type="dxa" w:w="80"/>
              <w:left w:type="dxa" w:w="100"/>
              <w:bottom w:type="dxa" w:w="80"/>
              <w:right w:type="dxa" w:w="100"/>
            </w:tcMar>
            <w:vAlign w:val="center"/>
          </w:tcPr>
          <w:p>
            <w:pPr>
              <w:jc w:val="left"/>
            </w:pPr>
            <w:r>
              <w:rPr>
                <w:b/>
                <w:bCs/>
                <w:color w:val="FFFFFF"/>
              </w:rPr>
              <w:t xml:space="preserve">Category</w:t>
            </w:r>
          </w:p>
        </w:tc>
        <w:tc>
          <w:tcPr>
            <w:tcW w:type="dxa" w:w="6900"/>
            <w:shd w:fill="1F2937" w:val="clear"/>
            <w:tcMar>
              <w:top w:type="dxa" w:w="80"/>
              <w:left w:type="dxa" w:w="100"/>
              <w:bottom w:type="dxa" w:w="80"/>
              <w:right w:type="dxa" w:w="100"/>
            </w:tcMar>
            <w:vAlign w:val="center"/>
          </w:tcPr>
          <w:p>
            <w:pPr>
              <w:jc w:val="left"/>
            </w:pPr>
            <w:r>
              <w:rPr>
                <w:b/>
                <w:bCs/>
                <w:color w:val="FFFFFF"/>
              </w:rPr>
              <w:t xml:space="preserve">Requirement</w:t>
            </w:r>
          </w:p>
        </w:tc>
      </w:tr>
      <w:tr>
        <w:tc>
          <w:tcPr>
            <w:tcW w:type="dxa" w:w="2200"/>
            <w:tcMar>
              <w:top w:type="dxa" w:w="80"/>
              <w:left w:type="dxa" w:w="100"/>
              <w:bottom w:type="dxa" w:w="80"/>
              <w:right w:type="dxa" w:w="100"/>
            </w:tcMar>
            <w:vAlign w:val="center"/>
          </w:tcPr>
          <w:p>
            <w:pPr>
              <w:jc w:val="left"/>
            </w:pPr>
            <w:r>
              <w:rPr>
                <w:b w:val="false"/>
                <w:bCs w:val="false"/>
              </w:rPr>
              <w:t xml:space="preserve">Performance</w:t>
            </w:r>
          </w:p>
        </w:tc>
        <w:tc>
          <w:tcPr>
            <w:tcW w:type="dxa" w:w="6900"/>
            <w:tcMar>
              <w:top w:type="dxa" w:w="80"/>
              <w:left w:type="dxa" w:w="100"/>
              <w:bottom w:type="dxa" w:w="80"/>
              <w:right w:type="dxa" w:w="100"/>
            </w:tcMar>
            <w:vAlign w:val="center"/>
          </w:tcPr>
          <w:p>
            <w:pPr>
              <w:jc w:val="left"/>
            </w:pPr>
            <w:r>
              <w:rPr>
                <w:b w:val="false"/>
                <w:bCs w:val="false"/>
              </w:rPr>
              <w:t xml:space="preserve">Forecast generation (validation + model training + SHAP explanation) should complete within seconds of upload for a typical CSV. Per-request XGBoost training stacked with Cloud Run cold starts is a known latency risk (see Section 11) and needs real-world testing with realistic file sizes before launch.</w:t>
            </w:r>
          </w:p>
        </w:tc>
      </w:tr>
      <w:tr>
        <w:tc>
          <w:tcPr>
            <w:tcW w:type="dxa" w:w="2200"/>
            <w:shd w:fill="F5F5F5" w:val="clear"/>
            <w:tcMar>
              <w:top w:type="dxa" w:w="80"/>
              <w:left w:type="dxa" w:w="100"/>
              <w:bottom w:type="dxa" w:w="80"/>
              <w:right w:type="dxa" w:w="100"/>
            </w:tcMar>
            <w:vAlign w:val="center"/>
          </w:tcPr>
          <w:p>
            <w:pPr>
              <w:jc w:val="left"/>
            </w:pPr>
            <w:r>
              <w:rPr>
                <w:b w:val="false"/>
                <w:bCs w:val="false"/>
              </w:rPr>
              <w:t xml:space="preserve">Scalability</w:t>
            </w:r>
          </w:p>
        </w:tc>
        <w:tc>
          <w:tcPr>
            <w:tcW w:type="dxa" w:w="6900"/>
            <w:shd w:fill="F5F5F5" w:val="clear"/>
            <w:tcMar>
              <w:top w:type="dxa" w:w="80"/>
              <w:left w:type="dxa" w:w="100"/>
              <w:bottom w:type="dxa" w:w="80"/>
              <w:right w:type="dxa" w:w="100"/>
            </w:tcMar>
            <w:vAlign w:val="center"/>
          </w:tcPr>
          <w:p>
            <w:pPr>
              <w:jc w:val="left"/>
            </w:pPr>
            <w:r>
              <w:rPr>
                <w:b w:val="false"/>
                <w:bCs w:val="false"/>
              </w:rPr>
              <w:t xml:space="preserve">Backend is stateless — each forecast is computed fresh per upload with nothing persisted — so it scales horizontally on Cloud Run's scale-to-zero model without session affinity concerns.</w:t>
            </w:r>
          </w:p>
        </w:tc>
      </w:tr>
      <w:tr>
        <w:tc>
          <w:tcPr>
            <w:tcW w:type="dxa" w:w="2200"/>
            <w:tcMar>
              <w:top w:type="dxa" w:w="80"/>
              <w:left w:type="dxa" w:w="100"/>
              <w:bottom w:type="dxa" w:w="80"/>
              <w:right w:type="dxa" w:w="100"/>
            </w:tcMar>
            <w:vAlign w:val="center"/>
          </w:tcPr>
          <w:p>
            <w:pPr>
              <w:jc w:val="left"/>
            </w:pPr>
            <w:r>
              <w:rPr>
                <w:b w:val="false"/>
                <w:bCs w:val="false"/>
              </w:rPr>
              <w:t xml:space="preserve">Availability</w:t>
            </w:r>
          </w:p>
        </w:tc>
        <w:tc>
          <w:tcPr>
            <w:tcW w:type="dxa" w:w="6900"/>
            <w:tcMar>
              <w:top w:type="dxa" w:w="80"/>
              <w:left w:type="dxa" w:w="100"/>
              <w:bottom w:type="dxa" w:w="80"/>
              <w:right w:type="dxa" w:w="100"/>
            </w:tcMar>
            <w:vAlign w:val="center"/>
          </w:tcPr>
          <w:p>
            <w:pPr>
              <w:jc w:val="left"/>
            </w:pPr>
            <w:r>
              <w:rPr>
                <w:b w:val="false"/>
                <w:bCs w:val="false"/>
              </w:rPr>
              <w:t xml:space="preserve">No formal SLA for V1 (free tool, pre-revenue); Cloud Run's managed infrastructure provides baseline reliability. Should be revisited once a paid tier exists.</w:t>
            </w:r>
          </w:p>
        </w:tc>
      </w:tr>
      <w:tr>
        <w:tc>
          <w:tcPr>
            <w:tcW w:type="dxa" w:w="2200"/>
            <w:shd w:fill="F5F5F5" w:val="clear"/>
            <w:tcMar>
              <w:top w:type="dxa" w:w="80"/>
              <w:left w:type="dxa" w:w="100"/>
              <w:bottom w:type="dxa" w:w="80"/>
              <w:right w:type="dxa" w:w="100"/>
            </w:tcMar>
            <w:vAlign w:val="center"/>
          </w:tcPr>
          <w:p>
            <w:pPr>
              <w:jc w:val="left"/>
            </w:pPr>
            <w:r>
              <w:rPr>
                <w:b w:val="false"/>
                <w:bCs w:val="false"/>
              </w:rPr>
              <w:t xml:space="preserve">Security &amp; privacy</w:t>
            </w:r>
          </w:p>
        </w:tc>
        <w:tc>
          <w:tcPr>
            <w:tcW w:type="dxa" w:w="6900"/>
            <w:shd w:fill="F5F5F5" w:val="clear"/>
            <w:tcMar>
              <w:top w:type="dxa" w:w="80"/>
              <w:left w:type="dxa" w:w="100"/>
              <w:bottom w:type="dxa" w:w="80"/>
              <w:right w:type="dxa" w:w="100"/>
            </w:tcMar>
            <w:vAlign w:val="center"/>
          </w:tcPr>
          <w:p>
            <w:pPr>
              <w:jc w:val="left"/>
            </w:pPr>
            <w:r>
              <w:rPr>
                <w:b w:val="false"/>
                <w:bCs w:val="false"/>
              </w:rPr>
              <w:t xml:space="preserve">V1 stores no user data persistently — each forecast is computed per session from the uploaded file only. A real Privacy Policy (not a placeholder) is required before public launch given the tool accepts real sales data uploads.</w:t>
            </w:r>
          </w:p>
        </w:tc>
      </w:tr>
      <w:tr>
        <w:tc>
          <w:tcPr>
            <w:tcW w:type="dxa" w:w="2200"/>
            <w:tcMar>
              <w:top w:type="dxa" w:w="80"/>
              <w:left w:type="dxa" w:w="100"/>
              <w:bottom w:type="dxa" w:w="80"/>
              <w:right w:type="dxa" w:w="100"/>
            </w:tcMar>
            <w:vAlign w:val="center"/>
          </w:tcPr>
          <w:p>
            <w:pPr>
              <w:jc w:val="left"/>
            </w:pPr>
            <w:r>
              <w:rPr>
                <w:b w:val="false"/>
                <w:bCs w:val="false"/>
              </w:rPr>
              <w:t xml:space="preserve">Abuse / cost protection</w:t>
            </w:r>
          </w:p>
        </w:tc>
        <w:tc>
          <w:tcPr>
            <w:tcW w:type="dxa" w:w="6900"/>
            <w:tcMar>
              <w:top w:type="dxa" w:w="80"/>
              <w:left w:type="dxa" w:w="100"/>
              <w:bottom w:type="dxa" w:w="80"/>
              <w:right w:type="dxa" w:w="100"/>
            </w:tcMar>
            <w:vAlign w:val="center"/>
          </w:tcPr>
          <w:p>
            <w:pPr>
              <w:jc w:val="left"/>
            </w:pPr>
            <w:r>
              <w:rPr>
                <w:b w:val="false"/>
                <w:bCs w:val="false"/>
              </w:rPr>
              <w:t xml:space="preserve">The endpoint is public, free, and compute-heavy (model training per request), making it a natural target for scraping or abuse that directly costs money on Cloud Run. Rate limiting is a launch blocker, not a nice-to-have.</w:t>
            </w:r>
          </w:p>
        </w:tc>
      </w:tr>
      <w:tr>
        <w:tc>
          <w:tcPr>
            <w:tcW w:type="dxa" w:w="2200"/>
            <w:shd w:fill="F5F5F5" w:val="clear"/>
            <w:tcMar>
              <w:top w:type="dxa" w:w="80"/>
              <w:left w:type="dxa" w:w="100"/>
              <w:bottom w:type="dxa" w:w="80"/>
              <w:right w:type="dxa" w:w="100"/>
            </w:tcMar>
            <w:vAlign w:val="center"/>
          </w:tcPr>
          <w:p>
            <w:pPr>
              <w:jc w:val="left"/>
            </w:pPr>
            <w:r>
              <w:rPr>
                <w:b w:val="false"/>
                <w:bCs w:val="false"/>
              </w:rPr>
              <w:t xml:space="preserve">Data limits</w:t>
            </w:r>
          </w:p>
        </w:tc>
        <w:tc>
          <w:tcPr>
            <w:tcW w:type="dxa" w:w="6900"/>
            <w:shd w:fill="F5F5F5" w:val="clear"/>
            <w:tcMar>
              <w:top w:type="dxa" w:w="80"/>
              <w:left w:type="dxa" w:w="100"/>
              <w:bottom w:type="dxa" w:w="80"/>
              <w:right w:type="dxa" w:w="100"/>
            </w:tcMar>
            <w:vAlign w:val="center"/>
          </w:tcPr>
          <w:p>
            <w:pPr>
              <w:jc w:val="left"/>
            </w:pPr>
            <w:r>
              <w:rPr>
                <w:b w:val="false"/>
                <w:bCs w:val="false"/>
              </w:rPr>
              <w:t xml:space="preserve">Max upload size of 5 MB, enforced server-side with a clear 413 error on rejection.</w:t>
            </w:r>
          </w:p>
        </w:tc>
      </w:tr>
      <w:tr>
        <w:tc>
          <w:tcPr>
            <w:tcW w:type="dxa" w:w="2200"/>
            <w:tcMar>
              <w:top w:type="dxa" w:w="80"/>
              <w:left w:type="dxa" w:w="100"/>
              <w:bottom w:type="dxa" w:w="80"/>
              <w:right w:type="dxa" w:w="100"/>
            </w:tcMar>
            <w:vAlign w:val="center"/>
          </w:tcPr>
          <w:p>
            <w:pPr>
              <w:jc w:val="left"/>
            </w:pPr>
            <w:r>
              <w:rPr>
                <w:b w:val="false"/>
                <w:bCs w:val="false"/>
              </w:rPr>
              <w:t xml:space="preserve">Compatibility</w:t>
            </w:r>
          </w:p>
        </w:tc>
        <w:tc>
          <w:tcPr>
            <w:tcW w:type="dxa" w:w="6900"/>
            <w:tcMar>
              <w:top w:type="dxa" w:w="80"/>
              <w:left w:type="dxa" w:w="100"/>
              <w:bottom w:type="dxa" w:w="80"/>
              <w:right w:type="dxa" w:w="100"/>
            </w:tcMar>
            <w:vAlign w:val="center"/>
          </w:tcPr>
          <w:p>
            <w:pPr>
              <w:jc w:val="left"/>
            </w:pPr>
            <w:r>
              <w:rPr>
                <w:b w:val="false"/>
                <w:bCs w:val="false"/>
              </w:rPr>
              <w:t xml:space="preserve">Fully responsive on both desktop and mobile browsers; no native app required.</w:t>
            </w:r>
          </w:p>
        </w:tc>
      </w:tr>
      <w:tr>
        <w:tc>
          <w:tcPr>
            <w:tcW w:type="dxa" w:w="2200"/>
            <w:shd w:fill="F5F5F5" w:val="clear"/>
            <w:tcMar>
              <w:top w:type="dxa" w:w="80"/>
              <w:left w:type="dxa" w:w="100"/>
              <w:bottom w:type="dxa" w:w="80"/>
              <w:right w:type="dxa" w:w="100"/>
            </w:tcMar>
            <w:vAlign w:val="center"/>
          </w:tcPr>
          <w:p>
            <w:pPr>
              <w:jc w:val="left"/>
            </w:pPr>
            <w:r>
              <w:rPr>
                <w:b w:val="false"/>
                <w:bCs w:val="false"/>
              </w:rPr>
              <w:t xml:space="preserve">Accuracy honesty</w:t>
            </w:r>
          </w:p>
        </w:tc>
        <w:tc>
          <w:tcPr>
            <w:tcW w:type="dxa" w:w="6900"/>
            <w:shd w:fill="F5F5F5" w:val="clear"/>
            <w:tcMar>
              <w:top w:type="dxa" w:w="80"/>
              <w:left w:type="dxa" w:w="100"/>
              <w:bottom w:type="dxa" w:w="80"/>
              <w:right w:type="dxa" w:w="100"/>
            </w:tcMar>
            <w:vAlign w:val="center"/>
          </w:tcPr>
          <w:p>
            <w:pPr>
              <w:jc w:val="left"/>
            </w:pPr>
            <w:r>
              <w:rPr>
                <w:b w:val="false"/>
                <w:bCs w:val="false"/>
              </w:rPr>
              <w:t xml:space="preserve">No specific accuracy percentage or benchmark claims are shown in-product or in marketing copy unless backed by real, measured data — avoids overpromising on an unproven model.</w:t>
            </w:r>
          </w:p>
        </w:tc>
      </w:tr>
    </w:tbl>
    <w:p>
      <w:pPr>
        <w:pStyle w:val="Heading1"/>
        <w:spacing w:after="200" w:before="400"/>
      </w:pPr>
      <w:r>
        <w:t xml:space="preserve">11. Technical Architecture (Summary)</w:t>
      </w:r>
    </w:p>
    <w:p>
      <w:pPr>
        <w:pStyle w:val="Heading2"/>
        <w:spacing w:after="150" w:before="300"/>
      </w:pPr>
      <w:r>
        <w:t xml:space="preserve">11.1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2937" w:val="clear"/>
            <w:tcMar>
              <w:top w:type="dxa" w:w="80"/>
              <w:left w:type="dxa" w:w="100"/>
              <w:bottom w:type="dxa" w:w="80"/>
              <w:right w:type="dxa" w:w="100"/>
            </w:tcMar>
            <w:vAlign w:val="center"/>
          </w:tcPr>
          <w:p>
            <w:pPr>
              <w:jc w:val="left"/>
            </w:pPr>
            <w:r>
              <w:rPr>
                <w:b/>
                <w:bCs/>
                <w:color w:val="FFFFFF"/>
              </w:rPr>
              <w:t xml:space="preserve">Layer</w:t>
            </w:r>
          </w:p>
        </w:tc>
        <w:tc>
          <w:tcPr>
            <w:tcW w:type="dxa" w:w="6900"/>
            <w:shd w:fill="1F2937" w:val="clear"/>
            <w:tcMar>
              <w:top w:type="dxa" w:w="80"/>
              <w:left w:type="dxa" w:w="100"/>
              <w:bottom w:type="dxa" w:w="80"/>
              <w:right w:type="dxa" w:w="100"/>
            </w:tcMar>
            <w:vAlign w:val="center"/>
          </w:tcPr>
          <w:p>
            <w:pPr>
              <w:jc w:val="left"/>
            </w:pPr>
            <w:r>
              <w:rPr>
                <w:b/>
                <w:bCs/>
                <w:color w:val="FFFFFF"/>
              </w:rPr>
              <w:t xml:space="preserve">Choice &amp; rationale</w:t>
            </w:r>
          </w:p>
        </w:tc>
      </w:tr>
      <w:tr>
        <w:tc>
          <w:tcPr>
            <w:tcW w:type="dxa" w:w="2200"/>
            <w:tcMar>
              <w:top w:type="dxa" w:w="80"/>
              <w:left w:type="dxa" w:w="100"/>
              <w:bottom w:type="dxa" w:w="80"/>
              <w:right w:type="dxa" w:w="100"/>
            </w:tcMar>
            <w:vAlign w:val="center"/>
          </w:tcPr>
          <w:p>
            <w:pPr>
              <w:jc w:val="left"/>
            </w:pPr>
            <w:r>
              <w:rPr>
                <w:b w:val="false"/>
                <w:bCs w:val="false"/>
              </w:rPr>
              <w:t xml:space="preserve">Frontend</w:t>
            </w:r>
          </w:p>
        </w:tc>
        <w:tc>
          <w:tcPr>
            <w:tcW w:type="dxa" w:w="6900"/>
            <w:tcMar>
              <w:top w:type="dxa" w:w="80"/>
              <w:left w:type="dxa" w:w="100"/>
              <w:bottom w:type="dxa" w:w="80"/>
              <w:right w:type="dxa" w:w="100"/>
            </w:tcMar>
            <w:vAlign w:val="center"/>
          </w:tcPr>
          <w:p>
            <w:pPr>
              <w:jc w:val="left"/>
            </w:pPr>
            <w:r>
              <w:rPr>
                <w:b w:val="false"/>
                <w:bCs w:val="false"/>
              </w:rPr>
              <w:t xml:space="preserve">AstroJS for both the SEO marketing pages and the lightweight /app dashboard; deployed to Cloudflare Pages (free tier).</w:t>
            </w:r>
          </w:p>
        </w:tc>
      </w:tr>
      <w:tr>
        <w:tc>
          <w:tcPr>
            <w:tcW w:type="dxa" w:w="2200"/>
            <w:shd w:fill="F5F5F5" w:val="clear"/>
            <w:tcMar>
              <w:top w:type="dxa" w:w="80"/>
              <w:left w:type="dxa" w:w="100"/>
              <w:bottom w:type="dxa" w:w="80"/>
              <w:right w:type="dxa" w:w="100"/>
            </w:tcMar>
            <w:vAlign w:val="center"/>
          </w:tcPr>
          <w:p>
            <w:pPr>
              <w:jc w:val="left"/>
            </w:pPr>
            <w:r>
              <w:rPr>
                <w:b w:val="false"/>
                <w:bCs w:val="false"/>
              </w:rPr>
              <w:t xml:space="preserve">Backend</w:t>
            </w:r>
          </w:p>
        </w:tc>
        <w:tc>
          <w:tcPr>
            <w:tcW w:type="dxa" w:w="6900"/>
            <w:shd w:fill="F5F5F5" w:val="clear"/>
            <w:tcMar>
              <w:top w:type="dxa" w:w="80"/>
              <w:left w:type="dxa" w:w="100"/>
              <w:bottom w:type="dxa" w:w="80"/>
              <w:right w:type="dxa" w:w="100"/>
            </w:tcMar>
            <w:vAlign w:val="center"/>
          </w:tcPr>
          <w:p>
            <w:pPr>
              <w:jc w:val="left"/>
            </w:pPr>
            <w:r>
              <w:rPr>
                <w:b w:val="false"/>
                <w:bCs w:val="false"/>
              </w:rPr>
              <w:t xml:space="preserve">FastAPI (Python) serving the forecast endpoint and CSV handling, containerized with Docker, deployed to Google Cloud Run. Scale-to-zero keeps pre-revenue cost near $0; the trained model is kept in a global variable per request to limit cold-start cost to the first request after idle.</w:t>
            </w:r>
          </w:p>
        </w:tc>
      </w:tr>
      <w:tr>
        <w:tc>
          <w:tcPr>
            <w:tcW w:type="dxa" w:w="2200"/>
            <w:tcMar>
              <w:top w:type="dxa" w:w="80"/>
              <w:left w:type="dxa" w:w="100"/>
              <w:bottom w:type="dxa" w:w="80"/>
              <w:right w:type="dxa" w:w="100"/>
            </w:tcMar>
            <w:vAlign w:val="center"/>
          </w:tcPr>
          <w:p>
            <w:pPr>
              <w:jc w:val="left"/>
            </w:pPr>
            <w:r>
              <w:rPr>
                <w:b w:val="false"/>
                <w:bCs w:val="false"/>
              </w:rPr>
              <w:t xml:space="preserve">Model layer</w:t>
            </w:r>
          </w:p>
        </w:tc>
        <w:tc>
          <w:tcPr>
            <w:tcW w:type="dxa" w:w="6900"/>
            <w:tcMar>
              <w:top w:type="dxa" w:w="80"/>
              <w:left w:type="dxa" w:w="100"/>
              <w:bottom w:type="dxa" w:w="80"/>
              <w:right w:type="dxa" w:w="100"/>
            </w:tcMar>
            <w:vAlign w:val="center"/>
          </w:tcPr>
          <w:p>
            <w:pPr>
              <w:jc w:val="left"/>
            </w:pPr>
            <w:r>
              <w:rPr>
                <w:b w:val="false"/>
                <w:bCs w:val="false"/>
              </w:rPr>
              <w:t xml:space="preserve">XGBoost for the 30-day forecast — chosen over LSTM/ensemble for V1 because target users typically have thin history (6–18 months) where XGBoost outperforms data-hungry deep models, and because SHAP's TreeExplainer is fast and exact on tree models (versus slow/approximate DeepExplainer on LSTMs). Explainability is the core differentiator, so the model choice must make that easy and fast to build within the 2-week window.</w:t>
            </w:r>
          </w:p>
        </w:tc>
      </w:tr>
      <w:tr>
        <w:tc>
          <w:tcPr>
            <w:tcW w:type="dxa" w:w="2200"/>
            <w:shd w:fill="F5F5F5" w:val="clear"/>
            <w:tcMar>
              <w:top w:type="dxa" w:w="80"/>
              <w:left w:type="dxa" w:w="100"/>
              <w:bottom w:type="dxa" w:w="80"/>
              <w:right w:type="dxa" w:w="100"/>
            </w:tcMar>
            <w:vAlign w:val="center"/>
          </w:tcPr>
          <w:p>
            <w:pPr>
              <w:jc w:val="left"/>
            </w:pPr>
            <w:r>
              <w:rPr>
                <w:b w:val="false"/>
                <w:bCs w:val="false"/>
              </w:rPr>
              <w:t xml:space="preserve">Explainability</w:t>
            </w:r>
          </w:p>
        </w:tc>
        <w:tc>
          <w:tcPr>
            <w:tcW w:type="dxa" w:w="6900"/>
            <w:shd w:fill="F5F5F5" w:val="clear"/>
            <w:tcMar>
              <w:top w:type="dxa" w:w="80"/>
              <w:left w:type="dxa" w:w="100"/>
              <w:bottom w:type="dxa" w:w="80"/>
              <w:right w:type="dxa" w:w="100"/>
            </w:tcMar>
            <w:vAlign w:val="center"/>
          </w:tcPr>
          <w:p>
            <w:pPr>
              <w:jc w:val="left"/>
            </w:pPr>
            <w:r>
              <w:rPr>
                <w:b w:val="false"/>
                <w:bCs w:val="false"/>
              </w:rPr>
              <w:t xml:space="preserve">SHAP generates per-forecast feature attributions, translated into plain-English "why" statements via templating (not full LLM generation, for predictable cost and output in V1).</w:t>
            </w:r>
          </w:p>
        </w:tc>
      </w:tr>
      <w:tr>
        <w:tc>
          <w:tcPr>
            <w:tcW w:type="dxa" w:w="2200"/>
            <w:tcMar>
              <w:top w:type="dxa" w:w="80"/>
              <w:left w:type="dxa" w:w="100"/>
              <w:bottom w:type="dxa" w:w="80"/>
              <w:right w:type="dxa" w:w="100"/>
            </w:tcMar>
            <w:vAlign w:val="center"/>
          </w:tcPr>
          <w:p>
            <w:pPr>
              <w:jc w:val="left"/>
            </w:pPr>
            <w:r>
              <w:rPr>
                <w:b w:val="false"/>
                <w:bCs w:val="false"/>
              </w:rPr>
              <w:t xml:space="preserve">Data</w:t>
            </w:r>
          </w:p>
        </w:tc>
        <w:tc>
          <w:tcPr>
            <w:tcW w:type="dxa" w:w="6900"/>
            <w:tcMar>
              <w:top w:type="dxa" w:w="80"/>
              <w:left w:type="dxa" w:w="100"/>
              <w:bottom w:type="dxa" w:w="80"/>
              <w:right w:type="dxa" w:w="100"/>
            </w:tcMar>
            <w:vAlign w:val="center"/>
          </w:tcPr>
          <w:p>
            <w:pPr>
              <w:jc w:val="left"/>
            </w:pPr>
            <w:r>
              <w:rPr>
                <w:b w:val="false"/>
                <w:bCs w:val="false"/>
              </w:rPr>
              <w:t xml:space="preserve">CSV upload only for V1 — sidesteps the Shopify app review process (which can take weeks) so the MVP can ship in two weeks. No persistent database in V1; forecasts run per-session on the uploaded file only.</w:t>
            </w:r>
          </w:p>
        </w:tc>
      </w:tr>
    </w:tbl>
    <w:p>
      <w:pPr>
        <w:pStyle w:val="Heading2"/>
        <w:spacing w:after="150" w:before="300"/>
      </w:pPr>
      <w:r>
        <w:t xml:space="preserve">11.2 Request Flow (V1, Stateless)</w:t>
      </w:r>
    </w:p>
    <w:p>
      <w:pPr>
        <w:spacing w:after="160"/>
      </w:pPr>
      <w:r>
        <w:t xml:space="preserve">Browser → Astro app (Cloudflare Pages) → POST /forecast (multipart CSV) → FastAPI backend (Cloud Run): validate CSV → feature engineering → train/run XGBoost → run SHAP TreeExplainer → translate to "why" bullets → return JSON ({ forecast, explanation }) → Astro renders the forecast chart and "why" panel.</w:t>
      </w:r>
    </w:p>
    <w:p>
      <w:pPr>
        <w:pStyle w:val="Heading2"/>
        <w:spacing w:after="150" w:before="300"/>
      </w:pPr>
      <w:r>
        <w:t xml:space="preserve">11.3 Key Architectural Decisions</w:t>
      </w:r>
    </w:p>
    <w:p>
      <w:pPr>
        <w:pStyle w:val="ListParagraph"/>
        <w:numPr>
          <w:ilvl w:val="0"/>
          <w:numId w:val="2"/>
        </w:numPr>
        <w:spacing w:after="80"/>
      </w:pPr>
      <w:r>
        <w:t xml:space="preserve">No database in V1 — keeps the backend stateless and sidesteps user-data storage/privacy questions until they need to be handled properly.</w:t>
      </w:r>
    </w:p>
    <w:p>
      <w:pPr>
        <w:pStyle w:val="ListParagraph"/>
        <w:numPr>
          <w:ilvl w:val="0"/>
          <w:numId w:val="2"/>
        </w:numPr>
        <w:spacing w:after="80"/>
      </w:pPr>
      <w:r>
        <w:t xml:space="preserve">Model is trained per-request, not pre-trained globally, since each seller's data is different; this personalizes forecasts but means request latency includes training time (see Section 10, Performance).</w:t>
      </w:r>
    </w:p>
    <w:p>
      <w:pPr>
        <w:pStyle w:val="ListParagraph"/>
        <w:numPr>
          <w:ilvl w:val="0"/>
          <w:numId w:val="2"/>
        </w:numPr>
        <w:spacing w:after="80"/>
      </w:pPr>
      <w:r>
        <w:t xml:space="preserve">Frontend and backend are fully decoupled over HTTP/JSON, keeping the door open for a future mobile client or public API.</w:t>
      </w:r>
    </w:p>
    <w:p>
      <w:pPr>
        <w:pStyle w:val="ListParagraph"/>
        <w:numPr>
          <w:ilvl w:val="0"/>
          <w:numId w:val="2"/>
        </w:numPr>
        <w:spacing w:after="80"/>
      </w:pPr>
      <w:r>
        <w:t xml:space="preserve">Response schema anticipates future roadmap items — e.g., { store_level: {...}, sku_level: null } from day one — so per-SKU forecasting (Section 9, Phase 4) doesn't require a breaking schema change later.</w:t>
      </w:r>
    </w:p>
    <w:p>
      <w:pPr>
        <w:pStyle w:val="Heading1"/>
        <w:spacing w:after="200" w:before="400"/>
      </w:pPr>
      <w:r>
        <w:t xml:space="preserve">12. Competitive Landscape</w:t>
      </w:r>
    </w:p>
    <w:p>
      <w:pPr>
        <w:spacing w:after="160"/>
      </w:pPr>
      <w:r>
        <w:t xml:space="preserve">Primary competitor evaluated: Forthcast (forthcast.io) — AI inventory/demand forecasting for Shopify, $19.99/month flat rate, SKU-level forecasts up to 12 months, reorder alerts, and an aggregate "forecast accuracy engine" that tracks prediction bias over time. Findings verified against Forthcast's live site as of 2026-07-17:</w:t>
      </w:r>
    </w:p>
    <w:p>
      <w:pPr>
        <w:pStyle w:val="ListParagraph"/>
        <w:numPr>
          <w:ilvl w:val="0"/>
          <w:numId w:val="2"/>
        </w:numPr>
        <w:spacing w:after="80"/>
      </w:pPr>
      <w:r>
        <w:t xml:space="preserve">Forthcast is Shopify-OAuth-only and explicitly rejects CSV import — TrendsArc's CSV-first, no-connection approach is a direct point of contrast for sellers who don't want to grant live store access before seeing value.</w:t>
      </w:r>
    </w:p>
    <w:p>
      <w:pPr>
        <w:pStyle w:val="ListParagraph"/>
        <w:numPr>
          <w:ilvl w:val="0"/>
          <w:numId w:val="2"/>
        </w:numPr>
        <w:spacing w:after="80"/>
      </w:pPr>
      <w:r>
        <w:t xml:space="preserve">Forthcast shows aggregate forecast-accuracy tracking after the fact, but no per-forecast "why" explanation — this is the specific gap TrendsArc's SHAP-based explanation panel is built to close.</w:t>
      </w:r>
    </w:p>
    <w:p>
      <w:pPr>
        <w:pStyle w:val="ListParagraph"/>
        <w:numPr>
          <w:ilvl w:val="0"/>
          <w:numId w:val="2"/>
        </w:numPr>
        <w:spacing w:after="80"/>
      </w:pPr>
      <w:r>
        <w:t xml:space="preserve">Forthcast's own free SEO tool (a reorder-point calculator) is also free, no-signup, no-data-stored, no-store-connection — meaning "free / no signup" alone is table stakes, not a differentiator. TrendsArc's wedge is what the free tool produces (an explained forecast), not merely that it's free.</w:t>
      </w:r>
    </w:p>
    <w:p>
      <w:pPr>
        <w:spacing w:after="160"/>
      </w:pPr>
      <w:r>
        <w:t xml:space="preserve">Positioning takeaway: the moat is being first, narrow, and cheap for small sellers with a genuinely explainable forecast — not unreplicable technology. Established players could add explainability features themselves, which is tracked as a risk in Section 13.</w:t>
      </w:r>
    </w:p>
    <w:p>
      <w:pPr>
        <w:pStyle w:val="Heading1"/>
        <w:spacing w:after="200" w:before="400"/>
      </w:pPr>
      <w:r>
        <w:t xml:space="preserve">13. Risks &amp; Mitigations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1800"/>
      </w:tblGrid>
      <w:tr>
        <w:trPr>
          <w:tblHeader/>
        </w:trPr>
        <w:tc>
          <w:tcPr>
            <w:tcW w:type="dxa" w:w="3000"/>
            <w:shd w:fill="1F2937" w:val="clear"/>
            <w:tcMar>
              <w:top w:type="dxa" w:w="80"/>
              <w:left w:type="dxa" w:w="100"/>
              <w:bottom w:type="dxa" w:w="80"/>
              <w:right w:type="dxa" w:w="100"/>
            </w:tcMar>
            <w:vAlign w:val="center"/>
          </w:tcPr>
          <w:p>
            <w:pPr>
              <w:jc w:val="left"/>
            </w:pPr>
            <w:r>
              <w:rPr>
                <w:b/>
                <w:bCs/>
                <w:color w:val="FFFFFF"/>
              </w:rPr>
              <w:t xml:space="preserve">Risk</w:t>
            </w:r>
          </w:p>
        </w:tc>
        <w:tc>
          <w:tcPr>
            <w:tcW w:type="dxa" w:w="4300"/>
            <w:shd w:fill="1F2937" w:val="clear"/>
            <w:tcMar>
              <w:top w:type="dxa" w:w="80"/>
              <w:left w:type="dxa" w:w="100"/>
              <w:bottom w:type="dxa" w:w="80"/>
              <w:right w:type="dxa" w:w="100"/>
            </w:tcMar>
            <w:vAlign w:val="center"/>
          </w:tcPr>
          <w:p>
            <w:pPr>
              <w:jc w:val="left"/>
            </w:pPr>
            <w:r>
              <w:rPr>
                <w:b/>
                <w:bCs/>
                <w:color w:val="FFFFFF"/>
              </w:rPr>
              <w:t xml:space="preserve">Detail</w:t>
            </w:r>
          </w:p>
        </w:tc>
        <w:tc>
          <w:tcPr>
            <w:tcW w:type="dxa" w:w="1800"/>
            <w:shd w:fill="1F2937" w:val="clear"/>
            <w:tcMar>
              <w:top w:type="dxa" w:w="80"/>
              <w:left w:type="dxa" w:w="100"/>
              <w:bottom w:type="dxa" w:w="80"/>
              <w:right w:type="dxa" w:w="100"/>
            </w:tcMar>
            <w:vAlign w:val="center"/>
          </w:tcPr>
          <w:p>
            <w:pPr>
              <w:jc w:val="left"/>
            </w:pPr>
            <w:r>
              <w:rPr>
                <w:b/>
                <w:bCs/>
                <w:color w:val="FFFFFF"/>
              </w:rPr>
              <w:t xml:space="preserve">Mitigation</w:t>
            </w:r>
          </w:p>
        </w:tc>
      </w:tr>
      <w:tr>
        <w:tc>
          <w:tcPr>
            <w:tcW w:type="dxa" w:w="3000"/>
            <w:tcMar>
              <w:top w:type="dxa" w:w="80"/>
              <w:left w:type="dxa" w:w="100"/>
              <w:bottom w:type="dxa" w:w="80"/>
              <w:right w:type="dxa" w:w="100"/>
            </w:tcMar>
            <w:vAlign w:val="center"/>
          </w:tcPr>
          <w:p>
            <w:pPr>
              <w:jc w:val="left"/>
            </w:pPr>
            <w:r>
              <w:rPr>
                <w:b w:val="false"/>
                <w:bCs w:val="false"/>
              </w:rPr>
              <w:t xml:space="preserve">Per-request training latency</w:t>
            </w:r>
          </w:p>
        </w:tc>
        <w:tc>
          <w:tcPr>
            <w:tcW w:type="dxa" w:w="4300"/>
            <w:tcMar>
              <w:top w:type="dxa" w:w="80"/>
              <w:left w:type="dxa" w:w="100"/>
              <w:bottom w:type="dxa" w:w="80"/>
              <w:right w:type="dxa" w:w="100"/>
            </w:tcMar>
            <w:vAlign w:val="center"/>
          </w:tcPr>
          <w:p>
            <w:pPr>
              <w:jc w:val="left"/>
            </w:pPr>
            <w:r>
              <w:rPr>
                <w:b w:val="false"/>
                <w:bCs w:val="false"/>
              </w:rPr>
              <w:t xml:space="preserve">Synchronous XGBoost training per upload, stacked with Cloud Run cold starts, could make the free-tool experience feel slow.</w:t>
            </w:r>
          </w:p>
        </w:tc>
        <w:tc>
          <w:tcPr>
            <w:tcW w:type="dxa" w:w="1800"/>
            <w:tcMar>
              <w:top w:type="dxa" w:w="80"/>
              <w:left w:type="dxa" w:w="100"/>
              <w:bottom w:type="dxa" w:w="80"/>
              <w:right w:type="dxa" w:w="100"/>
            </w:tcMar>
            <w:vAlign w:val="center"/>
          </w:tcPr>
          <w:p>
            <w:pPr>
              <w:jc w:val="left"/>
            </w:pPr>
            <w:r>
              <w:rPr>
                <w:b w:val="false"/>
                <w:bCs w:val="false"/>
              </w:rPr>
              <w:t xml:space="preserve">Test with realistic CSV sizes before launch; add a "processing…" UX pattern or background job if latency proves bad.</w:t>
            </w:r>
          </w:p>
        </w:tc>
      </w:tr>
      <w:tr>
        <w:tc>
          <w:tcPr>
            <w:tcW w:type="dxa" w:w="3000"/>
            <w:shd w:fill="F5F5F5" w:val="clear"/>
            <w:tcMar>
              <w:top w:type="dxa" w:w="80"/>
              <w:left w:type="dxa" w:w="100"/>
              <w:bottom w:type="dxa" w:w="80"/>
              <w:right w:type="dxa" w:w="100"/>
            </w:tcMar>
            <w:vAlign w:val="center"/>
          </w:tcPr>
          <w:p>
            <w:pPr>
              <w:jc w:val="left"/>
            </w:pPr>
            <w:r>
              <w:rPr>
                <w:b w:val="false"/>
                <w:bCs w:val="false"/>
              </w:rPr>
              <w:t xml:space="preserve">Forecast quality on thin/messy data</w:t>
            </w:r>
          </w:p>
        </w:tc>
        <w:tc>
          <w:tcPr>
            <w:tcW w:type="dxa" w:w="4300"/>
            <w:shd w:fill="F5F5F5" w:val="clear"/>
            <w:tcMar>
              <w:top w:type="dxa" w:w="80"/>
              <w:left w:type="dxa" w:w="100"/>
              <w:bottom w:type="dxa" w:w="80"/>
              <w:right w:type="dxa" w:w="100"/>
            </w:tcMar>
            <w:vAlign w:val="center"/>
          </w:tcPr>
          <w:p>
            <w:pPr>
              <w:jc w:val="left"/>
            </w:pPr>
            <w:r>
              <w:rPr>
                <w:b w:val="false"/>
                <w:bCs w:val="false"/>
              </w:rPr>
              <w:t xml:space="preserve">Many small sellers will have short or gappy sales histories.</w:t>
            </w:r>
          </w:p>
        </w:tc>
        <w:tc>
          <w:tcPr>
            <w:tcW w:type="dxa" w:w="1800"/>
            <w:shd w:fill="F5F5F5" w:val="clear"/>
            <w:tcMar>
              <w:top w:type="dxa" w:w="80"/>
              <w:left w:type="dxa" w:w="100"/>
              <w:bottom w:type="dxa" w:w="80"/>
              <w:right w:type="dxa" w:w="100"/>
            </w:tcMar>
            <w:vAlign w:val="center"/>
          </w:tcPr>
          <w:p>
            <w:pPr>
              <w:jc w:val="left"/>
            </w:pPr>
            <w:r>
              <w:rPr>
                <w:b w:val="false"/>
                <w:bCs w:val="false"/>
              </w:rPr>
              <w:t xml:space="preserve">Enforce a graceful minimum-data threshold (FR-3) rather than silently producing a bad forecast on first use.</w:t>
            </w:r>
          </w:p>
        </w:tc>
      </w:tr>
      <w:tr>
        <w:tc>
          <w:tcPr>
            <w:tcW w:type="dxa" w:w="3000"/>
            <w:tcMar>
              <w:top w:type="dxa" w:w="80"/>
              <w:left w:type="dxa" w:w="100"/>
              <w:bottom w:type="dxa" w:w="80"/>
              <w:right w:type="dxa" w:w="100"/>
            </w:tcMar>
            <w:vAlign w:val="center"/>
          </w:tcPr>
          <w:p>
            <w:pPr>
              <w:jc w:val="left"/>
            </w:pPr>
            <w:r>
              <w:rPr>
                <w:b w:val="false"/>
                <w:bCs w:val="false"/>
              </w:rPr>
              <w:t xml:space="preserve">Explanation template quality</w:t>
            </w:r>
          </w:p>
        </w:tc>
        <w:tc>
          <w:tcPr>
            <w:tcW w:type="dxa" w:w="4300"/>
            <w:tcMar>
              <w:top w:type="dxa" w:w="80"/>
              <w:left w:type="dxa" w:w="100"/>
              <w:bottom w:type="dxa" w:w="80"/>
              <w:right w:type="dxa" w:w="100"/>
            </w:tcMar>
            <w:vAlign w:val="center"/>
          </w:tcPr>
          <w:p>
            <w:pPr>
              <w:jc w:val="left"/>
            </w:pPr>
            <w:r>
              <w:rPr>
                <w:b w:val="false"/>
                <w:bCs w:val="false"/>
              </w:rPr>
              <w:t xml:space="preserve">SHAP-to-plain-English templating is inherently approximate.</w:t>
            </w:r>
          </w:p>
        </w:tc>
        <w:tc>
          <w:tcPr>
            <w:tcW w:type="dxa" w:w="1800"/>
            <w:tcMar>
              <w:top w:type="dxa" w:w="80"/>
              <w:left w:type="dxa" w:w="100"/>
              <w:bottom w:type="dxa" w:w="80"/>
              <w:right w:type="dxa" w:w="100"/>
            </w:tcMar>
            <w:vAlign w:val="center"/>
          </w:tcPr>
          <w:p>
            <w:pPr>
              <w:jc w:val="left"/>
            </w:pPr>
            <w:r>
              <w:rPr>
                <w:b w:val="false"/>
                <w:bCs w:val="false"/>
              </w:rPr>
              <w:t xml:space="preserve">Manually sanity-check explanations against real CSVs before launch to ensure they aren't generic or wrong.</w:t>
            </w:r>
          </w:p>
        </w:tc>
      </w:tr>
      <w:tr>
        <w:tc>
          <w:tcPr>
            <w:tcW w:type="dxa" w:w="3000"/>
            <w:shd w:fill="F5F5F5" w:val="clear"/>
            <w:tcMar>
              <w:top w:type="dxa" w:w="80"/>
              <w:left w:type="dxa" w:w="100"/>
              <w:bottom w:type="dxa" w:w="80"/>
              <w:right w:type="dxa" w:w="100"/>
            </w:tcMar>
            <w:vAlign w:val="center"/>
          </w:tcPr>
          <w:p>
            <w:pPr>
              <w:jc w:val="left"/>
            </w:pPr>
            <w:r>
              <w:rPr>
                <w:b w:val="false"/>
                <w:bCs w:val="false"/>
              </w:rPr>
              <w:t xml:space="preserve">Data privacy</w:t>
            </w:r>
          </w:p>
        </w:tc>
        <w:tc>
          <w:tcPr>
            <w:tcW w:type="dxa" w:w="4300"/>
            <w:shd w:fill="F5F5F5" w:val="clear"/>
            <w:tcMar>
              <w:top w:type="dxa" w:w="80"/>
              <w:left w:type="dxa" w:w="100"/>
              <w:bottom w:type="dxa" w:w="80"/>
              <w:right w:type="dxa" w:w="100"/>
            </w:tcMar>
            <w:vAlign w:val="center"/>
          </w:tcPr>
          <w:p>
            <w:pPr>
              <w:jc w:val="left"/>
            </w:pPr>
            <w:r>
              <w:rPr>
                <w:b w:val="false"/>
                <w:bCs w:val="false"/>
              </w:rPr>
              <w:t xml:space="preserve">Users upload real sales data even without accounts.</w:t>
            </w:r>
          </w:p>
        </w:tc>
        <w:tc>
          <w:tcPr>
            <w:tcW w:type="dxa" w:w="1800"/>
            <w:shd w:fill="F5F5F5" w:val="clear"/>
            <w:tcMar>
              <w:top w:type="dxa" w:w="80"/>
              <w:left w:type="dxa" w:w="100"/>
              <w:bottom w:type="dxa" w:w="80"/>
              <w:right w:type="dxa" w:w="100"/>
            </w:tcMar>
            <w:vAlign w:val="center"/>
          </w:tcPr>
          <w:p>
            <w:pPr>
              <w:jc w:val="left"/>
            </w:pPr>
            <w:r>
              <w:rPr>
                <w:b w:val="false"/>
                <w:bCs w:val="false"/>
              </w:rPr>
              <w:t xml:space="preserve">Publish a real, accurate Privacy Policy before public launch (Section 7, FR-11) — not optional once live.</w:t>
            </w:r>
          </w:p>
        </w:tc>
      </w:tr>
      <w:tr>
        <w:tc>
          <w:tcPr>
            <w:tcW w:type="dxa" w:w="3000"/>
            <w:tcMar>
              <w:top w:type="dxa" w:w="80"/>
              <w:left w:type="dxa" w:w="100"/>
              <w:bottom w:type="dxa" w:w="80"/>
              <w:right w:type="dxa" w:w="100"/>
            </w:tcMar>
            <w:vAlign w:val="center"/>
          </w:tcPr>
          <w:p>
            <w:pPr>
              <w:jc w:val="left"/>
            </w:pPr>
            <w:r>
              <w:rPr>
                <w:b w:val="false"/>
                <w:bCs w:val="false"/>
              </w:rPr>
              <w:t xml:space="preserve">Abuse / cost risk</w:t>
            </w:r>
          </w:p>
        </w:tc>
        <w:tc>
          <w:tcPr>
            <w:tcW w:type="dxa" w:w="4300"/>
            <w:tcMar>
              <w:top w:type="dxa" w:w="80"/>
              <w:left w:type="dxa" w:w="100"/>
              <w:bottom w:type="dxa" w:w="80"/>
              <w:right w:type="dxa" w:w="100"/>
            </w:tcMar>
            <w:vAlign w:val="center"/>
          </w:tcPr>
          <w:p>
            <w:pPr>
              <w:jc w:val="left"/>
            </w:pPr>
            <w:r>
              <w:rPr>
                <w:b w:val="false"/>
                <w:bCs w:val="false"/>
              </w:rPr>
              <w:t xml:space="preserve">Public, free, compute-heavy endpoint is a natural target for scraping, which directly costs money on Cloud Run.</w:t>
            </w:r>
          </w:p>
        </w:tc>
        <w:tc>
          <w:tcPr>
            <w:tcW w:type="dxa" w:w="1800"/>
            <w:tcMar>
              <w:top w:type="dxa" w:w="80"/>
              <w:left w:type="dxa" w:w="100"/>
              <w:bottom w:type="dxa" w:w="80"/>
              <w:right w:type="dxa" w:w="100"/>
            </w:tcMar>
            <w:vAlign w:val="center"/>
          </w:tcPr>
          <w:p>
            <w:pPr>
              <w:jc w:val="left"/>
            </w:pPr>
            <w:r>
              <w:rPr>
                <w:b w:val="false"/>
                <w:bCs w:val="false"/>
              </w:rPr>
              <w:t xml:space="preserve">Treat rate limiting as a launch blocker.</w:t>
            </w:r>
          </w:p>
        </w:tc>
      </w:tr>
      <w:tr>
        <w:tc>
          <w:tcPr>
            <w:tcW w:type="dxa" w:w="3000"/>
            <w:shd w:fill="F5F5F5" w:val="clear"/>
            <w:tcMar>
              <w:top w:type="dxa" w:w="80"/>
              <w:left w:type="dxa" w:w="100"/>
              <w:bottom w:type="dxa" w:w="80"/>
              <w:right w:type="dxa" w:w="100"/>
            </w:tcMar>
            <w:vAlign w:val="center"/>
          </w:tcPr>
          <w:p>
            <w:pPr>
              <w:jc w:val="left"/>
            </w:pPr>
            <w:r>
              <w:rPr>
                <w:b w:val="false"/>
                <w:bCs w:val="false"/>
              </w:rPr>
              <w:t xml:space="preserve">SEO/AdSense timeline dependency</w:t>
            </w:r>
          </w:p>
        </w:tc>
        <w:tc>
          <w:tcPr>
            <w:tcW w:type="dxa" w:w="4300"/>
            <w:shd w:fill="F5F5F5" w:val="clear"/>
            <w:tcMar>
              <w:top w:type="dxa" w:w="80"/>
              <w:left w:type="dxa" w:w="100"/>
              <w:bottom w:type="dxa" w:w="80"/>
              <w:right w:type="dxa" w:w="100"/>
            </w:tcMar>
            <w:vAlign w:val="center"/>
          </w:tcPr>
          <w:p>
            <w:pPr>
              <w:jc w:val="left"/>
            </w:pPr>
            <w:r>
              <w:rPr>
                <w:b w:val="false"/>
                <w:bCs w:val="false"/>
              </w:rPr>
              <w:t xml:space="preserve">Strategy assumes organic ranking within a few months; slower ranking delays paid conversions.</w:t>
            </w:r>
          </w:p>
        </w:tc>
        <w:tc>
          <w:tcPr>
            <w:tcW w:type="dxa" w:w="1800"/>
            <w:shd w:fill="F5F5F5" w:val="clear"/>
            <w:tcMar>
              <w:top w:type="dxa" w:w="80"/>
              <w:left w:type="dxa" w:w="100"/>
              <w:bottom w:type="dxa" w:w="80"/>
              <w:right w:type="dxa" w:w="100"/>
            </w:tcMar>
            <w:vAlign w:val="center"/>
          </w:tcPr>
          <w:p>
            <w:pPr>
              <w:jc w:val="left"/>
            </w:pPr>
            <w:r>
              <w:rPr>
                <w:b w:val="false"/>
                <w:bCs w:val="false"/>
              </w:rPr>
              <w:t xml:space="preserve">Maintain a distribution plan (Product Hunt, Reddit, build-in-public) that doesn't solely depend on SEO.</w:t>
            </w:r>
          </w:p>
        </w:tc>
      </w:tr>
      <w:tr>
        <w:tc>
          <w:tcPr>
            <w:tcW w:type="dxa" w:w="3000"/>
            <w:tcMar>
              <w:top w:type="dxa" w:w="80"/>
              <w:left w:type="dxa" w:w="100"/>
              <w:bottom w:type="dxa" w:w="80"/>
              <w:right w:type="dxa" w:w="100"/>
            </w:tcMar>
            <w:vAlign w:val="center"/>
          </w:tcPr>
          <w:p>
            <w:pPr>
              <w:jc w:val="left"/>
            </w:pPr>
            <w:r>
              <w:rPr>
                <w:b w:val="false"/>
                <w:bCs w:val="false"/>
              </w:rPr>
              <w:t xml:space="preserve">Competitive response</w:t>
            </w:r>
          </w:p>
        </w:tc>
        <w:tc>
          <w:tcPr>
            <w:tcW w:type="dxa" w:w="4300"/>
            <w:tcMar>
              <w:top w:type="dxa" w:w="80"/>
              <w:left w:type="dxa" w:w="100"/>
              <w:bottom w:type="dxa" w:w="80"/>
              <w:right w:type="dxa" w:w="100"/>
            </w:tcMar>
            <w:vAlign w:val="center"/>
          </w:tcPr>
          <w:p>
            <w:pPr>
              <w:jc w:val="left"/>
            </w:pPr>
            <w:r>
              <w:rPr>
                <w:b w:val="false"/>
                <w:bCs w:val="false"/>
              </w:rPr>
              <w:t xml:space="preserve">Established players (Forthcast, Triple Whale, Lifetimely, Inventory Planner) could add per-forecast explainability themselves.</w:t>
            </w:r>
          </w:p>
        </w:tc>
        <w:tc>
          <w:tcPr>
            <w:tcW w:type="dxa" w:w="1800"/>
            <w:tcMar>
              <w:top w:type="dxa" w:w="80"/>
              <w:left w:type="dxa" w:w="100"/>
              <w:bottom w:type="dxa" w:w="80"/>
              <w:right w:type="dxa" w:w="100"/>
            </w:tcMar>
            <w:vAlign w:val="center"/>
          </w:tcPr>
          <w:p>
            <w:pPr>
              <w:jc w:val="left"/>
            </w:pPr>
            <w:r>
              <w:rPr>
                <w:b w:val="false"/>
                <w:bCs w:val="false"/>
              </w:rPr>
              <w:t xml:space="preserve">Move fast on being first and narrowly focused for small sellers; the moat is speed and focus, not proprietary technology.</w:t>
            </w:r>
          </w:p>
        </w:tc>
      </w:tr>
    </w:tbl>
    <w:p>
      <w:pPr>
        <w:pStyle w:val="Heading1"/>
        <w:spacing w:after="200" w:before="400"/>
      </w:pPr>
      <w:r>
        <w:t xml:space="preserve">14. Cost Estimate</w:t>
      </w:r>
    </w:p>
    <w:p>
      <w:pPr>
        <w:pStyle w:val="Heading2"/>
        <w:spacing w:after="150" w:before="300"/>
      </w:pPr>
      <w:r>
        <w:t xml:space="preserve">14.1 Build Phase (0 → MVP Launch, ~2 Weeks)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2937" w:val="clear"/>
            <w:tcMar>
              <w:top w:type="dxa" w:w="80"/>
              <w:left w:type="dxa" w:w="100"/>
              <w:bottom w:type="dxa" w:w="80"/>
              <w:right w:type="dxa" w:w="100"/>
            </w:tcMar>
            <w:vAlign w:val="center"/>
          </w:tcPr>
          <w:p>
            <w:pPr>
              <w:jc w:val="left"/>
            </w:pPr>
            <w:r>
              <w:rPr>
                <w:b/>
                <w:bCs/>
                <w:color w:val="FFFFFF"/>
              </w:rPr>
              <w:t xml:space="preserve">Item</w:t>
            </w:r>
          </w:p>
        </w:tc>
        <w:tc>
          <w:tcPr>
            <w:tcW w:type="dxa" w:w="4600"/>
            <w:shd w:fill="1F2937" w:val="clear"/>
            <w:tcMar>
              <w:top w:type="dxa" w:w="80"/>
              <w:left w:type="dxa" w:w="100"/>
              <w:bottom w:type="dxa" w:w="80"/>
              <w:right w:type="dxa" w:w="100"/>
            </w:tcMar>
            <w:vAlign w:val="center"/>
          </w:tcPr>
          <w:p>
            <w:pPr>
              <w:jc w:val="left"/>
            </w:pPr>
            <w:r>
              <w:rPr>
                <w:b/>
                <w:bCs/>
                <w:color w:val="FFFFFF"/>
              </w:rPr>
              <w:t xml:space="preserve">Cost</w:t>
            </w:r>
          </w:p>
        </w:tc>
      </w:tr>
      <w:tr>
        <w:tc>
          <w:tcPr>
            <w:tcW w:type="dxa" w:w="4500"/>
            <w:tcMar>
              <w:top w:type="dxa" w:w="80"/>
              <w:left w:type="dxa" w:w="100"/>
              <w:bottom w:type="dxa" w:w="80"/>
              <w:right w:type="dxa" w:w="100"/>
            </w:tcMar>
            <w:vAlign w:val="center"/>
          </w:tcPr>
          <w:p>
            <w:pPr>
              <w:jc w:val="left"/>
            </w:pPr>
            <w:r>
              <w:rPr>
                <w:b w:val="false"/>
                <w:bCs w:val="false"/>
              </w:rPr>
              <w:t xml:space="preserve">Domain (.com)</w:t>
            </w:r>
          </w:p>
        </w:tc>
        <w:tc>
          <w:tcPr>
            <w:tcW w:type="dxa" w:w="4600"/>
            <w:tcMar>
              <w:top w:type="dxa" w:w="80"/>
              <w:left w:type="dxa" w:w="100"/>
              <w:bottom w:type="dxa" w:w="80"/>
              <w:right w:type="dxa" w:w="100"/>
            </w:tcMar>
            <w:vAlign w:val="center"/>
          </w:tcPr>
          <w:p>
            <w:pPr>
              <w:jc w:val="left"/>
            </w:pPr>
            <w:r>
              <w:rPr>
                <w:b w:val="false"/>
                <w:bCs w:val="false"/>
              </w:rPr>
              <w:t xml:space="preserve">~$10–15/year</w:t>
            </w:r>
          </w:p>
        </w:tc>
      </w:tr>
      <w:tr>
        <w:tc>
          <w:tcPr>
            <w:tcW w:type="dxa" w:w="4500"/>
            <w:shd w:fill="F5F5F5" w:val="clear"/>
            <w:tcMar>
              <w:top w:type="dxa" w:w="80"/>
              <w:left w:type="dxa" w:w="100"/>
              <w:bottom w:type="dxa" w:w="80"/>
              <w:right w:type="dxa" w:w="100"/>
            </w:tcMar>
            <w:vAlign w:val="center"/>
          </w:tcPr>
          <w:p>
            <w:pPr>
              <w:jc w:val="left"/>
            </w:pPr>
            <w:r>
              <w:rPr>
                <w:b w:val="false"/>
                <w:bCs w:val="false"/>
              </w:rPr>
              <w:t xml:space="preserve">Development time</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$0 out-of-pocket</w:t>
            </w:r>
          </w:p>
        </w:tc>
      </w:tr>
      <w:tr>
        <w:tc>
          <w:tcPr>
            <w:tcW w:type="dxa" w:w="4500"/>
            <w:tcMar>
              <w:top w:type="dxa" w:w="80"/>
              <w:left w:type="dxa" w:w="100"/>
              <w:bottom w:type="dxa" w:w="80"/>
              <w:right w:type="dxa" w:w="100"/>
            </w:tcMar>
            <w:vAlign w:val="center"/>
          </w:tcPr>
          <w:p>
            <w:pPr>
              <w:jc w:val="left"/>
            </w:pPr>
            <w:r>
              <w:rPr>
                <w:b w:val="false"/>
                <w:bCs w:val="false"/>
              </w:rPr>
              <w:t xml:space="preserve">Cloudflare Pages hosting</w:t>
            </w:r>
          </w:p>
        </w:tc>
        <w:tc>
          <w:tcPr>
            <w:tcW w:type="dxa" w:w="4600"/>
            <w:tcMar>
              <w:top w:type="dxa" w:w="80"/>
              <w:left w:type="dxa" w:w="100"/>
              <w:bottom w:type="dxa" w:w="80"/>
              <w:right w:type="dxa" w:w="100"/>
            </w:tcMar>
            <w:vAlign w:val="center"/>
          </w:tcPr>
          <w:p>
            <w:pPr>
              <w:jc w:val="left"/>
            </w:pPr>
            <w:r>
              <w:rPr>
                <w:b w:val="false"/>
                <w:bCs w:val="false"/>
              </w:rPr>
              <w:t xml:space="preserve">$0 (free tier)</w:t>
            </w:r>
          </w:p>
        </w:tc>
      </w:tr>
      <w:tr>
        <w:tc>
          <w:tcPr>
            <w:tcW w:type="dxa" w:w="4500"/>
            <w:shd w:fill="F5F5F5" w:val="clear"/>
            <w:tcMar>
              <w:top w:type="dxa" w:w="80"/>
              <w:left w:type="dxa" w:w="100"/>
              <w:bottom w:type="dxa" w:w="80"/>
              <w:right w:type="dxa" w:w="100"/>
            </w:tcMar>
            <w:vAlign w:val="center"/>
          </w:tcPr>
          <w:p>
            <w:pPr>
              <w:jc w:val="left"/>
            </w:pPr>
            <w:r>
              <w:rPr>
                <w:b w:val="false"/>
                <w:bCs w:val="false"/>
              </w:rPr>
              <w:t xml:space="preserve">Google Cloud Run</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$0 (free tier covers MVP-stage traffic)</w:t>
            </w:r>
          </w:p>
        </w:tc>
      </w:tr>
      <w:tr>
        <w:tc>
          <w:tcPr>
            <w:tcW w:type="dxa" w:w="4500"/>
            <w:tcMar>
              <w:top w:type="dxa" w:w="80"/>
              <w:left w:type="dxa" w:w="100"/>
              <w:bottom w:type="dxa" w:w="80"/>
              <w:right w:type="dxa" w:w="100"/>
            </w:tcMar>
            <w:vAlign w:val="center"/>
          </w:tcPr>
          <w:p>
            <w:pPr>
              <w:jc w:val="left"/>
            </w:pPr>
            <w:r>
              <w:rPr>
                <w:b w:val="false"/>
                <w:bCs w:val="false"/>
              </w:rPr>
              <w:t xml:space="preserve">Google Cloud billing setup</w:t>
            </w:r>
          </w:p>
        </w:tc>
        <w:tc>
          <w:tcPr>
            <w:tcW w:type="dxa" w:w="4600"/>
            <w:tcMar>
              <w:top w:type="dxa" w:w="80"/>
              <w:left w:type="dxa" w:w="100"/>
              <w:bottom w:type="dxa" w:w="80"/>
              <w:right w:type="dxa" w:w="100"/>
            </w:tcMar>
            <w:vAlign w:val="center"/>
          </w:tcPr>
          <w:p>
            <w:pPr>
              <w:jc w:val="left"/>
            </w:pPr>
            <w:r>
              <w:rPr>
                <w:b w:val="false"/>
                <w:bCs w:val="false"/>
              </w:rPr>
              <w:t xml:space="preserve">$0 (card on file required; free tier should cover early usage)</w:t>
            </w:r>
          </w:p>
        </w:tc>
      </w:tr>
      <w:tr>
        <w:tc>
          <w:tcPr>
            <w:tcW w:type="dxa" w:w="4500"/>
            <w:shd w:fill="F5F5F5" w:val="clear"/>
            <w:tcMar>
              <w:top w:type="dxa" w:w="80"/>
              <w:left w:type="dxa" w:w="100"/>
              <w:bottom w:type="dxa" w:w="80"/>
              <w:right w:type="dxa" w:w="100"/>
            </w:tcMar>
            <w:vAlign w:val="center"/>
          </w:tcPr>
          <w:p>
            <w:pPr>
              <w:jc w:val="left"/>
            </w:pPr>
            <w:r>
              <w:rPr>
                <w:b w:val="false"/>
                <w:bCs w:val="false"/>
              </w:rPr>
              <w:t xml:space="preserve">Total to launch</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~$10–15</w:t>
            </w:r>
          </w:p>
        </w:tc>
      </w:tr>
    </w:tbl>
    <w:p>
      <w:pPr>
        <w:pStyle w:val="Heading2"/>
        <w:spacing w:after="150" w:before="300"/>
      </w:pPr>
      <w:r>
        <w:t xml:space="preserve">14.2 Ongoing Monthly (Post-Launch, Low-to-Moderate Traffic)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2937" w:val="clear"/>
            <w:tcMar>
              <w:top w:type="dxa" w:w="80"/>
              <w:left w:type="dxa" w:w="100"/>
              <w:bottom w:type="dxa" w:w="80"/>
              <w:right w:type="dxa" w:w="100"/>
            </w:tcMar>
            <w:vAlign w:val="center"/>
          </w:tcPr>
          <w:p>
            <w:pPr>
              <w:jc w:val="left"/>
            </w:pPr>
            <w:r>
              <w:rPr>
                <w:b/>
                <w:bCs/>
                <w:color w:val="FFFFFF"/>
              </w:rPr>
              <w:t xml:space="preserve">Item</w:t>
            </w:r>
          </w:p>
        </w:tc>
        <w:tc>
          <w:tcPr>
            <w:tcW w:type="dxa" w:w="4600"/>
            <w:shd w:fill="1F2937" w:val="clear"/>
            <w:tcMar>
              <w:top w:type="dxa" w:w="80"/>
              <w:left w:type="dxa" w:w="100"/>
              <w:bottom w:type="dxa" w:w="80"/>
              <w:right w:type="dxa" w:w="100"/>
            </w:tcMar>
            <w:vAlign w:val="center"/>
          </w:tcPr>
          <w:p>
            <w:pPr>
              <w:jc w:val="left"/>
            </w:pPr>
            <w:r>
              <w:rPr>
                <w:b/>
                <w:bCs/>
                <w:color w:val="FFFFFF"/>
              </w:rPr>
              <w:t xml:space="preserve">Cost</w:t>
            </w:r>
          </w:p>
        </w:tc>
      </w:tr>
      <w:tr>
        <w:tc>
          <w:tcPr>
            <w:tcW w:type="dxa" w:w="4500"/>
            <w:tcMar>
              <w:top w:type="dxa" w:w="80"/>
              <w:left w:type="dxa" w:w="100"/>
              <w:bottom w:type="dxa" w:w="80"/>
              <w:right w:type="dxa" w:w="100"/>
            </w:tcMar>
            <w:vAlign w:val="center"/>
          </w:tcPr>
          <w:p>
            <w:pPr>
              <w:jc w:val="left"/>
            </w:pPr>
            <w:r>
              <w:rPr>
                <w:b w:val="false"/>
                <w:bCs w:val="false"/>
              </w:rPr>
              <w:t xml:space="preserve">Cloud Run (beyond free tier)</w:t>
            </w:r>
          </w:p>
        </w:tc>
        <w:tc>
          <w:tcPr>
            <w:tcW w:type="dxa" w:w="4600"/>
            <w:tcMar>
              <w:top w:type="dxa" w:w="80"/>
              <w:left w:type="dxa" w:w="100"/>
              <w:bottom w:type="dxa" w:w="80"/>
              <w:right w:type="dxa" w:w="100"/>
            </w:tcMar>
            <w:vAlign w:val="center"/>
          </w:tcPr>
          <w:p>
            <w:pPr>
              <w:jc w:val="left"/>
            </w:pPr>
            <w:r>
              <w:rPr>
                <w:b w:val="false"/>
                <w:bCs w:val="false"/>
              </w:rPr>
              <w:t xml:space="preserve">~$0–20/month depending on traffic</w:t>
            </w:r>
          </w:p>
        </w:tc>
      </w:tr>
      <w:tr>
        <w:tc>
          <w:tcPr>
            <w:tcW w:type="dxa" w:w="4500"/>
            <w:shd w:fill="F5F5F5" w:val="clear"/>
            <w:tcMar>
              <w:top w:type="dxa" w:w="80"/>
              <w:left w:type="dxa" w:w="100"/>
              <w:bottom w:type="dxa" w:w="80"/>
              <w:right w:type="dxa" w:w="100"/>
            </w:tcMar>
            <w:vAlign w:val="center"/>
          </w:tcPr>
          <w:p>
            <w:pPr>
              <w:jc w:val="left"/>
            </w:pPr>
            <w:r>
              <w:rPr>
                <w:b w:val="false"/>
                <w:bCs w:val="false"/>
              </w:rPr>
              <w:t xml:space="preserve">Cloudflare Pages</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$0 (free tier)</w:t>
            </w:r>
          </w:p>
        </w:tc>
      </w:tr>
      <w:tr>
        <w:tc>
          <w:tcPr>
            <w:tcW w:type="dxa" w:w="4500"/>
            <w:tcMar>
              <w:top w:type="dxa" w:w="80"/>
              <w:left w:type="dxa" w:w="100"/>
              <w:bottom w:type="dxa" w:w="80"/>
              <w:right w:type="dxa" w:w="100"/>
            </w:tcMar>
            <w:vAlign w:val="center"/>
          </w:tcPr>
          <w:p>
            <w:pPr>
              <w:jc w:val="left"/>
            </w:pPr>
            <w:r>
              <w:rPr>
                <w:b w:val="false"/>
                <w:bCs w:val="false"/>
              </w:rPr>
              <w:t xml:space="preserve">Domain renewal</w:t>
            </w:r>
          </w:p>
        </w:tc>
        <w:tc>
          <w:tcPr>
            <w:tcW w:type="dxa" w:w="4600"/>
            <w:tcMar>
              <w:top w:type="dxa" w:w="80"/>
              <w:left w:type="dxa" w:w="100"/>
              <w:bottom w:type="dxa" w:w="80"/>
              <w:right w:type="dxa" w:w="100"/>
            </w:tcMar>
            <w:vAlign w:val="center"/>
          </w:tcPr>
          <w:p>
            <w:pPr>
              <w:jc w:val="left"/>
            </w:pPr>
            <w:r>
              <w:rPr>
                <w:b w:val="false"/>
                <w:bCs w:val="false"/>
              </w:rPr>
              <w:t xml:space="preserve">~$1/month amortized</w:t>
            </w:r>
          </w:p>
        </w:tc>
      </w:tr>
      <w:tr>
        <w:tc>
          <w:tcPr>
            <w:tcW w:type="dxa" w:w="4500"/>
            <w:shd w:fill="F5F5F5" w:val="clear"/>
            <w:tcMar>
              <w:top w:type="dxa" w:w="80"/>
              <w:left w:type="dxa" w:w="100"/>
              <w:bottom w:type="dxa" w:w="80"/>
              <w:right w:type="dxa" w:w="100"/>
            </w:tcMar>
            <w:vAlign w:val="center"/>
          </w:tcPr>
          <w:p>
            <w:pPr>
              <w:jc w:val="left"/>
            </w:pPr>
            <w:r>
              <w:rPr>
                <w:b w:val="false"/>
                <w:bCs w:val="false"/>
              </w:rPr>
              <w:t xml:space="preserve">Monitoring/error tracking (optional)</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$0 on free tier</w:t>
            </w:r>
          </w:p>
        </w:tc>
      </w:tr>
      <w:tr>
        <w:tc>
          <w:tcPr>
            <w:tcW w:type="dxa" w:w="4500"/>
            <w:tcMar>
              <w:top w:type="dxa" w:w="80"/>
              <w:left w:type="dxa" w:w="100"/>
              <w:bottom w:type="dxa" w:w="80"/>
              <w:right w:type="dxa" w:w="100"/>
            </w:tcMar>
            <w:vAlign w:val="center"/>
          </w:tcPr>
          <w:p>
            <w:pPr>
              <w:jc w:val="left"/>
            </w:pPr>
            <w:r>
              <w:rPr>
                <w:b w:val="false"/>
                <w:bCs w:val="false"/>
              </w:rPr>
              <w:t xml:space="preserve">Total ongoing (early stage)</w:t>
            </w:r>
          </w:p>
        </w:tc>
        <w:tc>
          <w:tcPr>
            <w:tcW w:type="dxa" w:w="4600"/>
            <w:tcMar>
              <w:top w:type="dxa" w:w="80"/>
              <w:left w:type="dxa" w:w="100"/>
              <w:bottom w:type="dxa" w:w="80"/>
              <w:right w:type="dxa" w:w="100"/>
            </w:tcMar>
            <w:vAlign w:val="center"/>
          </w:tcPr>
          <w:p>
            <w:pPr>
              <w:jc w:val="left"/>
            </w:pPr>
            <w:r>
              <w:rPr>
                <w:b w:val="false"/>
                <w:bCs w:val="false"/>
              </w:rPr>
              <w:t xml:space="preserve">~$0–25/month</w:t>
            </w:r>
          </w:p>
        </w:tc>
      </w:tr>
    </w:tbl>
    <w:p>
      <w:pPr>
        <w:pStyle w:val="Heading2"/>
        <w:spacing w:after="150" w:before="300"/>
      </w:pPr>
      <w:r>
        <w:t xml:space="preserve">14.3 Costs Introduced by the Roadmap (Section 9)</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2937" w:val="clear"/>
            <w:tcMar>
              <w:top w:type="dxa" w:w="80"/>
              <w:left w:type="dxa" w:w="100"/>
              <w:bottom w:type="dxa" w:w="80"/>
              <w:right w:type="dxa" w:w="100"/>
            </w:tcMar>
            <w:vAlign w:val="center"/>
          </w:tcPr>
          <w:p>
            <w:pPr>
              <w:jc w:val="left"/>
            </w:pPr>
            <w:r>
              <w:rPr>
                <w:b/>
                <w:bCs/>
                <w:color w:val="FFFFFF"/>
              </w:rPr>
              <w:t xml:space="preserve">Item</w:t>
            </w:r>
          </w:p>
        </w:tc>
        <w:tc>
          <w:tcPr>
            <w:tcW w:type="dxa" w:w="4600"/>
            <w:shd w:fill="1F2937" w:val="clear"/>
            <w:tcMar>
              <w:top w:type="dxa" w:w="80"/>
              <w:left w:type="dxa" w:w="100"/>
              <w:bottom w:type="dxa" w:w="80"/>
              <w:right w:type="dxa" w:w="100"/>
            </w:tcMar>
            <w:vAlign w:val="center"/>
          </w:tcPr>
          <w:p>
            <w:pPr>
              <w:jc w:val="left"/>
            </w:pPr>
            <w:r>
              <w:rPr>
                <w:b/>
                <w:bCs/>
                <w:color w:val="FFFFFF"/>
              </w:rPr>
              <w:t xml:space="preserve">Cost</w:t>
            </w:r>
          </w:p>
        </w:tc>
      </w:tr>
      <w:tr>
        <w:tc>
          <w:tcPr>
            <w:tcW w:type="dxa" w:w="4500"/>
            <w:tcMar>
              <w:top w:type="dxa" w:w="80"/>
              <w:left w:type="dxa" w:w="100"/>
              <w:bottom w:type="dxa" w:w="80"/>
              <w:right w:type="dxa" w:w="100"/>
            </w:tcMar>
            <w:vAlign w:val="center"/>
          </w:tcPr>
          <w:p>
            <w:pPr>
              <w:jc w:val="left"/>
            </w:pPr>
            <w:r>
              <w:rPr>
                <w:b w:val="false"/>
                <w:bCs w:val="false"/>
              </w:rPr>
              <w:t xml:space="preserve">Stripe (billing)</w:t>
            </w:r>
          </w:p>
        </w:tc>
        <w:tc>
          <w:tcPr>
            <w:tcW w:type="dxa" w:w="4600"/>
            <w:tcMar>
              <w:top w:type="dxa" w:w="80"/>
              <w:left w:type="dxa" w:w="100"/>
              <w:bottom w:type="dxa" w:w="80"/>
              <w:right w:type="dxa" w:w="100"/>
            </w:tcMar>
            <w:vAlign w:val="center"/>
          </w:tcPr>
          <w:p>
            <w:pPr>
              <w:jc w:val="left"/>
            </w:pPr>
            <w:r>
              <w:rPr>
                <w:b w:val="false"/>
                <w:bCs w:val="false"/>
              </w:rPr>
              <w:t xml:space="preserve">2.9% + $0.30 per transaction — scales with revenue</w:t>
            </w:r>
          </w:p>
        </w:tc>
      </w:tr>
      <w:tr>
        <w:tc>
          <w:tcPr>
            <w:tcW w:type="dxa" w:w="4500"/>
            <w:shd w:fill="F5F5F5" w:val="clear"/>
            <w:tcMar>
              <w:top w:type="dxa" w:w="80"/>
              <w:left w:type="dxa" w:w="100"/>
              <w:bottom w:type="dxa" w:w="80"/>
              <w:right w:type="dxa" w:w="100"/>
            </w:tcMar>
            <w:vAlign w:val="center"/>
          </w:tcPr>
          <w:p>
            <w:pPr>
              <w:jc w:val="left"/>
            </w:pPr>
            <w:r>
              <w:rPr>
                <w:b w:val="false"/>
                <w:bCs w:val="false"/>
              </w:rPr>
              <w:t xml:space="preserve">Database (once persistence is needed)</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~$10–30/month depending on provider/tier</w:t>
            </w:r>
          </w:p>
        </w:tc>
      </w:tr>
      <w:tr>
        <w:tc>
          <w:tcPr>
            <w:tcW w:type="dxa" w:w="4500"/>
            <w:tcMar>
              <w:top w:type="dxa" w:w="80"/>
              <w:left w:type="dxa" w:w="100"/>
              <w:bottom w:type="dxa" w:w="80"/>
              <w:right w:type="dxa" w:w="100"/>
            </w:tcMar>
            <w:vAlign w:val="center"/>
          </w:tcPr>
          <w:p>
            <w:pPr>
              <w:jc w:val="left"/>
            </w:pPr>
            <w:r>
              <w:rPr>
                <w:b w:val="false"/>
                <w:bCs w:val="false"/>
              </w:rPr>
              <w:t xml:space="preserve">Shopify OAuth app review/hosting</w:t>
            </w:r>
          </w:p>
        </w:tc>
        <w:tc>
          <w:tcPr>
            <w:tcW w:type="dxa" w:w="4600"/>
            <w:tcMar>
              <w:top w:type="dxa" w:w="80"/>
              <w:left w:type="dxa" w:w="100"/>
              <w:bottom w:type="dxa" w:w="80"/>
              <w:right w:type="dxa" w:w="100"/>
            </w:tcMar>
            <w:vAlign w:val="center"/>
          </w:tcPr>
          <w:p>
            <w:pPr>
              <w:jc w:val="left"/>
            </w:pPr>
            <w:r>
              <w:rPr>
                <w:b w:val="false"/>
                <w:bCs w:val="false"/>
              </w:rPr>
              <w:t xml:space="preserve">$0 in fees, engineering time only</w:t>
            </w:r>
          </w:p>
        </w:tc>
      </w:tr>
      <w:tr>
        <w:tc>
          <w:tcPr>
            <w:tcW w:type="dxa" w:w="4500"/>
            <w:shd w:fill="F5F5F5" w:val="clear"/>
            <w:tcMar>
              <w:top w:type="dxa" w:w="80"/>
              <w:left w:type="dxa" w:w="100"/>
              <w:bottom w:type="dxa" w:w="80"/>
              <w:right w:type="dxa" w:w="100"/>
            </w:tcMar>
            <w:vAlign w:val="center"/>
          </w:tcPr>
          <w:p>
            <w:pPr>
              <w:jc w:val="left"/>
            </w:pPr>
            <w:r>
              <w:rPr>
                <w:b w:val="false"/>
                <w:bCs w:val="false"/>
              </w:rPr>
              <w:t xml:space="preserve">Increased Cloud Run usage as traffic grows</w:t>
            </w:r>
          </w:p>
        </w:tc>
        <w:tc>
          <w:tcPr>
            <w:tcW w:type="dxa" w:w="4600"/>
            <w:shd w:fill="F5F5F5" w:val="clear"/>
            <w:tcMar>
              <w:top w:type="dxa" w:w="80"/>
              <w:left w:type="dxa" w:w="100"/>
              <w:bottom w:type="dxa" w:w="80"/>
              <w:right w:type="dxa" w:w="100"/>
            </w:tcMar>
            <w:vAlign w:val="center"/>
          </w:tcPr>
          <w:p>
            <w:pPr>
              <w:jc w:val="left"/>
            </w:pPr>
            <w:r>
              <w:rPr>
                <w:b w:val="false"/>
                <w:bCs w:val="false"/>
              </w:rPr>
              <w:t xml:space="preserve">Scales with usage</w:t>
            </w:r>
          </w:p>
        </w:tc>
      </w:tr>
    </w:tbl>
    <w:p>
      <w:pPr>
        <w:spacing w:after="160"/>
      </w:pPr>
      <w:r>
        <w:t xml:space="preserve">Bottom line: V1 is close to free to build and run — the main cost is engineering time, not infrastructure. Meaningful costs only begin once persistence and billing are added, which is why the roadmap sequences those deliberately after V1 rather than including them in scope.</w:t>
      </w:r>
    </w:p>
    <w:p>
      <w:pPr>
        <w:pStyle w:val="Heading1"/>
        <w:spacing w:after="200" w:before="400"/>
      </w:pPr>
      <w:r>
        <w:t xml:space="preserve">15. Open Questions</w:t>
      </w:r>
    </w:p>
    <w:p>
      <w:pPr>
        <w:pStyle w:val="ListParagraph"/>
        <w:numPr>
          <w:ilvl w:val="0"/>
          <w:numId w:val="2"/>
        </w:numPr>
        <w:spacing w:after="80"/>
      </w:pPr>
      <w:r>
        <w:t xml:space="preserve">What is the actual per-request latency under realistic CSV sizes once training/SHAP logic is built? Needs measurement, not assumption.</w:t>
      </w:r>
    </w:p>
    <w:p>
      <w:pPr>
        <w:pStyle w:val="ListParagraph"/>
        <w:numPr>
          <w:ilvl w:val="0"/>
          <w:numId w:val="2"/>
        </w:numPr>
        <w:spacing w:after="80"/>
      </w:pPr>
      <w:r>
        <w:t xml:space="preserve">Does the current "no data stored" positioning in landing-copy.md hold true against the actual deployed backend behavior once the /forecast endpoint exists? Must be confirmed before the FAQ copy goes live.</w:t>
      </w:r>
    </w:p>
    <w:p>
      <w:pPr>
        <w:pStyle w:val="ListParagraph"/>
        <w:numPr>
          <w:ilvl w:val="0"/>
          <w:numId w:val="2"/>
        </w:numPr>
        <w:spacing w:after="80"/>
      </w:pPr>
      <w:r>
        <w:t xml:space="preserve">What rate-limiting approach will be used at the Cloud Run / API layer, and is it in place before public launch?</w:t>
      </w:r>
    </w:p>
    <w:p>
      <w:pPr>
        <w:pStyle w:val="ListParagraph"/>
        <w:numPr>
          <w:ilvl w:val="0"/>
          <w:numId w:val="2"/>
        </w:numPr>
        <w:spacing w:after="80"/>
      </w:pPr>
      <w:r>
        <w:t xml:space="preserve">What distribution channels beyond SEO (Product Hunt, Reddit, build-in-public) will be actively pursued, and on what timeline?</w:t>
      </w:r>
    </w:p>
    <w:p>
      <w:pPr>
        <w:pStyle w:val="ListParagraph"/>
        <w:numPr>
          <w:ilvl w:val="0"/>
          <w:numId w:val="2"/>
        </w:numPr>
        <w:spacing w:after="80"/>
      </w:pPr>
      <w:r>
        <w:t xml:space="preserve">At what usage threshold does the team decide to prioritize Phase 1 (billing) versus continuing to grow the free funnel?</w:t>
      </w:r>
    </w:p>
    <w:p>
      <w:pPr>
        <w:pStyle w:val="Heading1"/>
        <w:spacing w:after="200" w:before="400"/>
      </w:pPr>
      <w:r>
        <w:t xml:space="preserve">16. Appendix — Reference Documents</w:t>
      </w:r>
    </w:p>
    <w:p>
      <w:pPr>
        <w:pStyle w:val="ListParagraph"/>
        <w:numPr>
          <w:ilvl w:val="0"/>
          <w:numId w:val="2"/>
        </w:numPr>
        <w:spacing w:after="80"/>
      </w:pPr>
      <w:r>
        <w:t xml:space="preserve">design-doc.md — full engineering design doc, including phase-wise build prompts and architecture decisions this PRD summarizes.</w:t>
      </w:r>
    </w:p>
    <w:p>
      <w:pPr>
        <w:pStyle w:val="ListParagraph"/>
        <w:numPr>
          <w:ilvl w:val="0"/>
          <w:numId w:val="2"/>
        </w:numPr>
        <w:spacing w:after="80"/>
      </w:pPr>
      <w:r>
        <w:t xml:space="preserve">landing-copy.md — drafted, competitor-verified marketing copy for the landing page.</w:t>
      </w:r>
    </w:p>
    <w:p>
      <w:pPr>
        <w:pStyle w:val="ListParagraph"/>
        <w:numPr>
          <w:ilvl w:val="0"/>
          <w:numId w:val="2"/>
        </w:numPr>
        <w:spacing w:after="80"/>
      </w:pPr>
      <w:r>
        <w:t xml:space="preserve">DESIGN.md — visual design system tokens (color, typography, spacing, components).</w:t>
      </w:r>
    </w:p>
    <w:p>
      <w:pPr>
        <w:pStyle w:val="ListParagraph"/>
        <w:numPr>
          <w:ilvl w:val="0"/>
          <w:numId w:val="2"/>
        </w:numPr>
        <w:spacing w:after="80"/>
      </w:pPr>
      <w:r>
        <w:t xml:space="preserve">competitor-analysis-prompt.md — competitor research brief covering Forthcast.io.</w:t>
      </w:r>
    </w:p>
    <w:p>
      <w:pPr>
        <w:pStyle w:val="ListParagraph"/>
        <w:numPr>
          <w:ilvl w:val="0"/>
          <w:numId w:val="2"/>
        </w:numPr>
        <w:spacing w:after="80"/>
      </w:pPr>
      <w:r>
        <w:t xml:space="preserve">docs/app-dashboard-plan.md — implementation plan for the current /app page and backend scaffold, source of Section 6's status.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2937"/>
      <w:sz w:val="56"/>
      <w:szCs w:val="56"/>
    </w:rPr>
  </w:style>
  <w:style w:type="paragraph" w:styleId="Heading1">
    <w:name w:val="Heading 1"/>
    <w:basedOn w:val="Normal"/>
    <w:next w:val="Normal"/>
    <w:qFormat/>
    <w:pPr>
      <w:pBdr>
        <w:bottom w:val="single" w:color="0070F3" w:sz="6" w:space="4"/>
      </w:pBdr>
      <w:spacing w:after="180" w:before="360"/>
    </w:pPr>
    <w:rPr>
      <w:rFonts w:ascii="Calibri" w:cs="Calibri" w:eastAsia="Calibri" w:hAnsi="Calibri"/>
      <w:b/>
      <w:bCs/>
      <w:color w:val="1F2937"/>
      <w:sz w:val="30"/>
      <w:szCs w:val="30"/>
    </w:rPr>
  </w:style>
  <w:style w:type="paragraph" w:styleId="Heading2">
    <w:name w:val="Heading 2"/>
    <w:basedOn w:val="Normal"/>
    <w:next w:val="Normal"/>
    <w:qFormat/>
    <w:pPr>
      <w:spacing w:after="140" w:before="26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2026-07-19T05:57:18.992Z</dcterms:created>
  <dcterms:modified xsi:type="dcterms:W3CDTF">2026-07-19T05:57:18.992Z</dcterms:modified>
</cp:coreProperties>
</file>

<file path=docProps/custom.xml><?xml version="1.0" encoding="utf-8"?>
<Properties xmlns="http://schemas.openxmlformats.org/officeDocument/2006/custom-properties" xmlns:vt="http://schemas.openxmlformats.org/officeDocument/2006/docPropsVTypes"/>
</file>