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2765B" w14:textId="03316ADE" w:rsidR="00094081" w:rsidRDefault="00094081" w:rsidP="00180FCC">
      <w:pPr>
        <w:tabs>
          <w:tab w:val="left" w:pos="720"/>
        </w:tabs>
      </w:pPr>
      <w:r>
        <w:t>Introduction</w:t>
      </w:r>
    </w:p>
    <w:p w14:paraId="5E97C6D6" w14:textId="327B119F" w:rsidR="00094081" w:rsidRDefault="00094081" w:rsidP="00180FCC">
      <w:pPr>
        <w:tabs>
          <w:tab w:val="left" w:pos="720"/>
        </w:tabs>
      </w:pPr>
      <w:r>
        <w:tab/>
      </w:r>
      <w:r w:rsidR="005B1575">
        <w:t xml:space="preserve">Financial toxicity, defined as ***, is a newly-realized adverse event associated with cancer diagnosis and treatment. This toxicity can result in reduced adherence, … . A growing body of work has explored how to support cancer patients at risk of or experiencing this toxicity. [Need examples here] </w:t>
      </w:r>
    </w:p>
    <w:p w14:paraId="48A318B3" w14:textId="7FB3DEE6" w:rsidR="00180FCC" w:rsidRDefault="00094081" w:rsidP="00180FCC">
      <w:pPr>
        <w:tabs>
          <w:tab w:val="left" w:pos="720"/>
        </w:tabs>
      </w:pPr>
      <w:r>
        <w:tab/>
      </w:r>
      <w:r w:rsidR="005B1575">
        <w:t xml:space="preserve">The experience and perception of financial toxicity on the partner of a cancer patient </w:t>
      </w:r>
      <w:r w:rsidR="00A37A77">
        <w:t>has not been characterized. Given that partners may shoulder increased financial burden, due to loss of work, increased costs for care, or need to maintain health insurance coverage,</w:t>
      </w:r>
      <w:r w:rsidR="00180FCC">
        <w:t xml:space="preserve"> a deeper understanding of the caregiver experience is necessary. Here, we report a longitudinal study of patient and partner reported financial toxicity in the context of a communication-focused dyadic study.</w:t>
      </w:r>
    </w:p>
    <w:p w14:paraId="2E13D1DB" w14:textId="49667E8C" w:rsidR="00180FCC" w:rsidRDefault="00180FCC" w:rsidP="005B1575">
      <w:pPr>
        <w:tabs>
          <w:tab w:val="left" w:pos="3555"/>
        </w:tabs>
      </w:pPr>
    </w:p>
    <w:p w14:paraId="7C119F57" w14:textId="2B5EBE77" w:rsidR="00180FCC" w:rsidRDefault="00180FCC" w:rsidP="005B1575">
      <w:pPr>
        <w:tabs>
          <w:tab w:val="left" w:pos="3555"/>
        </w:tabs>
      </w:pPr>
      <w:r>
        <w:t>Methods</w:t>
      </w:r>
    </w:p>
    <w:p w14:paraId="7926DF13" w14:textId="03B48431" w:rsidR="00150BAE" w:rsidRDefault="00180FCC" w:rsidP="00180FCC">
      <w:pPr>
        <w:tabs>
          <w:tab w:val="left" w:pos="720"/>
        </w:tabs>
      </w:pPr>
      <w:r>
        <w:t xml:space="preserve">[insert section on design and </w:t>
      </w:r>
      <w:r w:rsidR="00094081">
        <w:t>participants</w:t>
      </w:r>
      <w:r>
        <w:t xml:space="preserve"> from protocol paper.]</w:t>
      </w:r>
    </w:p>
    <w:p w14:paraId="3F3FECB2" w14:textId="3C37DE64" w:rsidR="00150BAE" w:rsidRDefault="00150BAE" w:rsidP="00180FCC">
      <w:pPr>
        <w:tabs>
          <w:tab w:val="left" w:pos="720"/>
        </w:tabs>
      </w:pPr>
      <w:r>
        <w:t>Baseline Characteristics</w:t>
      </w:r>
    </w:p>
    <w:p w14:paraId="465B792C" w14:textId="5CE52466" w:rsidR="00150BAE" w:rsidRDefault="00150BAE" w:rsidP="00180FCC">
      <w:pPr>
        <w:tabs>
          <w:tab w:val="left" w:pos="720"/>
        </w:tabs>
      </w:pPr>
      <w:r>
        <w:tab/>
        <w:t xml:space="preserve">We collected baseline demographic information from each partner within each dyad. </w:t>
      </w:r>
      <w:r w:rsidR="00EA46EB">
        <w:t>Individual demographic measures included age, race, ethnicity, gender, education</w:t>
      </w:r>
      <w:r w:rsidR="00D51D92">
        <w:t>, and Charlson comorbidity scores</w:t>
      </w:r>
      <w:r w:rsidR="00EA46EB">
        <w:t xml:space="preserve">. Partner-level characteristics included </w:t>
      </w:r>
      <w:r w:rsidR="00D51D92">
        <w:t>household income and presence or absence of children under the age of 18. As cancer-specific information impacted both partners, this information was also considered as partner-level characteristics. When partners reported different characteristics for income or children, we used the lower of the two incomes, and assumed that there were children in the household.</w:t>
      </w:r>
    </w:p>
    <w:p w14:paraId="5DB244E7" w14:textId="37F27E52" w:rsidR="00D51D92" w:rsidRDefault="00D51D92" w:rsidP="00180FCC">
      <w:pPr>
        <w:tabs>
          <w:tab w:val="left" w:pos="720"/>
        </w:tabs>
      </w:pPr>
      <w:r>
        <w:t>Study Measures</w:t>
      </w:r>
      <w:r w:rsidR="00B15DA4">
        <w:t xml:space="preserve"> </w:t>
      </w:r>
    </w:p>
    <w:p w14:paraId="6F4351D3" w14:textId="73D9C466" w:rsidR="00B15DA4" w:rsidRDefault="00B15DA4" w:rsidP="00180FCC">
      <w:pPr>
        <w:tabs>
          <w:tab w:val="left" w:pos="720"/>
        </w:tabs>
      </w:pPr>
      <w:r>
        <w:tab/>
        <w:t xml:space="preserve">We collected data using multiple psychosocial measurements that have been previously validated in cancer and chronic disease states. [Insert section on each measurement] Surveys were administered at baseline and at follow-ups. </w:t>
      </w:r>
    </w:p>
    <w:p w14:paraId="04506642" w14:textId="6BBE7C79" w:rsidR="005157C5" w:rsidRDefault="005157C5" w:rsidP="00180FCC">
      <w:pPr>
        <w:tabs>
          <w:tab w:val="left" w:pos="720"/>
        </w:tabs>
      </w:pPr>
      <w:r>
        <w:t>Dyadic Concordance</w:t>
      </w:r>
    </w:p>
    <w:p w14:paraId="05BA1E81" w14:textId="66CF49A9" w:rsidR="005157C5" w:rsidRDefault="005157C5" w:rsidP="00180FCC">
      <w:pPr>
        <w:tabs>
          <w:tab w:val="left" w:pos="720"/>
        </w:tabs>
      </w:pPr>
      <w:r>
        <w:tab/>
        <w:t>We developed</w:t>
      </w:r>
      <w:r>
        <w:t xml:space="preserve"> based on HRQoL work [MERZ 2011], as the absolute difference between the patient and their partner’s COST score. Dyadic concordance increased as this measure approached zero.</w:t>
      </w:r>
      <w:r>
        <w:t xml:space="preserve"> The directional difference was also calculated, to explore which dyads experienced higher patient-level financial concerns, and which dyads experienced higher caregiver-level financial concerns.</w:t>
      </w:r>
      <w:r w:rsidR="00B43374">
        <w:t xml:space="preserve"> Dyadic concordance was calculated for each survey measure administered.</w:t>
      </w:r>
    </w:p>
    <w:p w14:paraId="6CBDAB8D" w14:textId="57B3AC5D" w:rsidR="00180FCC" w:rsidRDefault="00094081" w:rsidP="00180FCC">
      <w:pPr>
        <w:tabs>
          <w:tab w:val="left" w:pos="720"/>
        </w:tabs>
      </w:pPr>
      <w:r>
        <w:t xml:space="preserve">Primary </w:t>
      </w:r>
      <w:r w:rsidR="00D51D92">
        <w:t>A</w:t>
      </w:r>
      <w:r>
        <w:t>nalysis</w:t>
      </w:r>
      <w:r w:rsidR="00180FCC">
        <w:t xml:space="preserve"> </w:t>
      </w:r>
    </w:p>
    <w:p w14:paraId="12A901C8" w14:textId="55E50862" w:rsidR="00094081" w:rsidRDefault="00094081" w:rsidP="00180FCC">
      <w:pPr>
        <w:tabs>
          <w:tab w:val="left" w:pos="720"/>
        </w:tabs>
      </w:pPr>
      <w:r>
        <w:tab/>
        <w:t>The primary analysis in this project explored dyad-level concordance in financial toxicity</w:t>
      </w:r>
      <w:r w:rsidR="00B52E05">
        <w:t>.</w:t>
      </w:r>
      <w:r w:rsidR="008F0B15">
        <w:t xml:space="preserve"> </w:t>
      </w:r>
      <w:r w:rsidR="00717EE3">
        <w:t>We calculated Pearson correlation coefficients for COST measures between partners at each timepoint. We calculated the impact of baseline characteristics on COST concordance</w:t>
      </w:r>
      <w:r w:rsidR="008866C7">
        <w:t xml:space="preserve"> in a multivariate linear regression model</w:t>
      </w:r>
      <w:r w:rsidR="004677F0">
        <w:t>.</w:t>
      </w:r>
      <w:r w:rsidR="00D47BD4">
        <w:t xml:space="preserve"> </w:t>
      </w:r>
      <w:r w:rsidR="008866C7">
        <w:t>Given participants could enter the study at any time after their diagnosis, time from diagnosis to study enrollment was included as a covariate to account for the time patients and their partners were able to process and experience financial toxicity.</w:t>
      </w:r>
      <w:r w:rsidR="00150BAE">
        <w:t xml:space="preserve"> </w:t>
      </w:r>
    </w:p>
    <w:p w14:paraId="037A3D6C" w14:textId="12EC7E4C" w:rsidR="00B52E05" w:rsidRDefault="00B52E05" w:rsidP="00180FCC">
      <w:pPr>
        <w:tabs>
          <w:tab w:val="left" w:pos="720"/>
        </w:tabs>
      </w:pPr>
      <w:r>
        <w:lastRenderedPageBreak/>
        <w:t>Secondary Analysis</w:t>
      </w:r>
    </w:p>
    <w:p w14:paraId="15B5F298" w14:textId="0251C325" w:rsidR="00B52E05" w:rsidRDefault="00B52E05" w:rsidP="00180FCC">
      <w:pPr>
        <w:tabs>
          <w:tab w:val="left" w:pos="720"/>
        </w:tabs>
      </w:pPr>
      <w:r>
        <w:tab/>
      </w:r>
      <w:r w:rsidR="004677F0">
        <w:t>We explored the</w:t>
      </w:r>
      <w:r>
        <w:t xml:space="preserve"> relationship between </w:t>
      </w:r>
      <w:r w:rsidR="004677F0">
        <w:t>dyadic COST concordance and dyadic concordance for other measures of psychosocial functioning. We calculated concordance scores for CESD, IES, FACT, and POMS in each dyadic group.</w:t>
      </w:r>
      <w:r w:rsidR="00150BAE">
        <w:t xml:space="preserve"> We calculated Pearson correlation scores between COST and each of the psychosocial measures.</w:t>
      </w:r>
    </w:p>
    <w:p w14:paraId="0FFEC82E" w14:textId="3B44A5A6" w:rsidR="00717EE3" w:rsidRDefault="00717EE3" w:rsidP="00180FCC">
      <w:pPr>
        <w:tabs>
          <w:tab w:val="left" w:pos="720"/>
        </w:tabs>
      </w:pPr>
      <w:r>
        <w:t>Results</w:t>
      </w:r>
    </w:p>
    <w:p w14:paraId="5393B290" w14:textId="685D8DC3" w:rsidR="00717EE3" w:rsidRDefault="00717EE3" w:rsidP="00180FCC">
      <w:pPr>
        <w:tabs>
          <w:tab w:val="left" w:pos="720"/>
        </w:tabs>
      </w:pPr>
      <w:r>
        <w:t>Participant Characteristics</w:t>
      </w:r>
    </w:p>
    <w:p w14:paraId="0E1875FA" w14:textId="1947C42D" w:rsidR="00717EE3" w:rsidRDefault="00717EE3" w:rsidP="00180FCC">
      <w:pPr>
        <w:tabs>
          <w:tab w:val="left" w:pos="720"/>
        </w:tabs>
      </w:pPr>
      <w:r>
        <w:tab/>
        <w:t>[Insert baseline characteristics]</w:t>
      </w:r>
    </w:p>
    <w:p w14:paraId="6814630E" w14:textId="5052A889" w:rsidR="00717EE3" w:rsidRDefault="00717EE3" w:rsidP="00180FCC">
      <w:pPr>
        <w:tabs>
          <w:tab w:val="left" w:pos="720"/>
        </w:tabs>
      </w:pPr>
      <w:r>
        <w:t>Survey Measures</w:t>
      </w:r>
    </w:p>
    <w:p w14:paraId="42945A22" w14:textId="46C99063" w:rsidR="00717EE3" w:rsidRDefault="00717EE3" w:rsidP="00180FCC">
      <w:pPr>
        <w:tabs>
          <w:tab w:val="left" w:pos="720"/>
        </w:tabs>
      </w:pPr>
      <w:r>
        <w:tab/>
        <w:t>[Insert descriptive Survey Findings]</w:t>
      </w:r>
    </w:p>
    <w:p w14:paraId="3DB4F52A" w14:textId="3C85BBE8" w:rsidR="00717EE3" w:rsidRDefault="00717EE3" w:rsidP="00180FCC">
      <w:pPr>
        <w:tabs>
          <w:tab w:val="left" w:pos="720"/>
        </w:tabs>
      </w:pPr>
      <w:r>
        <w:t>Dyadic Concordance</w:t>
      </w:r>
      <w:r w:rsidR="0041035A">
        <w:t xml:space="preserve"> in COST</w:t>
      </w:r>
    </w:p>
    <w:p w14:paraId="45D8DE11" w14:textId="2202F651" w:rsidR="00717EE3" w:rsidRDefault="00717EE3" w:rsidP="00180FCC">
      <w:pPr>
        <w:tabs>
          <w:tab w:val="left" w:pos="720"/>
        </w:tabs>
      </w:pPr>
      <w:r>
        <w:tab/>
        <w:t>[Section on</w:t>
      </w:r>
      <w:r w:rsidR="0041035A">
        <w:t xml:space="preserve"> dyadic concordance, descriptive and pearson]</w:t>
      </w:r>
    </w:p>
    <w:p w14:paraId="2190857D" w14:textId="13EF994C" w:rsidR="00717EE3" w:rsidRDefault="0041035A" w:rsidP="00180FCC">
      <w:pPr>
        <w:tabs>
          <w:tab w:val="left" w:pos="720"/>
        </w:tabs>
      </w:pPr>
      <w:r>
        <w:tab/>
        <w:t>[Section on predictors of dyadic concordance/discordance]</w:t>
      </w:r>
    </w:p>
    <w:p w14:paraId="69D8A770" w14:textId="70C4F7C9" w:rsidR="0041035A" w:rsidRDefault="0041035A" w:rsidP="00180FCC">
      <w:pPr>
        <w:tabs>
          <w:tab w:val="left" w:pos="720"/>
        </w:tabs>
      </w:pPr>
      <w:r>
        <w:t>Relationship between COST concordance and other HRQoL measures</w:t>
      </w:r>
    </w:p>
    <w:p w14:paraId="4F62D80C" w14:textId="452235BD" w:rsidR="0041035A" w:rsidRDefault="0041035A" w:rsidP="00180FCC">
      <w:pPr>
        <w:tabs>
          <w:tab w:val="left" w:pos="720"/>
        </w:tabs>
      </w:pPr>
      <w:r>
        <w:tab/>
        <w:t>[Section on concordance]</w:t>
      </w:r>
    </w:p>
    <w:p w14:paraId="4C7466D5" w14:textId="2899C4AF" w:rsidR="0041035A" w:rsidRDefault="0041035A" w:rsidP="00180FCC">
      <w:pPr>
        <w:tabs>
          <w:tab w:val="left" w:pos="720"/>
        </w:tabs>
      </w:pPr>
    </w:p>
    <w:p w14:paraId="2E1B361B" w14:textId="7837EE65" w:rsidR="0041035A" w:rsidRPr="005B1575" w:rsidRDefault="0041035A" w:rsidP="00180FCC">
      <w:pPr>
        <w:tabs>
          <w:tab w:val="left" w:pos="720"/>
        </w:tabs>
      </w:pPr>
      <w:r>
        <w:t>Discussion</w:t>
      </w:r>
    </w:p>
    <w:sectPr w:rsidR="0041035A" w:rsidRPr="005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75"/>
    <w:rsid w:val="00094081"/>
    <w:rsid w:val="00150BAE"/>
    <w:rsid w:val="00180FCC"/>
    <w:rsid w:val="003B6788"/>
    <w:rsid w:val="003D2953"/>
    <w:rsid w:val="0041035A"/>
    <w:rsid w:val="004677F0"/>
    <w:rsid w:val="005157C5"/>
    <w:rsid w:val="005B1575"/>
    <w:rsid w:val="00717EE3"/>
    <w:rsid w:val="008866C7"/>
    <w:rsid w:val="008F0B15"/>
    <w:rsid w:val="00A37A77"/>
    <w:rsid w:val="00B15DA4"/>
    <w:rsid w:val="00B43374"/>
    <w:rsid w:val="00B52E05"/>
    <w:rsid w:val="00B94360"/>
    <w:rsid w:val="00C17216"/>
    <w:rsid w:val="00D47BD4"/>
    <w:rsid w:val="00D51D92"/>
    <w:rsid w:val="00E03FFE"/>
    <w:rsid w:val="00E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25D1"/>
  <w15:chartTrackingRefBased/>
  <w15:docId w15:val="{BFAD08D5-A46A-488F-95CC-FA130556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Rivers</dc:creator>
  <cp:keywords/>
  <dc:description/>
  <cp:lastModifiedBy>Zach Rivers</cp:lastModifiedBy>
  <cp:revision>2</cp:revision>
  <dcterms:created xsi:type="dcterms:W3CDTF">2022-01-11T15:34:00Z</dcterms:created>
  <dcterms:modified xsi:type="dcterms:W3CDTF">2022-01-14T19:03:00Z</dcterms:modified>
</cp:coreProperties>
</file>