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6B3A"/>
          <w:sz w:val="36"/>
          <w:szCs w:val="36"/>
        </w:rPr>
        <w:t xml:space="preserve">Plan de pruebas ágil e informe</w:t>
      </w:r>
    </w:p>
    <w:p>
      <w:pPr>
        <w:spacing w:after="60"/>
        <w:jc w:val="center"/>
      </w:pPr>
      <w:r>
        <w:rPr>
          <w:rFonts w:ascii="Arial" w:cs="Arial" w:eastAsia="Arial" w:hAnsi="Arial"/>
          <w:sz w:val="24"/>
          <w:szCs w:val="24"/>
        </w:rPr>
        <w:t xml:space="preserve">Caso Mercado Sabanero · Pruebas unitarias y TDD</w:t>
      </w:r>
    </w:p>
    <w:p>
      <w:pPr>
        <w:spacing w:after="200"/>
        <w:jc w:val="center"/>
      </w:pPr>
      <w:r>
        <w:rPr>
          <w:rFonts w:ascii="Arial" w:cs="Arial" w:eastAsia="Arial" w:hAnsi="Arial"/>
          <w:color w:val="595959"/>
          <w:sz w:val="19"/>
          <w:szCs w:val="19"/>
        </w:rPr>
        <w:t xml:space="preserve">Electiva Profesional en Ingeniería de Software · CECAR · Docente: Laudyt María Lambraño Pérez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Dato</w:t>
            </w:r>
          </w:p>
        </w:tc>
        <w:tc>
          <w:tcPr>
            <w:tcW w:type="dxa" w:w="676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Valor (completar)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Equipo / integrantes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[Nombre 1], [Nombre 2], [Nombre 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Repositorio Git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[URL del repositorio en GitHub]</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Fecha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24 de octubre de 2026</w:t>
            </w:r>
          </w:p>
        </w:tc>
      </w:tr>
    </w:tbl>
    <w:p>
      <w:pPr>
        <w:pStyle w:val="Heading1"/>
        <w:spacing w:after="120" w:before="240"/>
      </w:pPr>
      <w:r>
        <w:rPr>
          <w:rFonts w:ascii="Arial" w:cs="Arial" w:eastAsia="Arial" w:hAnsi="Arial"/>
          <w:b/>
          <w:bCs/>
          <w:color w:val="1F6B3A"/>
          <w:sz w:val="28"/>
          <w:szCs w:val="28"/>
        </w:rPr>
        <w:t xml:space="preserve">PARTE 1. Plan de pruebas ágil</w:t>
      </w:r>
    </w:p>
    <w:p>
      <w:pPr>
        <w:pStyle w:val="Heading2"/>
        <w:spacing w:after="80" w:before="160"/>
      </w:pPr>
      <w:r>
        <w:rPr>
          <w:rFonts w:ascii="Arial" w:cs="Arial" w:eastAsia="Arial" w:hAnsi="Arial"/>
          <w:b/>
          <w:bCs/>
          <w:sz w:val="23"/>
          <w:szCs w:val="23"/>
        </w:rPr>
        <w:t xml:space="preserve">1. Alcance</w:t>
      </w:r>
    </w:p>
    <w:p>
      <w:pPr>
        <w:spacing w:after="100"/>
      </w:pPr>
      <w:r>
        <w:rPr>
          <w:rFonts w:ascii="Arial" w:cs="Arial" w:eastAsia="Arial" w:hAnsi="Arial"/>
          <w:sz w:val="21"/>
          <w:szCs w:val="21"/>
        </w:rPr>
        <w:t xml:space="preserve">Se prueba la lógica de negocio que liquida una compra en Mercado Sabanero: carrito (HU-01), IVA (HU-02), descuento por volumen (HU-03), cupones (HU-04), envío y total (HU-05) y puntos (HU-06). Quedan fuera la interfaz gráfica, la base de datos y el servicio real de inventario, que se reemplaza por un doble de prueba (mock). Los valores son pesos enteros con redondeo al peso más cercano.</w:t>
      </w:r>
    </w:p>
    <w:p>
      <w:pPr>
        <w:pStyle w:val="Heading2"/>
        <w:spacing w:after="80" w:before="160"/>
      </w:pPr>
      <w:r>
        <w:rPr>
          <w:rFonts w:ascii="Arial" w:cs="Arial" w:eastAsia="Arial" w:hAnsi="Arial"/>
          <w:b/>
          <w:bCs/>
          <w:sz w:val="23"/>
          <w:szCs w:val="23"/>
        </w:rPr>
        <w:t xml:space="preserve">2. Estrategia</w:t>
      </w:r>
    </w:p>
    <w:p>
      <w:pPr>
        <w:pStyle w:val="ListParagraph"/>
        <w:numPr>
          <w:ilvl w:val="0"/>
          <w:numId w:val="2"/>
        </w:numPr>
        <w:spacing w:after="60"/>
      </w:pPr>
      <w:r>
        <w:rPr>
          <w:rFonts w:ascii="Arial" w:cs="Arial" w:eastAsia="Arial" w:hAnsi="Arial"/>
          <w:sz w:val="21"/>
          <w:szCs w:val="21"/>
        </w:rPr>
        <w:t xml:space="preserve">TDD: cada criterio de aceptación empieza con una prueba en rojo, luego el código mínimo (verde) y un refactor.</w:t>
      </w:r>
    </w:p>
    <w:p>
      <w:pPr>
        <w:pStyle w:val="ListParagraph"/>
        <w:numPr>
          <w:ilvl w:val="0"/>
          <w:numId w:val="2"/>
        </w:numPr>
        <w:spacing w:after="60"/>
      </w:pPr>
      <w:r>
        <w:rPr>
          <w:rFonts w:ascii="Arial" w:cs="Arial" w:eastAsia="Arial" w:hAnsi="Arial"/>
          <w:sz w:val="21"/>
          <w:szCs w:val="21"/>
        </w:rPr>
        <w:t xml:space="preserve">Cada criterio Dado-Cuando-Entonces se traduce en al menos un caso de la matriz y una prueba automatizada.</w:t>
      </w:r>
    </w:p>
    <w:p>
      <w:pPr>
        <w:pStyle w:val="ListParagraph"/>
        <w:numPr>
          <w:ilvl w:val="0"/>
          <w:numId w:val="2"/>
        </w:numPr>
        <w:spacing w:after="60"/>
      </w:pPr>
      <w:r>
        <w:rPr>
          <w:rFonts w:ascii="Arial" w:cs="Arial" w:eastAsia="Arial" w:hAnsi="Arial"/>
          <w:sz w:val="21"/>
          <w:szCs w:val="21"/>
        </w:rPr>
        <w:t xml:space="preserve">Se priorizan valores límite: 0, 1, 50 y 51 unidades; $199.999, $200.000, $499.999 y $500.000; $149.999 y $150.000; $49.999 y $50.000; 999 y 1.000 pesos para puntos.</w:t>
      </w:r>
    </w:p>
    <w:p>
      <w:pPr>
        <w:pStyle w:val="ListParagraph"/>
        <w:numPr>
          <w:ilvl w:val="0"/>
          <w:numId w:val="2"/>
        </w:numPr>
        <w:spacing w:after="60"/>
      </w:pPr>
      <w:r>
        <w:rPr>
          <w:rFonts w:ascii="Arial" w:cs="Arial" w:eastAsia="Arial" w:hAnsi="Arial"/>
          <w:sz w:val="21"/>
          <w:szCs w:val="21"/>
        </w:rPr>
        <w:t xml:space="preserve">Pruebas pequeñas, rápidas e independientes, con patrón AAA (preparar, ejecutar, verificar) y nombres que describen el comportamiento.</w:t>
      </w:r>
    </w:p>
    <w:p>
      <w:pPr>
        <w:pStyle w:val="ListParagraph"/>
        <w:numPr>
          <w:ilvl w:val="0"/>
          <w:numId w:val="2"/>
        </w:numPr>
        <w:spacing w:after="60"/>
      </w:pPr>
      <w:r>
        <w:rPr>
          <w:rFonts w:ascii="Arial" w:cs="Arial" w:eastAsia="Arial" w:hAnsi="Arial"/>
          <w:sz w:val="21"/>
          <w:szCs w:val="21"/>
        </w:rPr>
        <w:t xml:space="preserve">Integración continua local: se ejecutan todas las pruebas antes de cada commit.</w:t>
      </w:r>
    </w:p>
    <w:p>
      <w:pPr>
        <w:pStyle w:val="Heading2"/>
        <w:spacing w:after="80" w:before="160"/>
      </w:pPr>
      <w:r>
        <w:rPr>
          <w:rFonts w:ascii="Arial" w:cs="Arial" w:eastAsia="Arial" w:hAnsi="Arial"/>
          <w:b/>
          <w:bCs/>
          <w:sz w:val="23"/>
          <w:szCs w:val="23"/>
        </w:rPr>
        <w:t xml:space="preserve">3. Tipos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Tipo</w:t>
            </w:r>
          </w:p>
        </w:tc>
        <w:tc>
          <w:tcPr>
            <w:tcW w:type="dxa" w:w="706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Aplicación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Unitarias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Cada regla de negocio de forma aislada (funciones puras de descuento, envío y puntos; clase Carrito).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Parametrizadas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Valores límite de cantidad, descuentos, tarifas de IVA, envío y puntos.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Negativas / de error</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Cantidad inválida, stock insuficiente, cupón inválido o vencido, tarifa de IVA inválida, carrito vacío.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Con dobles de prueba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Mock del inventario: se verifica que se consulta con el SKU correcto y que no se consulta con cantidades inválidas.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 escenario completo</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Ejemplo del enunciado (licuadora, cafés y arroces) con total $250.515 y 250 puntos.</w:t>
            </w:r>
          </w:p>
        </w:tc>
      </w:tr>
    </w:tbl>
    <w:p>
      <w:pPr>
        <w:pStyle w:val="Heading2"/>
        <w:spacing w:after="80" w:before="160"/>
      </w:pPr>
      <w:r>
        <w:rPr>
          <w:rFonts w:ascii="Arial" w:cs="Arial" w:eastAsia="Arial" w:hAnsi="Arial"/>
          <w:b/>
          <w:bCs/>
          <w:sz w:val="23"/>
          <w:szCs w:val="23"/>
        </w:rPr>
        <w:t xml:space="preserve">4.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Necesidad</w:t>
            </w:r>
          </w:p>
        </w:tc>
        <w:tc>
          <w:tcPr>
            <w:tcW w:type="dxa" w:w="706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Herramienta</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Lenguaje</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Python 3.12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Pruebas unitarias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pytest (con parametrize)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Dobles de prueba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unittest.mock (Mock)</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Cobertura</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pytest-cov / coverage.py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Control de versiones</w:t>
            </w:r>
          </w:p>
        </w:tc>
        <w:tc>
          <w:tcPr>
            <w:tcW w:type="dxa" w:w="7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Git y GitHub (docente como colaboradora)</w:t>
            </w:r>
          </w:p>
        </w:tc>
      </w:tr>
    </w:tbl>
    <w:p>
      <w:pPr>
        <w:pStyle w:val="Heading2"/>
        <w:spacing w:after="80" w:before="160"/>
      </w:pPr>
      <w:r>
        <w:rPr>
          <w:rFonts w:ascii="Arial" w:cs="Arial" w:eastAsia="Arial" w:hAnsi="Arial"/>
          <w:b/>
          <w:bCs/>
          <w:sz w:val="23"/>
          <w:szCs w:val="23"/>
        </w:rPr>
        <w:t xml:space="preserve">5. Criterio de éxito</w:t>
      </w:r>
    </w:p>
    <w:p>
      <w:pPr>
        <w:pStyle w:val="ListParagraph"/>
        <w:numPr>
          <w:ilvl w:val="0"/>
          <w:numId w:val="2"/>
        </w:numPr>
        <w:spacing w:after="60"/>
      </w:pPr>
      <w:r>
        <w:rPr>
          <w:rFonts w:ascii="Arial" w:cs="Arial" w:eastAsia="Arial" w:hAnsi="Arial"/>
          <w:sz w:val="21"/>
          <w:szCs w:val="21"/>
        </w:rPr>
        <w:t xml:space="preserve">Mínimo 20 pruebas, todas pasando (incluido el ejemplo del enunciado).</w:t>
      </w:r>
    </w:p>
    <w:p>
      <w:pPr>
        <w:pStyle w:val="ListParagraph"/>
        <w:numPr>
          <w:ilvl w:val="0"/>
          <w:numId w:val="2"/>
        </w:numPr>
        <w:spacing w:after="60"/>
      </w:pPr>
      <w:r>
        <w:rPr>
          <w:rFonts w:ascii="Arial" w:cs="Arial" w:eastAsia="Arial" w:hAnsi="Arial"/>
          <w:sz w:val="21"/>
          <w:szCs w:val="21"/>
        </w:rPr>
        <w:t xml:space="preserve">Cobertura de líneas de al menos 80 % en la lógica de negocio.</w:t>
      </w:r>
    </w:p>
    <w:p>
      <w:pPr>
        <w:pStyle w:val="ListParagraph"/>
        <w:numPr>
          <w:ilvl w:val="0"/>
          <w:numId w:val="2"/>
        </w:numPr>
        <w:spacing w:after="60"/>
      </w:pPr>
      <w:r>
        <w:rPr>
          <w:rFonts w:ascii="Arial" w:cs="Arial" w:eastAsia="Arial" w:hAnsi="Arial"/>
          <w:sz w:val="21"/>
          <w:szCs w:val="21"/>
        </w:rPr>
        <w:t xml:space="preserve">Cada criterio de aceptación cubierto por al menos una prueba (ver hoja Trazabilidad CA en la matriz).</w:t>
      </w:r>
    </w:p>
    <w:p>
      <w:pPr>
        <w:pStyle w:val="ListParagraph"/>
        <w:numPr>
          <w:ilvl w:val="0"/>
          <w:numId w:val="2"/>
        </w:numPr>
        <w:spacing w:after="60"/>
      </w:pPr>
      <w:r>
        <w:rPr>
          <w:rFonts w:ascii="Arial" w:cs="Arial" w:eastAsia="Arial" w:hAnsi="Arial"/>
          <w:sz w:val="21"/>
          <w:szCs w:val="21"/>
        </w:rPr>
        <w:t xml:space="preserve">Historial de Git con commits test, feat y refactor en todas las historias, y revisión entre pares.</w:t>
      </w:r>
    </w:p>
    <w:p>
      <w:pPr>
        <w:pStyle w:val="Heading2"/>
        <w:spacing w:after="80" w:before="160"/>
      </w:pPr>
      <w:r>
        <w:rPr>
          <w:rFonts w:ascii="Arial" w:cs="Arial" w:eastAsia="Arial" w:hAnsi="Arial"/>
          <w:b/>
          <w:bCs/>
          <w:sz w:val="23"/>
          <w:szCs w:val="23"/>
        </w:rPr>
        <w:t xml:space="preserve">6.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Riesgo</w:t>
            </w:r>
          </w:p>
        </w:tc>
        <w:tc>
          <w:tcPr>
            <w:tcW w:type="dxa" w:w="536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Mitigación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Errores de redondeo (el round() de Python redondea 0,5 hacia el par)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Aritmética entera con función propia de redondeo y prueba específica (52,5 → 53).</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Ambigüedad en el enunciado (umbral de envío gratis, mínimo del cupón, stock acumulado)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Registrar la decisión como defecto de tipo requisito, documentarla en el README y confirmarla con la docente.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Dependencia del servicio de inventario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Mock del inventario; el contrato queda definido en el protocolo Inventario.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Un integrante sin commits propios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Reparto de historias desde el inicio y revisión de commits por autor.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Pruebas que dependen de la fecha actual</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La fecha se inyecta en liquidar(hoy=...).</w:t>
            </w:r>
          </w:p>
        </w:tc>
      </w:tr>
    </w:tbl>
    <w:p>
      <w:pPr>
        <w:pStyle w:val="Heading2"/>
        <w:spacing w:after="80" w:before="160"/>
      </w:pPr>
      <w:r>
        <w:rPr>
          <w:rFonts w:ascii="Arial" w:cs="Arial" w:eastAsia="Arial" w:hAnsi="Arial"/>
          <w:b/>
          <w:bCs/>
          <w:sz w:val="23"/>
          <w:szCs w:val="23"/>
        </w:rPr>
        <w:t xml:space="preserve">7. Matriz de casos</w:t>
      </w:r>
    </w:p>
    <w:p>
      <w:pPr>
        <w:spacing w:after="100"/>
      </w:pPr>
      <w:r>
        <w:rPr>
          <w:rFonts w:ascii="Arial" w:cs="Arial" w:eastAsia="Arial" w:hAnsi="Arial"/>
          <w:sz w:val="21"/>
          <w:szCs w:val="21"/>
        </w:rPr>
        <w:t xml:space="preserve">La matriz con 50 casos (ID, historia, criterio, descripción, datos de entrada, resultado esperado, prueba y estado) está en el archivo Matriz_de_casos_y_defectos.xlsx, junto con la trazabilidad por criterio de aceptación y el registro de defectos.</w:t>
      </w:r>
    </w:p>
    <w:p>
      <w:pPr>
        <w:pStyle w:val="Heading1"/>
        <w:pageBreakBefore/>
        <w:spacing w:after="120"/>
      </w:pPr>
      <w:r>
        <w:rPr>
          <w:rFonts w:ascii="Arial" w:cs="Arial" w:eastAsia="Arial" w:hAnsi="Arial"/>
          <w:b/>
          <w:bCs/>
          <w:color w:val="1F6B3A"/>
          <w:sz w:val="28"/>
          <w:szCs w:val="28"/>
        </w:rPr>
        <w:t xml:space="preserve">PARTE 2. Informe breve</w:t>
      </w:r>
    </w:p>
    <w:p>
      <w:pPr>
        <w:pStyle w:val="Heading2"/>
        <w:spacing w:after="80" w:before="160"/>
      </w:pPr>
      <w:r>
        <w:rPr>
          <w:rFonts w:ascii="Arial" w:cs="Arial" w:eastAsia="Arial" w:hAnsi="Arial"/>
          <w:b/>
          <w:bCs/>
          <w:sz w:val="23"/>
          <w:szCs w:val="23"/>
        </w:rPr>
        <w:t xml:space="preserve">1. Herramientas elegidas y por qué</w:t>
      </w:r>
    </w:p>
    <w:p>
      <w:pPr>
        <w:spacing w:after="100"/>
      </w:pPr>
      <w:r>
        <w:rPr>
          <w:rFonts w:ascii="Arial" w:cs="Arial" w:eastAsia="Arial" w:hAnsi="Arial"/>
          <w:sz w:val="21"/>
          <w:szCs w:val="21"/>
        </w:rPr>
        <w:t xml:space="preserve">Elegimos Python con pytest porque su sintaxis es corta y permite concentrarse en las reglas de negocio. pytest.mark.parametrize facilita las pruebas con varios conjuntos de datos para valores límite, pytest.raises verifica los errores, unittest.mock ofrece el doble del inventario sin instalar nada adicional y pytest-cov genera el reporte de cobertura con un solo comando. Git y GitHub dan la evidencia del ciclo TDD.</w:t>
      </w:r>
    </w:p>
    <w:p>
      <w:pPr>
        <w:pStyle w:val="Heading2"/>
        <w:spacing w:after="80" w:before="160"/>
      </w:pPr>
      <w:r>
        <w:rPr>
          <w:rFonts w:ascii="Arial" w:cs="Arial" w:eastAsia="Arial" w:hAnsi="Arial"/>
          <w:b/>
          <w:bCs/>
          <w:sz w:val="23"/>
          <w:szCs w:val="23"/>
        </w:rPr>
        <w:t xml:space="preserve">2.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Indicador</w:t>
            </w:r>
          </w:p>
        </w:tc>
        <w:tc>
          <w:tcPr>
            <w:tcW w:type="dxa" w:w="4680"/>
            <w:tcBorders>
              <w:top w:val="single" w:color="BFBFBF" w:sz="4"/>
              <w:left w:val="single" w:color="BFBFBF" w:sz="4"/>
              <w:bottom w:val="single" w:color="BFBFBF" w:sz="4"/>
              <w:right w:val="single" w:color="BFBFBF" w:sz="4"/>
            </w:tcBorders>
            <w:shd w:fill="1F6B3A" w:color="auto" w:val="clear"/>
            <w:tcMar>
              <w:top w:type="dxa" w:w="60"/>
              <w:left w:type="dxa" w:w="100"/>
              <w:bottom w:type="dxa" w:w="60"/>
              <w:right w:type="dxa" w:w="100"/>
            </w:tcMar>
          </w:tcPr>
          <w:p>
            <w:r>
              <w:rPr>
                <w:rFonts w:ascii="Arial" w:cs="Arial" w:eastAsia="Arial" w:hAnsi="Arial"/>
                <w:b/>
                <w:bCs/>
                <w:color w:val="FFFFFF"/>
                <w:sz w:val="19"/>
                <w:szCs w:val="19"/>
              </w:rPr>
              <w:t xml:space="preserve">Resultado</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Casos de prueba planificados (matriz)</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Funciones de prueba escritas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39</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Pruebas ejecutadas (con parametrización)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70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Exitosas / fallidas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70 / 0</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Cobertura de líneas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100 % (147 de 147 sentencias)</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Funciones parametrizadas / de error / con mock del inventario</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10 / 10 / 5</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Defectos registrados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 (todos cerrados)</w:t>
            </w:r>
          </w:p>
        </w:tc>
      </w:tr>
    </w:tbl>
    <w:p>
      <w:pPr>
        <w:spacing w:after="80"/>
      </w:pPr>
    </w:p>
    <w:p>
      <w:pPr>
        <w:spacing w:after="100"/>
      </w:pPr>
      <w:r>
        <w:rPr>
          <w:rFonts w:ascii="Arial" w:cs="Arial" w:eastAsia="Arial" w:hAnsi="Arial"/>
          <w:sz w:val="21"/>
          <w:szCs w:val="21"/>
        </w:rPr>
        <w:t xml:space="preserve">El ejemplo del enunciado produce subtotal $228.000, descuento $11.400, IVA $33.915, envío $0, total $250.515 y 250 puntos, tal como se esperaba.</w:t>
      </w:r>
    </w:p>
    <w:p>
      <w:pPr>
        <w:pStyle w:val="Heading2"/>
        <w:spacing w:after="80" w:before="160"/>
      </w:pPr>
      <w:r>
        <w:rPr>
          <w:rFonts w:ascii="Arial" w:cs="Arial" w:eastAsia="Arial" w:hAnsi="Arial"/>
          <w:b/>
          <w:bCs/>
          <w:sz w:val="23"/>
          <w:szCs w:val="23"/>
        </w:rPr>
        <w:t xml:space="preserve">3. Dificultades</w:t>
      </w:r>
    </w:p>
    <w:p>
      <w:pPr>
        <w:pStyle w:val="ListParagraph"/>
        <w:numPr>
          <w:ilvl w:val="0"/>
          <w:numId w:val="2"/>
        </w:numPr>
        <w:spacing w:after="60"/>
      </w:pPr>
      <w:r>
        <w:rPr>
          <w:rFonts w:ascii="Arial" w:cs="Arial" w:eastAsia="Arial" w:hAnsi="Arial"/>
          <w:sz w:val="21"/>
          <w:szCs w:val="21"/>
        </w:rPr>
        <w:t xml:space="preserve">Definir cómo se calcula el IVA sobre el valor con descuento: se reparte el mismo porcentaje a cada producto y se redondea el IVA por producto.</w:t>
      </w:r>
    </w:p>
    <w:p>
      <w:pPr>
        <w:pStyle w:val="ListParagraph"/>
        <w:numPr>
          <w:ilvl w:val="0"/>
          <w:numId w:val="2"/>
        </w:numPr>
        <w:spacing w:after="60"/>
      </w:pPr>
      <w:r>
        <w:rPr>
          <w:rFonts w:ascii="Arial" w:cs="Arial" w:eastAsia="Arial" w:hAnsi="Arial"/>
          <w:sz w:val="21"/>
          <w:szCs w:val="21"/>
        </w:rPr>
        <w:t xml:space="preserve">Ambigüedades del enunciado: umbral de envío gratis, cupón bajo el mínimo y stock acumulado (DEF-03 a DEF-05).</w:t>
      </w:r>
    </w:p>
    <w:p>
      <w:pPr>
        <w:pStyle w:val="ListParagraph"/>
        <w:numPr>
          <w:ilvl w:val="0"/>
          <w:numId w:val="2"/>
        </w:numPr>
        <w:spacing w:after="60"/>
      </w:pPr>
      <w:r>
        <w:rPr>
          <w:rFonts w:ascii="Arial" w:cs="Arial" w:eastAsia="Arial" w:hAnsi="Arial"/>
          <w:sz w:val="21"/>
          <w:szCs w:val="21"/>
        </w:rPr>
        <w:t xml:space="preserve">Un dato de prueba mal elegido activó un descuento no previsto (DEF-01); se corrigió el dato, no el código.</w:t>
      </w:r>
    </w:p>
    <w:p>
      <w:pPr>
        <w:pStyle w:val="ListParagraph"/>
        <w:numPr>
          <w:ilvl w:val="0"/>
          <w:numId w:val="2"/>
        </w:numPr>
        <w:spacing w:after="60"/>
      </w:pPr>
      <w:r>
        <w:rPr>
          <w:rFonts w:ascii="Arial" w:cs="Arial" w:eastAsia="Arial" w:hAnsi="Arial"/>
          <w:sz w:val="21"/>
          <w:szCs w:val="21"/>
        </w:rPr>
        <w:t xml:space="preserve">[Agreguen aquí las dificultades reales de su equipo con Git, el trabajo colaborativo o la revisión entre pares.]</w:t>
      </w:r>
    </w:p>
    <w:p>
      <w:pPr>
        <w:pStyle w:val="Heading2"/>
        <w:spacing w:after="80" w:before="160"/>
      </w:pPr>
      <w:r>
        <w:rPr>
          <w:rFonts w:ascii="Arial" w:cs="Arial" w:eastAsia="Arial" w:hAnsi="Arial"/>
          <w:b/>
          <w:bCs/>
          <w:sz w:val="23"/>
          <w:szCs w:val="23"/>
        </w:rPr>
        <w:t xml:space="preserve">4. Conclusiones</w:t>
      </w:r>
    </w:p>
    <w:p>
      <w:pPr>
        <w:pStyle w:val="ListParagraph"/>
        <w:numPr>
          <w:ilvl w:val="0"/>
          <w:numId w:val="2"/>
        </w:numPr>
        <w:spacing w:after="60"/>
      </w:pPr>
      <w:r>
        <w:rPr>
          <w:rFonts w:ascii="Arial" w:cs="Arial" w:eastAsia="Arial" w:hAnsi="Arial"/>
          <w:sz w:val="21"/>
          <w:szCs w:val="21"/>
        </w:rPr>
        <w:t xml:space="preserve">Escribir primero la prueba obligó a precisar los valores límite antes de programar.</w:t>
      </w:r>
    </w:p>
    <w:p>
      <w:pPr>
        <w:pStyle w:val="ListParagraph"/>
        <w:numPr>
          <w:ilvl w:val="0"/>
          <w:numId w:val="2"/>
        </w:numPr>
        <w:spacing w:after="60"/>
      </w:pPr>
      <w:r>
        <w:rPr>
          <w:rFonts w:ascii="Arial" w:cs="Arial" w:eastAsia="Arial" w:hAnsi="Arial"/>
          <w:sz w:val="21"/>
          <w:szCs w:val="21"/>
        </w:rPr>
        <w:t xml:space="preserve">Las pruebas parametrizadas cubren muchos límites con poco código.</w:t>
      </w:r>
    </w:p>
    <w:p>
      <w:pPr>
        <w:pStyle w:val="ListParagraph"/>
        <w:numPr>
          <w:ilvl w:val="0"/>
          <w:numId w:val="2"/>
        </w:numPr>
        <w:spacing w:after="60"/>
      </w:pPr>
      <w:r>
        <w:rPr>
          <w:rFonts w:ascii="Arial" w:cs="Arial" w:eastAsia="Arial" w:hAnsi="Arial"/>
          <w:sz w:val="21"/>
          <w:szCs w:val="21"/>
        </w:rPr>
        <w:t xml:space="preserve">El mock del inventario permite probar el stock sin depender de un servicio externo.</w:t>
      </w:r>
    </w:p>
    <w:p>
      <w:pPr>
        <w:pStyle w:val="ListParagraph"/>
        <w:numPr>
          <w:ilvl w:val="0"/>
          <w:numId w:val="2"/>
        </w:numPr>
        <w:spacing w:after="60"/>
      </w:pPr>
      <w:r>
        <w:rPr>
          <w:rFonts w:ascii="Arial" w:cs="Arial" w:eastAsia="Arial" w:hAnsi="Arial"/>
          <w:sz w:val="21"/>
          <w:szCs w:val="21"/>
        </w:rPr>
        <w:t xml:space="preserve">La cobertura alta no reemplaza la revisión de casos: las ambigüedades se detectaron al armar la matriz.</w:t>
      </w:r>
    </w:p>
    <w:p>
      <w:pPr>
        <w:pStyle w:val="Heading2"/>
        <w:spacing w:after="80" w:before="160"/>
      </w:pPr>
      <w:r>
        <w:rPr>
          <w:rFonts w:ascii="Arial" w:cs="Arial" w:eastAsia="Arial" w:hAnsi="Arial"/>
          <w:b/>
          <w:bCs/>
          <w:sz w:val="23"/>
          <w:szCs w:val="23"/>
        </w:rPr>
        <w:t xml:space="preserve">5. Declaración de uso de inteligencia artificial</w:t>
      </w:r>
    </w:p>
    <w:p>
      <w:pPr>
        <w:spacing w:after="100"/>
      </w:pPr>
      <w:r>
        <w:rPr>
          <w:rFonts w:ascii="Arial" w:cs="Arial" w:eastAsia="Arial" w:hAnsi="Arial"/>
          <w:sz w:val="21"/>
          <w:szCs w:val="21"/>
        </w:rPr>
        <w:t xml:space="preserve">Se usó un asistente de IA (Claude, de Anthropic) como apoyo para generar una propuesta inicial del código, las pruebas y los documentos. El equipo revisó, ejecutó y ajustó el material, y cada integrante puede explicar cualquier línea del código y de las pruebas. [Ajusten esta declaración a lo que realmente hizo su equipo.]</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2026-10-24T21:14:13.012Z</dcterms:created>
  <dcterms:modified xsi:type="dcterms:W3CDTF">2026-10-24T21:14:13.013Z</dcterms:modified>
</cp:coreProperties>
</file>

<file path=docProps/custom.xml><?xml version="1.0" encoding="utf-8"?>
<Properties xmlns="http://schemas.openxmlformats.org/officeDocument/2006/custom-properties" xmlns:vt="http://schemas.openxmlformats.org/officeDocument/2006/docPropsVTypes"/>
</file>