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AD16CA" w14:textId="77777777" w:rsidR="00B800CA" w:rsidRDefault="00D27870" w:rsidP="00D27870">
      <w:pPr>
        <w:jc w:val="center"/>
        <w:rPr>
          <w:b/>
          <w:bCs/>
          <w:sz w:val="26"/>
          <w:szCs w:val="26"/>
          <w:rtl/>
        </w:rPr>
      </w:pPr>
      <w:r w:rsidRPr="00972C68">
        <w:rPr>
          <w:rFonts w:hint="cs"/>
          <w:b/>
          <w:bCs/>
          <w:sz w:val="26"/>
          <w:szCs w:val="26"/>
          <w:rtl/>
        </w:rPr>
        <w:t>מחלקות פנימיות</w:t>
      </w:r>
    </w:p>
    <w:p w14:paraId="23502FBB" w14:textId="77777777" w:rsidR="00FA1B2B" w:rsidRPr="00FA1B2B" w:rsidRDefault="00FA1B2B" w:rsidP="00D27870">
      <w:pPr>
        <w:jc w:val="center"/>
        <w:rPr>
          <w:b/>
          <w:bCs/>
          <w:sz w:val="24"/>
          <w:szCs w:val="24"/>
          <w:rtl/>
        </w:rPr>
      </w:pPr>
      <w:r w:rsidRPr="00FA1B2B">
        <w:rPr>
          <w:rFonts w:hint="cs"/>
          <w:b/>
          <w:bCs/>
          <w:sz w:val="24"/>
          <w:szCs w:val="24"/>
          <w:rtl/>
        </w:rPr>
        <w:t xml:space="preserve">(השמות </w:t>
      </w:r>
      <w:r w:rsidRPr="00FA1B2B">
        <w:rPr>
          <w:b/>
          <w:bCs/>
          <w:sz w:val="24"/>
          <w:szCs w:val="24"/>
        </w:rPr>
        <w:t xml:space="preserve">inner </w:t>
      </w:r>
      <w:r w:rsidRPr="00FA1B2B">
        <w:rPr>
          <w:rFonts w:hint="cs"/>
          <w:b/>
          <w:bCs/>
          <w:sz w:val="24"/>
          <w:szCs w:val="24"/>
          <w:rtl/>
        </w:rPr>
        <w:t xml:space="preserve"> ו-</w:t>
      </w:r>
      <w:r w:rsidRPr="00FA1B2B">
        <w:rPr>
          <w:b/>
          <w:bCs/>
          <w:sz w:val="24"/>
          <w:szCs w:val="24"/>
        </w:rPr>
        <w:t>outer</w:t>
      </w:r>
      <w:r w:rsidRPr="00FA1B2B">
        <w:rPr>
          <w:rFonts w:hint="cs"/>
          <w:b/>
          <w:bCs/>
          <w:sz w:val="24"/>
          <w:szCs w:val="24"/>
          <w:rtl/>
        </w:rPr>
        <w:t xml:space="preserve"> הינם דוגמא בלבד ויכולים להיות מוחלפים בכל שם שהוא.)</w:t>
      </w:r>
    </w:p>
    <w:p w14:paraId="5643E596" w14:textId="77777777" w:rsidR="00D27870" w:rsidRDefault="00D27870" w:rsidP="00D27870">
      <w:pPr>
        <w:bidi w:val="0"/>
      </w:pPr>
      <w:r>
        <w:t>Class Outer</w:t>
      </w:r>
    </w:p>
    <w:p w14:paraId="05CB7E5E" w14:textId="77777777" w:rsidR="00D27870" w:rsidRDefault="00D27870" w:rsidP="00D27870">
      <w:pPr>
        <w:bidi w:val="0"/>
      </w:pPr>
      <w:r>
        <w:t>{</w:t>
      </w:r>
      <w:r>
        <w:tab/>
        <w:t>int x;</w:t>
      </w:r>
    </w:p>
    <w:p w14:paraId="6ABB8B93" w14:textId="77777777" w:rsidR="00D27870" w:rsidRDefault="00D27870" w:rsidP="00D27870">
      <w:pPr>
        <w:bidi w:val="0"/>
      </w:pPr>
      <w:r>
        <w:tab/>
        <w:t>Class Inner</w:t>
      </w:r>
    </w:p>
    <w:p w14:paraId="37E685C8" w14:textId="77777777" w:rsidR="00D27870" w:rsidRDefault="00D27870" w:rsidP="00D27870">
      <w:pPr>
        <w:bidi w:val="0"/>
      </w:pPr>
      <w:r>
        <w:tab/>
        <w:t>{</w:t>
      </w:r>
    </w:p>
    <w:p w14:paraId="21A71B68" w14:textId="77777777" w:rsidR="00D27870" w:rsidRDefault="00D27870" w:rsidP="00D27870">
      <w:pPr>
        <w:bidi w:val="0"/>
        <w:ind w:firstLine="720"/>
      </w:pPr>
      <w:r>
        <w:t>}</w:t>
      </w:r>
    </w:p>
    <w:p w14:paraId="22D31EC7" w14:textId="77777777" w:rsidR="00D27870" w:rsidRDefault="00D27870" w:rsidP="00D27870">
      <w:pPr>
        <w:bidi w:val="0"/>
      </w:pPr>
      <w:r>
        <w:t>}</w:t>
      </w:r>
    </w:p>
    <w:p w14:paraId="18508266" w14:textId="77777777" w:rsidR="00D27870" w:rsidRDefault="00D27870" w:rsidP="00D27870">
      <w:pPr>
        <w:rPr>
          <w:rtl/>
        </w:rPr>
      </w:pPr>
      <w:r>
        <w:rPr>
          <w:rFonts w:hint="cs"/>
          <w:rtl/>
        </w:rPr>
        <w:t>ה-</w:t>
      </w:r>
      <w:r>
        <w:t>Outer</w:t>
      </w:r>
      <w:r>
        <w:rPr>
          <w:rFonts w:hint="cs"/>
          <w:rtl/>
        </w:rPr>
        <w:t xml:space="preserve"> זה הקלאס הרגיל שהכרנו עד עכשיו. הוא נקרא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top level</w:t>
      </w:r>
      <w:r>
        <w:rPr>
          <w:rFonts w:hint="cs"/>
          <w:rtl/>
        </w:rPr>
        <w:t>. ה</w:t>
      </w:r>
      <w:r>
        <w:t>Inner</w:t>
      </w:r>
      <w:r>
        <w:rPr>
          <w:rFonts w:hint="cs"/>
          <w:rtl/>
        </w:rPr>
        <w:t xml:space="preserve"> הוא הגדרה של קלאס שאינו עומד </w:t>
      </w:r>
      <w:proofErr w:type="spellStart"/>
      <w:r>
        <w:rPr>
          <w:rFonts w:hint="cs"/>
          <w:rtl/>
        </w:rPr>
        <w:t>בפנ"ע</w:t>
      </w:r>
      <w:proofErr w:type="spellEnd"/>
      <w:r>
        <w:rPr>
          <w:rFonts w:hint="cs"/>
          <w:rtl/>
        </w:rPr>
        <w:t>, הוא פנימי לקלאס אחר.</w:t>
      </w:r>
    </w:p>
    <w:p w14:paraId="63A74F2E" w14:textId="77777777" w:rsidR="00D27870" w:rsidRDefault="00D27870" w:rsidP="00D27870">
      <w:pPr>
        <w:rPr>
          <w:rtl/>
        </w:rPr>
      </w:pPr>
      <w:r>
        <w:rPr>
          <w:rFonts w:hint="cs"/>
          <w:rtl/>
        </w:rPr>
        <w:t xml:space="preserve">הגדרנו משתנה </w:t>
      </w:r>
      <w:r>
        <w:t>int x</w:t>
      </w:r>
      <w:r>
        <w:rPr>
          <w:rFonts w:hint="cs"/>
          <w:rtl/>
        </w:rPr>
        <w:t xml:space="preserve"> שיהיה קיים רק כשניצור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>.</w:t>
      </w:r>
    </w:p>
    <w:p w14:paraId="24958688" w14:textId="77777777" w:rsidR="00D27870" w:rsidRDefault="00D27870" w:rsidP="00D27870">
      <w:pPr>
        <w:rPr>
          <w:rtl/>
        </w:rPr>
      </w:pPr>
      <w:r>
        <w:rPr>
          <w:rFonts w:hint="cs"/>
          <w:rtl/>
        </w:rPr>
        <w:t xml:space="preserve">כמו"כ </w:t>
      </w:r>
      <w:r>
        <w:rPr>
          <w:rtl/>
        </w:rPr>
        <w:t>–</w:t>
      </w:r>
      <w:r>
        <w:rPr>
          <w:rFonts w:hint="cs"/>
          <w:rtl/>
        </w:rPr>
        <w:t xml:space="preserve"> הגדרנו הגדרה של קלאס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Inner</w:t>
      </w:r>
      <w:r>
        <w:rPr>
          <w:rFonts w:hint="cs"/>
          <w:rtl/>
        </w:rPr>
        <w:t xml:space="preserve"> שתקבל תוקף רק כשניצור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ורק אז נוכל ליצור ממנה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>.</w:t>
      </w:r>
    </w:p>
    <w:p w14:paraId="1756DBB0" w14:textId="77777777" w:rsidR="00D27870" w:rsidRDefault="00D27870" w:rsidP="00D27870">
      <w:pPr>
        <w:rPr>
          <w:rtl/>
        </w:rPr>
      </w:pPr>
      <w:r>
        <w:rPr>
          <w:rFonts w:hint="cs"/>
          <w:rtl/>
        </w:rPr>
        <w:t xml:space="preserve">מתוך </w:t>
      </w:r>
      <w:r>
        <w:t>inner class</w:t>
      </w:r>
      <w:r>
        <w:rPr>
          <w:rFonts w:hint="cs"/>
          <w:rtl/>
        </w:rPr>
        <w:t xml:space="preserve"> יש גישה מלאה לשדות של ה-</w:t>
      </w:r>
      <w:r>
        <w:t>outer</w:t>
      </w:r>
      <w:r>
        <w:rPr>
          <w:rFonts w:hint="cs"/>
          <w:rtl/>
        </w:rPr>
        <w:t>, כולל ה</w:t>
      </w:r>
      <w:r>
        <w:t>private</w:t>
      </w:r>
      <w:r>
        <w:rPr>
          <w:rFonts w:hint="cs"/>
          <w:rtl/>
        </w:rPr>
        <w:t>, כי המחלקה הפנימית נמצאת באותה מחלקה שהשדה ה</w:t>
      </w:r>
      <w:r>
        <w:t xml:space="preserve">private </w:t>
      </w:r>
      <w:r>
        <w:rPr>
          <w:rFonts w:hint="cs"/>
          <w:rtl/>
        </w:rPr>
        <w:t xml:space="preserve"> הזה נמצא. אך לא להפך.</w:t>
      </w:r>
    </w:p>
    <w:p w14:paraId="7A369EF7" w14:textId="0799C6ED" w:rsidR="00D27870" w:rsidRDefault="00942FDD" w:rsidP="00D27870">
      <w:pPr>
        <w:rPr>
          <w:rFonts w:hint="cs"/>
          <w:rtl/>
        </w:rPr>
      </w:pPr>
      <w:r>
        <w:rPr>
          <w:rFonts w:hint="cs"/>
          <w:rtl/>
        </w:rPr>
        <w:t>(</w:t>
      </w:r>
      <w:r w:rsidR="00D27870">
        <w:rPr>
          <w:rFonts w:hint="cs"/>
          <w:rtl/>
        </w:rPr>
        <w:t xml:space="preserve">בתוך המחלקה הפנימית לא ניתן להגדיר שדות סטטיים כי שדה סטטי הוא לא תלוי </w:t>
      </w:r>
      <w:proofErr w:type="spellStart"/>
      <w:r w:rsidR="00D27870">
        <w:rPr>
          <w:rFonts w:hint="cs"/>
          <w:rtl/>
        </w:rPr>
        <w:t>אוביקט</w:t>
      </w:r>
      <w:proofErr w:type="spellEnd"/>
      <w:r w:rsidR="00D27870">
        <w:rPr>
          <w:rFonts w:hint="cs"/>
          <w:rtl/>
        </w:rPr>
        <w:t xml:space="preserve"> אבל פה הוא כן תלוי </w:t>
      </w:r>
      <w:proofErr w:type="spellStart"/>
      <w:r w:rsidR="00D27870">
        <w:rPr>
          <w:rFonts w:hint="cs"/>
          <w:rtl/>
        </w:rPr>
        <w:t>אוביקט</w:t>
      </w:r>
      <w:proofErr w:type="spellEnd"/>
      <w:r w:rsidR="00D27870">
        <w:rPr>
          <w:rFonts w:hint="cs"/>
          <w:rtl/>
        </w:rPr>
        <w:t xml:space="preserve"> </w:t>
      </w:r>
      <w:r w:rsidR="00D27870">
        <w:rPr>
          <w:rtl/>
        </w:rPr>
        <w:t>–</w:t>
      </w:r>
      <w:r w:rsidR="00D27870">
        <w:rPr>
          <w:rFonts w:hint="cs"/>
          <w:rtl/>
        </w:rPr>
        <w:t xml:space="preserve"> </w:t>
      </w:r>
      <w:proofErr w:type="spellStart"/>
      <w:r w:rsidR="00D27870">
        <w:rPr>
          <w:rFonts w:hint="cs"/>
          <w:rtl/>
        </w:rPr>
        <w:t>אוביקט</w:t>
      </w:r>
      <w:proofErr w:type="spellEnd"/>
      <w:r w:rsidR="00D27870">
        <w:rPr>
          <w:rFonts w:hint="cs"/>
          <w:rtl/>
        </w:rPr>
        <w:t xml:space="preserve"> של ה</w:t>
      </w:r>
      <w:r w:rsidR="00D27870">
        <w:t>outer</w:t>
      </w:r>
      <w:r w:rsidR="00D27870">
        <w:rPr>
          <w:rFonts w:hint="cs"/>
          <w:rtl/>
        </w:rPr>
        <w:t>.</w:t>
      </w:r>
      <w:r>
        <w:rPr>
          <w:rFonts w:hint="cs"/>
          <w:rtl/>
        </w:rPr>
        <w:t xml:space="preserve">) </w:t>
      </w:r>
      <w:r>
        <w:rPr>
          <w:rtl/>
        </w:rPr>
        <w:t>–</w:t>
      </w:r>
      <w:r>
        <w:rPr>
          <w:rFonts w:hint="cs"/>
          <w:rtl/>
        </w:rPr>
        <w:t xml:space="preserve"> השתנה וזה כן אפשרי!</w:t>
      </w:r>
      <w:r>
        <w:t xml:space="preserve"> </w:t>
      </w:r>
      <w:r>
        <w:rPr>
          <w:rFonts w:hint="cs"/>
          <w:rtl/>
        </w:rPr>
        <w:t xml:space="preserve"> (החלק מ</w:t>
      </w:r>
      <w:r>
        <w:t>JAVA</w:t>
      </w:r>
      <w:r>
        <w:rPr>
          <w:rFonts w:hint="cs"/>
          <w:rtl/>
        </w:rPr>
        <w:t xml:space="preserve"> 16)</w:t>
      </w:r>
    </w:p>
    <w:p w14:paraId="1C7D5422" w14:textId="77777777" w:rsidR="006D5CE4" w:rsidRDefault="006D5CE4" w:rsidP="00D27870">
      <w:pPr>
        <w:rPr>
          <w:rtl/>
        </w:rPr>
      </w:pPr>
      <w:r>
        <w:rPr>
          <w:rFonts w:hint="cs"/>
          <w:rtl/>
        </w:rPr>
        <w:t>סוג ההרשאה יכול להיות כל אחד מההרשאות. זהו קלאס רגיל לחלוטין, יכול לרשת או לממש כל מחלקה.</w:t>
      </w:r>
    </w:p>
    <w:p w14:paraId="0F114D22" w14:textId="77777777" w:rsidR="006D5CE4" w:rsidRDefault="006D5CE4" w:rsidP="00D27870">
      <w:pPr>
        <w:rPr>
          <w:rtl/>
        </w:rPr>
      </w:pPr>
      <w:r>
        <w:rPr>
          <w:rFonts w:hint="cs"/>
          <w:rtl/>
        </w:rPr>
        <w:t>השימוש:</w:t>
      </w:r>
    </w:p>
    <w:p w14:paraId="25C8CE58" w14:textId="77777777" w:rsidR="006D5CE4" w:rsidRDefault="006D5CE4" w:rsidP="00D27870">
      <w:pPr>
        <w:rPr>
          <w:rtl/>
        </w:rPr>
      </w:pPr>
      <w:r>
        <w:rPr>
          <w:rFonts w:hint="cs"/>
          <w:rtl/>
        </w:rPr>
        <w:t xml:space="preserve">בתוך המחלקה החיצונית נוכל להגדיר </w:t>
      </w:r>
      <w:r>
        <w:t>Inner I = new Inner();</w:t>
      </w:r>
      <w:r>
        <w:rPr>
          <w:rFonts w:hint="cs"/>
          <w:rtl/>
        </w:rPr>
        <w:t xml:space="preserve"> (מחוץ ל</w:t>
      </w:r>
      <w:r>
        <w:t>Inner</w:t>
      </w:r>
      <w:r>
        <w:rPr>
          <w:rFonts w:hint="cs"/>
          <w:rtl/>
        </w:rPr>
        <w:t xml:space="preserve">). בשביל שזה </w:t>
      </w:r>
      <w:proofErr w:type="spellStart"/>
      <w:r>
        <w:rPr>
          <w:rFonts w:hint="cs"/>
          <w:rtl/>
        </w:rPr>
        <w:t>יווצר</w:t>
      </w:r>
      <w:proofErr w:type="spellEnd"/>
      <w:r>
        <w:rPr>
          <w:rFonts w:hint="cs"/>
          <w:rtl/>
        </w:rPr>
        <w:t xml:space="preserve"> צריך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r>
        <w:t>outer</w:t>
      </w:r>
      <w:r>
        <w:rPr>
          <w:rFonts w:hint="cs"/>
          <w:rtl/>
        </w:rPr>
        <w:t xml:space="preserve"> להפעיל עליו, וכשיהיה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r>
        <w:t>outer</w:t>
      </w:r>
      <w:r>
        <w:rPr>
          <w:rFonts w:hint="cs"/>
          <w:rtl/>
        </w:rPr>
        <w:t xml:space="preserve"> כבר תהיה ההגדרה של ה-</w:t>
      </w:r>
      <w:r>
        <w:t>inner</w:t>
      </w:r>
      <w:r>
        <w:rPr>
          <w:rFonts w:hint="cs"/>
          <w:rtl/>
        </w:rPr>
        <w:t xml:space="preserve"> ולכן זה תקין.</w:t>
      </w:r>
    </w:p>
    <w:p w14:paraId="23A0DA44" w14:textId="77777777" w:rsidR="006D5CE4" w:rsidRDefault="006D5CE4" w:rsidP="00D27870">
      <w:pPr>
        <w:rPr>
          <w:rtl/>
        </w:rPr>
      </w:pPr>
      <w:r>
        <w:rPr>
          <w:rFonts w:hint="cs"/>
          <w:rtl/>
        </w:rPr>
        <w:t xml:space="preserve">המשתנה </w:t>
      </w:r>
      <w:proofErr w:type="spellStart"/>
      <w:r>
        <w:t>i</w:t>
      </w:r>
      <w:proofErr w:type="spellEnd"/>
      <w:r>
        <w:rPr>
          <w:rFonts w:hint="cs"/>
          <w:rtl/>
        </w:rPr>
        <w:t xml:space="preserve"> מטיפוס </w:t>
      </w:r>
      <w:r>
        <w:t>Inner</w:t>
      </w:r>
      <w:r>
        <w:rPr>
          <w:rFonts w:hint="cs"/>
          <w:rtl/>
        </w:rPr>
        <w:t xml:space="preserve"> הוא </w:t>
      </w:r>
      <w:r>
        <w:t>data member</w:t>
      </w:r>
      <w:r>
        <w:rPr>
          <w:rFonts w:hint="cs"/>
          <w:rtl/>
        </w:rPr>
        <w:t xml:space="preserve"> בתוך המחלקה </w:t>
      </w:r>
      <w:r>
        <w:t>outer</w:t>
      </w:r>
      <w:r>
        <w:rPr>
          <w:rFonts w:hint="cs"/>
          <w:rtl/>
        </w:rPr>
        <w:t>.</w:t>
      </w:r>
    </w:p>
    <w:p w14:paraId="6CE22370" w14:textId="77777777" w:rsidR="006D5CE4" w:rsidRDefault="006D5CE4" w:rsidP="00D27870">
      <w:pPr>
        <w:rPr>
          <w:rtl/>
        </w:rPr>
      </w:pPr>
      <w:r>
        <w:rPr>
          <w:rFonts w:hint="cs"/>
          <w:rtl/>
        </w:rPr>
        <w:t xml:space="preserve">מחוץ למחלקה </w:t>
      </w:r>
      <w:r>
        <w:t>outer</w:t>
      </w:r>
      <w:r>
        <w:rPr>
          <w:rFonts w:hint="cs"/>
          <w:rtl/>
        </w:rPr>
        <w:t xml:space="preserve">, באיזשהו מקום לא נוכל לומר </w:t>
      </w:r>
      <w:r>
        <w:t>new Inner()</w:t>
      </w:r>
      <w:r>
        <w:rPr>
          <w:rFonts w:hint="cs"/>
          <w:rtl/>
        </w:rPr>
        <w:t xml:space="preserve"> אלא כך:</w:t>
      </w:r>
    </w:p>
    <w:p w14:paraId="3A767D7E" w14:textId="77777777" w:rsidR="006D5CE4" w:rsidRDefault="006D5CE4" w:rsidP="006D5CE4">
      <w:pPr>
        <w:bidi w:val="0"/>
      </w:pPr>
      <w:r>
        <w:t>Outer o =new Outer();</w:t>
      </w:r>
    </w:p>
    <w:p w14:paraId="6EB923B6" w14:textId="77777777" w:rsidR="006D5CE4" w:rsidRDefault="006D5CE4" w:rsidP="006D5CE4">
      <w:pPr>
        <w:bidi w:val="0"/>
        <w:rPr>
          <w:rtl/>
        </w:rPr>
      </w:pPr>
      <w:proofErr w:type="spellStart"/>
      <w:r>
        <w:t>o.i.func</w:t>
      </w:r>
      <w:proofErr w:type="spellEnd"/>
      <w:r>
        <w:t xml:space="preserve">(); </w:t>
      </w:r>
    </w:p>
    <w:p w14:paraId="4F9BEE42" w14:textId="77777777" w:rsidR="00D27870" w:rsidRDefault="006D5CE4" w:rsidP="006D5CE4">
      <w:pPr>
        <w:rPr>
          <w:rtl/>
        </w:rPr>
      </w:pPr>
      <w:r>
        <w:rPr>
          <w:rFonts w:hint="cs"/>
          <w:rtl/>
        </w:rPr>
        <w:t xml:space="preserve">ה- </w:t>
      </w:r>
      <w:proofErr w:type="spellStart"/>
      <w:r>
        <w:t>i</w:t>
      </w:r>
      <w:proofErr w:type="spellEnd"/>
      <w:r>
        <w:rPr>
          <w:rFonts w:hint="cs"/>
          <w:rtl/>
        </w:rPr>
        <w:t xml:space="preserve"> הוא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של המחלקה </w:t>
      </w:r>
      <w:r>
        <w:t xml:space="preserve">o </w:t>
      </w:r>
      <w:r>
        <w:rPr>
          <w:rFonts w:hint="cs"/>
          <w:rtl/>
        </w:rPr>
        <w:t xml:space="preserve"> וניתן לומר כך. (בתנאי שההרשאות מאפשרות זאת).</w:t>
      </w:r>
    </w:p>
    <w:p w14:paraId="2C103E9B" w14:textId="77777777" w:rsidR="006D5CE4" w:rsidRDefault="006D5CE4" w:rsidP="006D5CE4">
      <w:pPr>
        <w:rPr>
          <w:rtl/>
        </w:rPr>
      </w:pPr>
      <w:r>
        <w:rPr>
          <w:rFonts w:hint="cs"/>
          <w:rtl/>
        </w:rPr>
        <w:t xml:space="preserve">המטרה של קלאס בתוך קלאס הוא כדי </w:t>
      </w:r>
      <w:r w:rsidR="00972C68">
        <w:rPr>
          <w:rFonts w:hint="cs"/>
          <w:rtl/>
        </w:rPr>
        <w:t>שיהיה לו גישה ל</w:t>
      </w:r>
      <w:r w:rsidR="00972C68">
        <w:t>private</w:t>
      </w:r>
      <w:r w:rsidR="00972C68">
        <w:rPr>
          <w:rFonts w:hint="cs"/>
          <w:rtl/>
        </w:rPr>
        <w:t xml:space="preserve"> של המחלקה החיצונית.</w:t>
      </w:r>
    </w:p>
    <w:p w14:paraId="063E97FB" w14:textId="77777777" w:rsidR="00972C68" w:rsidRDefault="00972C68" w:rsidP="006D5CE4">
      <w:r>
        <w:rPr>
          <w:rFonts w:hint="cs"/>
          <w:rtl/>
        </w:rPr>
        <w:t xml:space="preserve">כדי להגדיר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של </w:t>
      </w:r>
      <w:r>
        <w:t>inner</w:t>
      </w:r>
      <w:r>
        <w:rPr>
          <w:rFonts w:hint="cs"/>
          <w:rtl/>
        </w:rPr>
        <w:t xml:space="preserve"> עצמאי בחוץ: </w:t>
      </w:r>
      <w:r>
        <w:t>Outer o = new Outer();</w:t>
      </w:r>
    </w:p>
    <w:p w14:paraId="2A59193B" w14:textId="77777777" w:rsidR="00972C68" w:rsidRDefault="00972C68" w:rsidP="00972C68">
      <w:pPr>
        <w:jc w:val="center"/>
        <w:rPr>
          <w:rtl/>
        </w:rPr>
      </w:pPr>
      <w:r>
        <w:t>Inner I = new Inner();</w:t>
      </w:r>
      <w:r>
        <w:rPr>
          <w:rFonts w:hint="cs"/>
          <w:rtl/>
        </w:rPr>
        <w:t xml:space="preserve">  - בלתי אפשרי!! המערכת לא מכירה קלאס כזה. ולכן נגדיר:</w:t>
      </w:r>
    </w:p>
    <w:p w14:paraId="3729A3E2" w14:textId="77777777" w:rsidR="00972C68" w:rsidRDefault="00972C68" w:rsidP="00972C68">
      <w:pPr>
        <w:jc w:val="center"/>
      </w:pPr>
      <w:proofErr w:type="spellStart"/>
      <w:r>
        <w:lastRenderedPageBreak/>
        <w:t>Outer.Inner</w:t>
      </w:r>
      <w:proofErr w:type="spellEnd"/>
      <w:r>
        <w:t xml:space="preserve"> I = </w:t>
      </w:r>
      <w:proofErr w:type="spellStart"/>
      <w:r>
        <w:t>o.new</w:t>
      </w:r>
      <w:proofErr w:type="spellEnd"/>
      <w:r>
        <w:t xml:space="preserve"> Inner();</w:t>
      </w:r>
    </w:p>
    <w:p w14:paraId="5380D876" w14:textId="77777777" w:rsidR="00972C68" w:rsidRDefault="00972C68" w:rsidP="00972C68">
      <w:pPr>
        <w:rPr>
          <w:rtl/>
        </w:rPr>
      </w:pPr>
      <w:r>
        <w:rPr>
          <w:rFonts w:hint="cs"/>
          <w:rtl/>
        </w:rPr>
        <w:t>ה-</w:t>
      </w:r>
      <w:r>
        <w:t>o</w:t>
      </w:r>
      <w:r>
        <w:rPr>
          <w:rFonts w:hint="cs"/>
          <w:rtl/>
        </w:rPr>
        <w:t xml:space="preserve"> זהו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מטיפוס</w:t>
      </w:r>
      <w:r>
        <w:t xml:space="preserve"> outer</w:t>
      </w:r>
      <w:r>
        <w:rPr>
          <w:rFonts w:hint="cs"/>
          <w:rtl/>
        </w:rPr>
        <w:t xml:space="preserve">. חובה שיהיה לי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כזה כדי ליצור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מטפוס</w:t>
      </w:r>
      <w:proofErr w:type="spellEnd"/>
      <w:r>
        <w:rPr>
          <w:rFonts w:hint="cs"/>
          <w:rtl/>
        </w:rPr>
        <w:t xml:space="preserve"> </w:t>
      </w:r>
      <w:r>
        <w:t>Inner</w:t>
      </w:r>
      <w:r>
        <w:rPr>
          <w:rFonts w:hint="cs"/>
          <w:rtl/>
        </w:rPr>
        <w:t>.</w:t>
      </w:r>
    </w:p>
    <w:p w14:paraId="10FD0C06" w14:textId="77777777" w:rsidR="00972C68" w:rsidRDefault="00972C68" w:rsidP="00972C68">
      <w:pPr>
        <w:rPr>
          <w:rtl/>
        </w:rPr>
      </w:pPr>
      <w:r>
        <w:rPr>
          <w:rFonts w:hint="cs"/>
          <w:rtl/>
        </w:rPr>
        <w:t xml:space="preserve">מכאן והלאה השימוש בו כרגיל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proofErr w:type="spellStart"/>
      <w:r>
        <w:t>i.func</w:t>
      </w:r>
      <w:proofErr w:type="spellEnd"/>
      <w:r>
        <w:t>()</w:t>
      </w:r>
    </w:p>
    <w:p w14:paraId="56C2FDE5" w14:textId="77777777" w:rsidR="00972C68" w:rsidRDefault="00972C68" w:rsidP="00972C68">
      <w:pPr>
        <w:rPr>
          <w:rtl/>
        </w:rPr>
      </w:pPr>
      <w:r>
        <w:rPr>
          <w:rFonts w:hint="cs"/>
          <w:rtl/>
        </w:rPr>
        <w:t>אם ה</w:t>
      </w:r>
      <w:r>
        <w:t xml:space="preserve">Inner </w:t>
      </w:r>
      <w:r>
        <w:rPr>
          <w:rFonts w:hint="cs"/>
          <w:rtl/>
        </w:rPr>
        <w:t>מוגדר כ</w:t>
      </w:r>
      <w:r>
        <w:t>private</w:t>
      </w:r>
      <w:r>
        <w:rPr>
          <w:rFonts w:hint="cs"/>
          <w:rtl/>
        </w:rPr>
        <w:t xml:space="preserve"> ה-</w:t>
      </w:r>
      <w:r>
        <w:t>outer</w:t>
      </w:r>
      <w:r>
        <w:rPr>
          <w:rFonts w:hint="cs"/>
          <w:rtl/>
        </w:rPr>
        <w:t xml:space="preserve"> יכול לגשת אליו אבל לא לשדות שלו שיהיו </w:t>
      </w:r>
      <w:r>
        <w:t>private</w:t>
      </w:r>
      <w:r>
        <w:rPr>
          <w:rFonts w:hint="cs"/>
          <w:rtl/>
        </w:rPr>
        <w:t>.</w:t>
      </w:r>
    </w:p>
    <w:p w14:paraId="1193317B" w14:textId="77777777" w:rsidR="00972C68" w:rsidRDefault="00972C68" w:rsidP="00972C68">
      <w:pPr>
        <w:rPr>
          <w:rtl/>
        </w:rPr>
      </w:pPr>
      <w:r>
        <w:rPr>
          <w:rFonts w:hint="cs"/>
          <w:rtl/>
        </w:rPr>
        <w:t>כאשר מגדירים את המחלקה הפנימית כ</w:t>
      </w:r>
      <w:r>
        <w:t>static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הגדרת </w:t>
      </w:r>
      <w:r>
        <w:t>class</w:t>
      </w:r>
      <w:r>
        <w:rPr>
          <w:rFonts w:hint="cs"/>
          <w:rtl/>
        </w:rPr>
        <w:t xml:space="preserve"> ה- </w:t>
      </w:r>
      <w:r>
        <w:t>Inner</w:t>
      </w:r>
      <w:r>
        <w:rPr>
          <w:rFonts w:hint="cs"/>
          <w:rtl/>
        </w:rPr>
        <w:t xml:space="preserve"> קיימת ללא תלות ביצירת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</w:t>
      </w:r>
      <w:r>
        <w:t>outer</w:t>
      </w:r>
      <w:r>
        <w:rPr>
          <w:rFonts w:hint="cs"/>
          <w:rtl/>
        </w:rPr>
        <w:t>. כך יצרנו את ה</w:t>
      </w:r>
      <w:r>
        <w:t>Inner</w:t>
      </w:r>
      <w:r>
        <w:rPr>
          <w:rFonts w:hint="cs"/>
          <w:rtl/>
        </w:rPr>
        <w:t xml:space="preserve"> להיות כביכול עצמאי. מחלקה רגילה לא יכולה להיות </w:t>
      </w:r>
      <w:r>
        <w:t>static</w:t>
      </w:r>
      <w:r>
        <w:rPr>
          <w:rFonts w:hint="cs"/>
          <w:rtl/>
        </w:rPr>
        <w:t>.</w:t>
      </w:r>
    </w:p>
    <w:p w14:paraId="51BF5DB7" w14:textId="18B22F03" w:rsidR="00311455" w:rsidRDefault="00311455" w:rsidP="00972C68">
      <w:pPr>
        <w:rPr>
          <w:rFonts w:hint="cs"/>
          <w:rtl/>
        </w:rPr>
      </w:pPr>
      <w:r>
        <w:rPr>
          <w:rFonts w:hint="cs"/>
          <w:rtl/>
        </w:rPr>
        <w:t xml:space="preserve">במקרה זה ניתן ליצור ממנו </w:t>
      </w:r>
      <w:proofErr w:type="spellStart"/>
      <w:r>
        <w:rPr>
          <w:rFonts w:hint="cs"/>
          <w:rtl/>
        </w:rPr>
        <w:t>אוביקט</w:t>
      </w:r>
      <w:proofErr w:type="spellEnd"/>
      <w:r>
        <w:rPr>
          <w:rFonts w:hint="cs"/>
          <w:rtl/>
        </w:rPr>
        <w:t xml:space="preserve"> כרגיל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Inner I = new Inner()</w:t>
      </w:r>
      <w:r>
        <w:rPr>
          <w:rFonts w:hint="cs"/>
          <w:rtl/>
        </w:rPr>
        <w:t>.</w:t>
      </w:r>
    </w:p>
    <w:p w14:paraId="56DDF5C1" w14:textId="317130F7" w:rsidR="00972C68" w:rsidRDefault="00972C68" w:rsidP="00972C68">
      <w:pPr>
        <w:rPr>
          <w:rtl/>
        </w:rPr>
      </w:pPr>
      <w:r>
        <w:rPr>
          <w:rFonts w:hint="cs"/>
          <w:rtl/>
        </w:rPr>
        <w:t xml:space="preserve">מתוך מחלקה פנימית סטטית יש גישה </w:t>
      </w:r>
      <w:r w:rsidRPr="00972C68">
        <w:rPr>
          <w:rFonts w:hint="cs"/>
          <w:b/>
          <w:bCs/>
          <w:rtl/>
        </w:rPr>
        <w:t>אך ורק לשדות הסטטיים</w:t>
      </w:r>
      <w:r>
        <w:rPr>
          <w:rFonts w:hint="cs"/>
          <w:rtl/>
        </w:rPr>
        <w:t xml:space="preserve"> ב</w:t>
      </w:r>
      <w:r>
        <w:t>outer</w:t>
      </w:r>
      <w:r>
        <w:rPr>
          <w:rFonts w:hint="cs"/>
          <w:rtl/>
        </w:rPr>
        <w:t xml:space="preserve">. סוג ההרשאה לא משנה. </w:t>
      </w:r>
    </w:p>
    <w:p w14:paraId="1C29BE30" w14:textId="77777777" w:rsidR="00D27870" w:rsidRDefault="00D27870" w:rsidP="00D27870">
      <w:pPr>
        <w:rPr>
          <w:rtl/>
        </w:rPr>
      </w:pPr>
    </w:p>
    <w:sectPr w:rsidR="00D27870" w:rsidSect="00E54455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7870"/>
    <w:rsid w:val="00311455"/>
    <w:rsid w:val="003D7C24"/>
    <w:rsid w:val="00603CAD"/>
    <w:rsid w:val="006D5CE4"/>
    <w:rsid w:val="00942FDD"/>
    <w:rsid w:val="00972C68"/>
    <w:rsid w:val="00B43C65"/>
    <w:rsid w:val="00B800CA"/>
    <w:rsid w:val="00D27870"/>
    <w:rsid w:val="00E54455"/>
    <w:rsid w:val="00FA1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816A4"/>
  <w15:docId w15:val="{137035A2-8046-4693-B2AF-D1647974B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329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בית</dc:creator>
  <cp:lastModifiedBy>רעות בלכמן</cp:lastModifiedBy>
  <cp:revision>5</cp:revision>
  <dcterms:created xsi:type="dcterms:W3CDTF">2018-12-23T08:16:00Z</dcterms:created>
  <dcterms:modified xsi:type="dcterms:W3CDTF">2024-12-05T07:13:00Z</dcterms:modified>
</cp:coreProperties>
</file>