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Nushagak River Watershed Water Quality Baseline</w:t>
      </w:r>
    </w:p>
    <w:p>
      <w:pPr>
        <w:pStyle w:val="Subtitle"/>
      </w:pPr>
      <w:r>
        <w:t xml:space="preserve">Synthesis of Existing Data - Collaborative Monitoring Proposal</w:t>
      </w:r>
    </w:p>
    <w:p>
      <w:pPr>
        <w:pStyle w:val="Author"/>
      </w:pPr>
      <w:r>
        <w:t xml:space="preserve">Benjamin Meyer (rivuletresearch@gmail.com)</w:t>
      </w:r>
      <w:r>
        <w:t xml:space="preserve"> </w:t>
      </w:r>
      <w:r>
        <w:t xml:space="preserve">Prepared for Tributary Research and Consulting</w:t>
      </w:r>
    </w:p>
    <w:p>
      <w:pPr>
        <w:pStyle w:val="Date"/>
      </w:pPr>
      <w:r>
        <w:t xml:space="preserve">2026-10-01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overview"/>
    <w:p>
      <w:pPr>
        <w:pStyle w:val="Heading1"/>
      </w:pPr>
      <w:r>
        <w:t xml:space="preserve">1. Overview</w:t>
      </w:r>
    </w:p>
    <w:p>
      <w:pPr>
        <w:pStyle w:val="CaptionedFigure"/>
      </w:pPr>
      <w:r>
        <w:drawing>
          <wp:inline>
            <wp:extent cx="3200400" cy="4353271"/>
            <wp:effectExtent b="0" l="0" r="0" t="0"/>
            <wp:docPr descr="Nushagak River watershed and tributary map. Credit: Alaska Department of Fish and Game." title="" id="21" name="Picture"/>
            <a:graphic>
              <a:graphicData uri="http://schemas.openxmlformats.org/drawingml/2006/picture">
                <pic:pic>
                  <pic:nvPicPr>
                    <pic:cNvPr descr="images/adfg_nushagak_watershed_map.png" id="22" name="Picture"/>
                    <pic:cNvPicPr>
                      <a:picLocks noChangeArrowheads="1" noChangeAspect="1"/>
                    </pic:cNvPicPr>
                  </pic:nvPicPr>
                  <pic:blipFill>
                    <a:blip r:embed="rId20"/>
                    <a:stretch>
                      <a:fillRect/>
                    </a:stretch>
                  </pic:blipFill>
                  <pic:spPr bwMode="auto">
                    <a:xfrm>
                      <a:off x="0" y="0"/>
                      <a:ext cx="3200400" cy="4353271"/>
                    </a:xfrm>
                    <a:prstGeom prst="rect">
                      <a:avLst/>
                    </a:prstGeom>
                    <a:noFill/>
                    <a:ln w="9525">
                      <a:noFill/>
                      <a:headEnd/>
                      <a:tailEnd/>
                    </a:ln>
                  </pic:spPr>
                </pic:pic>
              </a:graphicData>
            </a:graphic>
          </wp:inline>
        </w:drawing>
      </w:r>
    </w:p>
    <w:p>
      <w:pPr>
        <w:pStyle w:val="ImageCaption"/>
      </w:pPr>
      <w:r>
        <w:t xml:space="preserve">Nushagak River watershed and tributary map. Credit: Alaska Department of Fish and Game.</w:t>
      </w:r>
    </w:p>
    <w:p>
      <w:pPr>
        <w:pStyle w:val="BodyText"/>
      </w:pPr>
      <w:r>
        <w:t xml:space="preserve">This document synthesizes existing water quality data for the Nushagak River watershed (HUC6: 190303) in southwestern Alaska. The watershed supports one of the world’s most significant wild salmon fisheries and is central to the cultural and subsistence economies of communities in the region including Ekwok, New Koliganek, New Stuyahok, Dillingham, and others.</w:t>
      </w:r>
    </w:p>
    <w:p>
      <w:pPr>
        <w:pStyle w:val="BodyText"/>
      </w:pPr>
      <w:r>
        <w:t xml:space="preserve">The analysis aggregates publicly available monitoring data from the EPA Water Quality Portal (WQP) and USGS National Water Information System (NWIS), supplemented by regulatory and scientific literature. The goal is to establish an understanding of existing water quality conditions across the Nushagak drainage and to identify data gaps where new collaborative monitoring efforts could provide the greatest value.</w:t>
      </w:r>
    </w:p>
    <w:bookmarkStart w:id="23" w:name="structure"/>
    <w:p>
      <w:pPr>
        <w:pStyle w:val="Heading2"/>
      </w:pPr>
      <w:r>
        <w:t xml:space="preserve">1.1 Structure</w:t>
      </w:r>
    </w:p>
    <w:p>
      <w:pPr>
        <w:pStyle w:val="FirstParagraph"/>
      </w:pPr>
      <w:r>
        <w:t xml:space="preserve">The document is organized in three parts:</w:t>
      </w:r>
    </w:p>
    <w:p>
      <w:pPr>
        <w:pStyle w:val="BodyText"/>
      </w:pPr>
      <w:r>
        <w:rPr>
          <w:b/>
          <w:bCs/>
        </w:rPr>
        <w:t xml:space="preserve">Part I</w:t>
      </w:r>
      <w:r>
        <w:t xml:space="preserve"> </w:t>
      </w:r>
      <w:r>
        <w:t xml:space="preserve">assembles existing data sources, maps monitoring station coverage, and catalogs what water quality parameters have been measured historically.</w:t>
      </w:r>
    </w:p>
    <w:p>
      <w:pPr>
        <w:pStyle w:val="BodyText"/>
      </w:pPr>
      <w:r>
        <w:rPr>
          <w:b/>
          <w:bCs/>
        </w:rPr>
        <w:t xml:space="preserve">Part II</w:t>
      </w:r>
      <w:r>
        <w:t xml:space="preserve"> </w:t>
      </w:r>
      <w:r>
        <w:t xml:space="preserve">synthesizes key physical, chemical, and biological parameters to characterize baseline conditions: temperature, pH, dissolved oxygen, metals, nutrients, and their relevance to salmon ecology.</w:t>
      </w:r>
    </w:p>
    <w:p>
      <w:pPr>
        <w:pStyle w:val="BodyText"/>
      </w:pPr>
      <w:r>
        <w:rPr>
          <w:b/>
          <w:bCs/>
        </w:rPr>
        <w:t xml:space="preserve">Part III</w:t>
      </w:r>
      <w:r>
        <w:t xml:space="preserve"> </w:t>
      </w:r>
      <w:r>
        <w:t xml:space="preserve">contextualizes this baseline within the RFP’s two core goals: establishing continuous monitoring efforts and enhancing data management systems for the participating tribes.</w:t>
      </w:r>
    </w:p>
    <w:bookmarkEnd w:id="23"/>
    <w:bookmarkStart w:id="25" w:name="scope-and-limitations"/>
    <w:p>
      <w:pPr>
        <w:pStyle w:val="Heading2"/>
      </w:pPr>
      <w:r>
        <w:t xml:space="preserve">1.2 Scope and Limitations</w:t>
      </w:r>
    </w:p>
    <w:p>
      <w:pPr>
        <w:pStyle w:val="FirstParagraph"/>
      </w:pPr>
      <w:r>
        <w:t xml:space="preserve">This synthesis covers all four HUC8 sub-basins of the Nushagak drainage:</w:t>
      </w:r>
    </w:p>
    <w:p>
      <w:pPr>
        <w:pStyle w:val="Compact"/>
        <w:numPr>
          <w:ilvl w:val="0"/>
          <w:numId w:val="1001"/>
        </w:numPr>
      </w:pPr>
      <w:r>
        <w:rPr>
          <w:b/>
          <w:bCs/>
        </w:rPr>
        <w:t xml:space="preserve">19030301</w:t>
      </w:r>
      <w:r>
        <w:t xml:space="preserve"> </w:t>
      </w:r>
      <w:r>
        <w:t xml:space="preserve">- Upper Nushagak River</w:t>
      </w:r>
    </w:p>
    <w:p>
      <w:pPr>
        <w:pStyle w:val="Compact"/>
        <w:numPr>
          <w:ilvl w:val="0"/>
          <w:numId w:val="1001"/>
        </w:numPr>
      </w:pPr>
      <w:r>
        <w:rPr>
          <w:b/>
          <w:bCs/>
        </w:rPr>
        <w:t xml:space="preserve">19030302</w:t>
      </w:r>
      <w:r>
        <w:t xml:space="preserve"> </w:t>
      </w:r>
      <w:r>
        <w:t xml:space="preserve">- Mulchatna River</w:t>
      </w:r>
    </w:p>
    <w:p>
      <w:pPr>
        <w:pStyle w:val="Compact"/>
        <w:numPr>
          <w:ilvl w:val="0"/>
          <w:numId w:val="1001"/>
        </w:numPr>
      </w:pPr>
      <w:r>
        <w:rPr>
          <w:b/>
          <w:bCs/>
        </w:rPr>
        <w:t xml:space="preserve">19030303</w:t>
      </w:r>
      <w:r>
        <w:t xml:space="preserve"> </w:t>
      </w:r>
      <w:r>
        <w:t xml:space="preserve">- Lower Nushagak River</w:t>
      </w:r>
    </w:p>
    <w:p>
      <w:pPr>
        <w:pStyle w:val="Compact"/>
        <w:numPr>
          <w:ilvl w:val="0"/>
          <w:numId w:val="1001"/>
        </w:numPr>
      </w:pPr>
      <w:r>
        <w:rPr>
          <w:b/>
          <w:bCs/>
        </w:rPr>
        <w:t xml:space="preserve">19030304</w:t>
      </w:r>
      <w:r>
        <w:t xml:space="preserve"> </w:t>
      </w:r>
      <w:r>
        <w:t xml:space="preserve">- Wood River</w:t>
      </w:r>
    </w:p>
    <w:p>
      <w:pPr>
        <w:pStyle w:val="FirstParagraph"/>
      </w:pPr>
      <w:r>
        <w:t xml:space="preserve">(See</w:t>
      </w:r>
      <w:r>
        <w:t xml:space="preserve"> </w:t>
      </w:r>
      <w:hyperlink r:id="rId24">
        <w:r>
          <w:rPr>
            <w:rStyle w:val="Hyperlink"/>
          </w:rPr>
          <w:t xml:space="preserve">https://water.usgs.gov/themes/hydrologic-units/</w:t>
        </w:r>
      </w:hyperlink>
      <w:r>
        <w:t xml:space="preserve"> </w:t>
      </w:r>
      <w:r>
        <w:t xml:space="preserve">for visual details).</w:t>
      </w:r>
    </w:p>
    <w:p>
      <w:pPr>
        <w:pStyle w:val="BodyText"/>
      </w:pPr>
      <w:r>
        <w:t xml:space="preserve">All data presented derives from public repositories (WQP, NWIS) and published literature. Data completeness varies by location and parameter; gaps are noted throughout. This analysis is current as of March 2024 for WQP/NWIS data.</w:t>
      </w:r>
    </w:p>
    <w:p>
      <w:pPr>
        <w:pStyle w:val="BodyText"/>
      </w:pPr>
      <w:r>
        <w:rPr>
          <w:b/>
          <w:bCs/>
        </w:rPr>
        <w:t xml:space="preserve">Prepared</w:t>
      </w:r>
      <w:r>
        <w:t xml:space="preserve">: October 2026</w:t>
      </w:r>
      <w:r>
        <w:br/>
      </w:r>
      <w:r>
        <w:rPr>
          <w:b/>
          <w:bCs/>
        </w:rPr>
        <w:t xml:space="preserve">Data current through</w:t>
      </w:r>
      <w:r>
        <w:t xml:space="preserve">: March 2024</w:t>
      </w:r>
    </w:p>
    <w:p>
      <w:pPr>
        <w:pStyle w:val="BodyText"/>
      </w:pPr>
      <w:r>
        <w:rPr>
          <w:i/>
          <w:iCs/>
        </w:rPr>
        <w:t xml:space="preserve">AI Disclosure: We used Posit Assistant (Claude Haiku 4.5 and Qwen3 30B) in RStudio to aid in debugging, deployment, and reproducibility of this web report. Content related to watershed monitoring plans and assessment of historic water quality data was drafted by Benjamin Meyer.</w:t>
      </w:r>
    </w:p>
    <w:bookmarkEnd w:id="25"/>
    <w:bookmarkEnd w:id="26"/>
    <w:bookmarkStart w:id="31" w:name="watershed-overview"/>
    <w:p>
      <w:pPr>
        <w:pStyle w:val="Heading1"/>
      </w:pPr>
      <w:r>
        <w:t xml:space="preserve">2. Watershed Overview</w:t>
      </w:r>
    </w:p>
    <w:bookmarkStart w:id="27" w:name="the-nushagak-drainage"/>
    <w:p>
      <w:pPr>
        <w:pStyle w:val="Heading2"/>
      </w:pPr>
      <w:r>
        <w:t xml:space="preserve">2.1 The Nushagak Drainage</w:t>
      </w:r>
    </w:p>
    <w:p>
      <w:pPr>
        <w:pStyle w:val="FirstParagraph"/>
      </w:pPr>
      <w:r>
        <w:t xml:space="preserve">The Nushagak River extends over than 280 miles from the Alaska Range to Bristol Bay. The watershed supports fisheries integral to the subsistence, cultural, and economic well-being of the communities in the region.</w:t>
      </w:r>
    </w:p>
    <w:bookmarkEnd w:id="27"/>
    <w:bookmarkStart w:id="28" w:name="participating-communities"/>
    <w:p>
      <w:pPr>
        <w:pStyle w:val="Heading2"/>
      </w:pPr>
      <w:r>
        <w:t xml:space="preserve">2.2 Participating Communities</w:t>
      </w:r>
    </w:p>
    <w:p>
      <w:pPr>
        <w:pStyle w:val="FirstParagraph"/>
      </w:pPr>
      <w:r>
        <w:t xml:space="preserve">Three tribes are proposing the collaborative monitoring effort:</w:t>
      </w:r>
    </w:p>
    <w:p>
      <w:pPr>
        <w:pStyle w:val="Compact"/>
        <w:numPr>
          <w:ilvl w:val="0"/>
          <w:numId w:val="1002"/>
        </w:numPr>
      </w:pPr>
      <w:r>
        <w:rPr>
          <w:b/>
          <w:bCs/>
        </w:rPr>
        <w:t xml:space="preserve">Native Village of Ekwok</w:t>
      </w:r>
      <w:r>
        <w:t xml:space="preserve">: Located on the Nushagak River mainstem</w:t>
      </w:r>
    </w:p>
    <w:p>
      <w:pPr>
        <w:pStyle w:val="Compact"/>
        <w:numPr>
          <w:ilvl w:val="0"/>
          <w:numId w:val="1002"/>
        </w:numPr>
      </w:pPr>
      <w:r>
        <w:rPr>
          <w:b/>
          <w:bCs/>
        </w:rPr>
        <w:t xml:space="preserve">New Koliganek Village Council</w:t>
      </w:r>
      <w:r>
        <w:t xml:space="preserve">: Located at the Koliganek River confluence</w:t>
      </w:r>
    </w:p>
    <w:p>
      <w:pPr>
        <w:pStyle w:val="Compact"/>
        <w:numPr>
          <w:ilvl w:val="0"/>
          <w:numId w:val="1002"/>
        </w:numPr>
      </w:pPr>
      <w:r>
        <w:rPr>
          <w:b/>
          <w:bCs/>
        </w:rPr>
        <w:t xml:space="preserve">New Stuyahok Village Council</w:t>
      </w:r>
      <w:r>
        <w:t xml:space="preserve">: Located on the Mulchatna River</w:t>
      </w:r>
    </w:p>
    <w:p>
      <w:pPr>
        <w:pStyle w:val="FirstParagraph"/>
      </w:pPr>
      <w:r>
        <w:t xml:space="preserve">Each community depends on wild salmon runs, and has a direct interest in water quality conditions affecting fishery productivity and food safety.</w:t>
      </w:r>
    </w:p>
    <w:bookmarkEnd w:id="28"/>
    <w:bookmarkStart w:id="29" w:name="why-monitor-water-quality"/>
    <w:p>
      <w:pPr>
        <w:pStyle w:val="Heading2"/>
      </w:pPr>
      <w:r>
        <w:t xml:space="preserve">2.3 Why Monitor Water Quality</w:t>
      </w:r>
    </w:p>
    <w:p>
      <w:pPr>
        <w:pStyle w:val="FirstParagraph"/>
      </w:pPr>
      <w:r>
        <w:t xml:space="preserve">Much as a physician may make health recommendations based on blood test results, fishery managers may make recommendations for healthy watersheds based on water quality data. Water quality parameters such as temperature, pH, dissolved oxygen, nutrient levels, and contaminant concentrations affect fish survival, growth, and reproduction. Baseline monitoring allows communities to detect changes over time and to make informed management decisions. Collaborative monitoring builds local capacity and ensures that data collected reflects community-defined priorities.</w:t>
      </w:r>
    </w:p>
    <w:bookmarkEnd w:id="29"/>
    <w:bookmarkStart w:id="30" w:name="objectives-of-this-analysis"/>
    <w:p>
      <w:pPr>
        <w:pStyle w:val="Heading2"/>
      </w:pPr>
      <w:r>
        <w:t xml:space="preserve">2.4 Objectives of This Analysis</w:t>
      </w:r>
    </w:p>
    <w:p>
      <w:pPr>
        <w:pStyle w:val="FirstParagraph"/>
      </w:pPr>
      <w:r>
        <w:t xml:space="preserve">This document provides:</w:t>
      </w:r>
    </w:p>
    <w:p>
      <w:pPr>
        <w:pStyle w:val="Compact"/>
        <w:numPr>
          <w:ilvl w:val="0"/>
          <w:numId w:val="1003"/>
        </w:numPr>
      </w:pPr>
      <w:r>
        <w:t xml:space="preserve">An inventory of existing water quality data across the Nushagak drainage</w:t>
      </w:r>
    </w:p>
    <w:p>
      <w:pPr>
        <w:pStyle w:val="Compact"/>
        <w:numPr>
          <w:ilvl w:val="0"/>
          <w:numId w:val="1003"/>
        </w:numPr>
      </w:pPr>
      <w:r>
        <w:t xml:space="preserve">A spatial and temporal summary of what has been measured and where</w:t>
      </w:r>
    </w:p>
    <w:p>
      <w:pPr>
        <w:pStyle w:val="Compact"/>
        <w:numPr>
          <w:ilvl w:val="0"/>
          <w:numId w:val="1003"/>
        </w:numPr>
      </w:pPr>
      <w:r>
        <w:t xml:space="preserve">A characterization of baseline conditions for key parameters</w:t>
      </w:r>
    </w:p>
    <w:p>
      <w:pPr>
        <w:pStyle w:val="Compact"/>
        <w:numPr>
          <w:ilvl w:val="0"/>
          <w:numId w:val="1003"/>
        </w:numPr>
      </w:pPr>
      <w:r>
        <w:t xml:space="preserve">Identification of gaps where new monitoring efforts could be most valuable</w:t>
      </w:r>
    </w:p>
    <w:p>
      <w:pPr>
        <w:pStyle w:val="Compact"/>
        <w:numPr>
          <w:ilvl w:val="0"/>
          <w:numId w:val="1003"/>
        </w:numPr>
      </w:pPr>
      <w:r>
        <w:t xml:space="preserve">Context for designing monitoring strategies that align with the RFP’s goals</w:t>
      </w:r>
    </w:p>
    <w:p>
      <w:pPr>
        <w:pStyle w:val="FirstParagraph"/>
      </w:pPr>
      <w:r>
        <w:rPr>
          <w:i/>
          <w:iCs/>
        </w:rPr>
        <w:t xml:space="preserve">Chapters that follow explore each of these objectives in detail.</w:t>
      </w:r>
    </w:p>
    <w:bookmarkEnd w:id="30"/>
    <w:bookmarkEnd w:id="31"/>
    <w:bookmarkStart w:id="47" w:name="data-sources-and-inventory"/>
    <w:p>
      <w:pPr>
        <w:pStyle w:val="Heading1"/>
      </w:pPr>
      <w:r>
        <w:t xml:space="preserve">3. Data Sources and Inventory</w:t>
      </w:r>
    </w:p>
    <w:bookmarkStart w:id="35" w:name="public-data-repositories"/>
    <w:p>
      <w:pPr>
        <w:pStyle w:val="Heading2"/>
      </w:pPr>
      <w:r>
        <w:t xml:space="preserve">3.1 Public Data Repositories</w:t>
      </w:r>
    </w:p>
    <w:bookmarkStart w:id="32" w:name="water-quality-portal-wqp"/>
    <w:p>
      <w:pPr>
        <w:pStyle w:val="Heading3"/>
      </w:pPr>
      <w:r>
        <w:t xml:space="preserve">3.1.1 Water Quality Portal (WQP)</w:t>
      </w:r>
    </w:p>
    <w:p>
      <w:pPr>
        <w:pStyle w:val="FirstParagraph"/>
      </w:pPr>
      <w:r>
        <w:t xml:space="preserve">The EPA Water Quality Portal (WQP) aggregates water quality data from multiple sources: EPA’s Storage and Retrieval (STORET) system, USGS National Water Information System (NWIS), and state environmental agency databases. For the Nushagak watershed, WQP contains physical and chemical measurements (pH, temperature, conductivity, turbidity), nutrients (nitrogen, phosphorus), trace metals, and biological observations.</w:t>
      </w:r>
    </w:p>
    <w:p>
      <w:pPr>
        <w:pStyle w:val="BodyText"/>
      </w:pPr>
      <w:r>
        <w:rPr>
          <w:b/>
          <w:bCs/>
        </w:rPr>
        <w:t xml:space="preserve">Access</w:t>
      </w:r>
      <w:r>
        <w:t xml:space="preserve">: Queried via the</w:t>
      </w:r>
      <w:r>
        <w:t xml:space="preserve"> </w:t>
      </w:r>
      <w:r>
        <w:rPr>
          <w:rStyle w:val="VerbatimChar"/>
        </w:rPr>
        <w:t xml:space="preserve">dataRetrieval</w:t>
      </w:r>
      <w:r>
        <w:t xml:space="preserve"> </w:t>
      </w:r>
      <w:r>
        <w:t xml:space="preserve">R package using HUC identifiers. Data are current through March 2024.</w:t>
      </w:r>
    </w:p>
    <w:bookmarkEnd w:id="32"/>
    <w:bookmarkStart w:id="33" w:name="X89f800eebcd993ccc11df68be86f595d4e49400"/>
    <w:p>
      <w:pPr>
        <w:pStyle w:val="Heading3"/>
      </w:pPr>
      <w:r>
        <w:t xml:space="preserve">3.1.2 USGS National Water Information System (NWIS)</w:t>
      </w:r>
    </w:p>
    <w:p>
      <w:pPr>
        <w:pStyle w:val="FirstParagraph"/>
      </w:pPr>
      <w:r>
        <w:t xml:space="preserve">NWIS contains streamflow measurements, continuous water temperature records from deployed sensors, and periodic water chemistry samples collected by USGS. These data often span decades and provide context for long-term trends.</w:t>
      </w:r>
    </w:p>
    <w:p>
      <w:pPr>
        <w:pStyle w:val="BodyText"/>
      </w:pPr>
      <w:r>
        <w:rPr>
          <w:b/>
          <w:bCs/>
        </w:rPr>
        <w:t xml:space="preserve">Access</w:t>
      </w:r>
      <w:r>
        <w:t xml:space="preserve">: Queried via</w:t>
      </w:r>
      <w:r>
        <w:t xml:space="preserve"> </w:t>
      </w:r>
      <w:r>
        <w:rPr>
          <w:rStyle w:val="VerbatimChar"/>
        </w:rPr>
        <w:t xml:space="preserve">dataRetrieval::readNWISdata()</w:t>
      </w:r>
      <w:r>
        <w:t xml:space="preserve"> </w:t>
      </w:r>
      <w:r>
        <w:t xml:space="preserve">in R scripts. Site identifiers are referenced in WQP but can also be accessed directly.</w:t>
      </w:r>
    </w:p>
    <w:bookmarkEnd w:id="33"/>
    <w:bookmarkStart w:id="34" w:name="X2653410c6de34c30272b68d4cefb1144bf968e0"/>
    <w:p>
      <w:pPr>
        <w:pStyle w:val="Heading3"/>
      </w:pPr>
      <w:r>
        <w:t xml:space="preserve">3.1.3 Alaska Department of Environmental Conservation (DEC) Water Quality Portal</w:t>
      </w:r>
    </w:p>
    <w:p>
      <w:pPr>
        <w:pStyle w:val="FirstParagraph"/>
      </w:pPr>
      <w:r>
        <w:t xml:space="preserve">Alaska DEC maintains ambient water quality monitoring data, Section 303(d) impairment assessments, and reports on grant-funded monitoring projects. Coverage of the Nushagak drainage is variable.</w:t>
      </w:r>
    </w:p>
    <w:p>
      <w:pPr>
        <w:pStyle w:val="BodyText"/>
      </w:pPr>
      <w:r>
        <w:rPr>
          <w:b/>
          <w:bCs/>
        </w:rPr>
        <w:t xml:space="preserve">Access</w:t>
      </w:r>
      <w:r>
        <w:t xml:space="preserve">: Manual browsing of the DEC portal (https://dec.alaska.gov/water/) or direct contact with DEC regional offices for data export.</w:t>
      </w:r>
    </w:p>
    <w:p>
      <w:r>
        <w:pict>
          <v:rect style="width:0;height:1.5pt" o:hralign="center" o:hrstd="t" o:hr="t"/>
        </w:pict>
      </w:r>
    </w:p>
    <w:bookmarkEnd w:id="34"/>
    <w:bookmarkEnd w:id="35"/>
    <w:bookmarkStart w:id="44" w:name="secondary-literature-and-regulatory-data"/>
    <w:p>
      <w:pPr>
        <w:pStyle w:val="Heading2"/>
      </w:pPr>
      <w:r>
        <w:t xml:space="preserve">3.2 Secondary Literature and Regulatory Data</w:t>
      </w:r>
    </w:p>
    <w:bookmarkStart w:id="37" w:name="epa-bristol-bay-watershed-assessment"/>
    <w:p>
      <w:pPr>
        <w:pStyle w:val="Heading3"/>
      </w:pPr>
      <w:r>
        <w:t xml:space="preserve">3.2.1 EPA Bristol Bay Watershed Assessment</w:t>
      </w:r>
    </w:p>
    <w:p>
      <w:pPr>
        <w:pStyle w:val="FirstParagraph"/>
      </w:pPr>
      <w:r>
        <w:t xml:space="preserve">The EPA’s</w:t>
      </w:r>
      <w:r>
        <w:t xml:space="preserve"> </w:t>
      </w:r>
      <w:hyperlink r:id="rId36">
        <w:r>
          <w:rPr>
            <w:rStyle w:val="Hyperlink"/>
          </w:rPr>
          <w:t xml:space="preserve">Bristol Bay Watershed Assessment</w:t>
        </w:r>
      </w:hyperlink>
      <w:r>
        <w:t xml:space="preserve"> </w:t>
      </w:r>
      <w:r>
        <w:t xml:space="preserve">synthesizes data on aquatic ecosystems, fisheries, and water quality across the Bristol Bay region, including the Nushagak drainage. Published reports include summary tables of trace metal concentrations and baseline conditions for comparison.</w:t>
      </w:r>
    </w:p>
    <w:p>
      <w:pPr>
        <w:pStyle w:val="BodyText"/>
      </w:pPr>
      <w:r>
        <w:rPr>
          <w:b/>
          <w:bCs/>
        </w:rPr>
        <w:t xml:space="preserve">Access</w:t>
      </w:r>
      <w:r>
        <w:t xml:space="preserve">: Published reports; data presented in tables and narrative form.</w:t>
      </w:r>
    </w:p>
    <w:bookmarkEnd w:id="37"/>
    <w:bookmarkStart w:id="41" w:name="X32023e1dffe9d65d3ee349d5cd6e07ff765ee1b"/>
    <w:p>
      <w:pPr>
        <w:pStyle w:val="Heading3"/>
      </w:pPr>
      <w:r>
        <w:t xml:space="preserve">3.2.2 Pebble Project Environmental Baseline Document</w:t>
      </w:r>
    </w:p>
    <w:p>
      <w:pPr>
        <w:pStyle w:val="FirstParagraph"/>
      </w:pPr>
      <w:r>
        <w:t xml:space="preserve">The Pebble Project Environmental Impact Statement included extensive baseline water quality monitoring in the Mulchatna and Koktuli river drainages (tributaries of the Nushagak). These data include surface water chemistry, dissolved and total metals, alkalinity, and stream temperature records.</w:t>
      </w:r>
    </w:p>
    <w:p>
      <w:pPr>
        <w:pStyle w:val="BodyText"/>
      </w:pPr>
      <w:r>
        <w:rPr>
          <w:b/>
          <w:bCs/>
        </w:rPr>
        <w:t xml:space="preserve">Access</w:t>
      </w:r>
      <w:r>
        <w:t xml:space="preserve">: Available through the Pebble Project EIS website (e.g. </w:t>
      </w:r>
      <w:hyperlink r:id="rId38">
        <w:r>
          <w:rPr>
            <w:rStyle w:val="Hyperlink"/>
          </w:rPr>
          <w:t xml:space="preserve">ch_09_water_quality_bb.pdf</w:t>
        </w:r>
      </w:hyperlink>
      <w:r>
        <w:t xml:space="preserve">). Data are published as PDF tables across thousands of pages. The reproducible pipeline (see</w:t>
      </w:r>
      <w:r>
        <w:t xml:space="preserve"> </w:t>
      </w:r>
      <w:hyperlink r:id="rId39">
        <w:r>
          <w:rPr>
            <w:rStyle w:val="VerbatimChar"/>
          </w:rPr>
          <w:t xml:space="preserve">scripts/README.md</w:t>
        </w:r>
      </w:hyperlink>
      <w:r>
        <w:t xml:space="preserve">) extracts site coordinates from a 2008 cumulative station table, spatially filters to the four Nushagak HUC8s, locates each confirmed site’s chemistry data table pages by exact site-ID match, parses those tables into tidy long-format records, and joins the result back to site coordinates for mapping (37 confirmed sites, 71,037 chemistry records, 2004-2008). Results appear on the map in the</w:t>
      </w:r>
      <w:r>
        <w:t xml:space="preserve"> </w:t>
      </w:r>
      <w:hyperlink r:id="rId40">
        <w:r>
          <w:rPr>
            <w:rStyle w:val="Hyperlink"/>
          </w:rPr>
          <w:t xml:space="preserve">Spatial Coverage</w:t>
        </w:r>
      </w:hyperlink>
      <w:r>
        <w:t xml:space="preserve"> </w:t>
      </w:r>
      <w:r>
        <w:t xml:space="preserve">chapter.</w:t>
      </w:r>
    </w:p>
    <w:bookmarkEnd w:id="41"/>
    <w:bookmarkStart w:id="43" w:name="academic-and-tribal-monitoring"/>
    <w:p>
      <w:pPr>
        <w:pStyle w:val="Heading3"/>
      </w:pPr>
      <w:r>
        <w:t xml:space="preserve">3.2.3 Academic and Tribal Monitoring</w:t>
      </w:r>
    </w:p>
    <w:p>
      <w:pPr>
        <w:pStyle w:val="FirstParagraph"/>
      </w:pPr>
      <w:r>
        <w:t xml:space="preserve">Cook Inletkeeper, Bristol Bay Native Association (BBNA), and academic researchers have collected water quality and stream temperature data relevant to the watershed. Some data are publicly available (e.g. </w:t>
      </w:r>
      <w:hyperlink r:id="rId42">
        <w:r>
          <w:rPr>
            <w:rStyle w:val="Hyperlink"/>
          </w:rPr>
          <w:t xml:space="preserve">AKTEMP</w:t>
        </w:r>
      </w:hyperlink>
      <w:r>
        <w:t xml:space="preserve">); others are held by tribal organizations or require partnership agreements.</w:t>
      </w:r>
    </w:p>
    <w:p>
      <w:pPr>
        <w:pStyle w:val="BodyText"/>
      </w:pPr>
      <w:r>
        <w:rPr>
          <w:b/>
          <w:bCs/>
        </w:rPr>
        <w:t xml:space="preserve">Access</w:t>
      </w:r>
      <w:r>
        <w:t xml:space="preserve">: Variable; direct contact with organizations recommended (e.g. University of Washington Alaska Salmon Program)</w:t>
      </w:r>
    </w:p>
    <w:p>
      <w:r>
        <w:pict>
          <v:rect style="width:0;height:1.5pt" o:hralign="center" o:hrstd="t" o:hr="t"/>
        </w:pict>
      </w:r>
    </w:p>
    <w:bookmarkEnd w:id="43"/>
    <w:bookmarkEnd w:id="44"/>
    <w:bookmarkStart w:id="46" w:name="data-compilation-strategy"/>
    <w:p>
      <w:pPr>
        <w:pStyle w:val="Heading2"/>
      </w:pPr>
      <w:r>
        <w:t xml:space="preserve">3.3 Data Compilation Strategy</w:t>
      </w:r>
    </w:p>
    <w:p>
      <w:pPr>
        <w:pStyle w:val="FirstParagraph"/>
      </w:pPr>
      <w:r>
        <w:t xml:space="preserve">This analysis prioritizes directly queryable data (WQP, NWIS) to ensure reproducibility and transparency. Grey literature is referenced to contextualize findings and identify historical patterns, but analysis for now focuses on accessible, reproducible data pipelines.</w:t>
      </w:r>
    </w:p>
    <w:bookmarkStart w:id="45" w:name="data-quality-and-validation"/>
    <w:p>
      <w:pPr>
        <w:pStyle w:val="Heading3"/>
      </w:pPr>
      <w:r>
        <w:t xml:space="preserve">3.3.1 Data Quality and Validation</w:t>
      </w:r>
    </w:p>
    <w:p>
      <w:pPr>
        <w:pStyle w:val="FirstParagraph"/>
      </w:pPr>
      <w:r>
        <w:t xml:space="preserve">WQP data are submitted by multiple organizations using the EPA’s Water Quality eXchange (WQX) standard, but data entry practices and metadata quality vary.</w:t>
      </w:r>
    </w:p>
    <w:p>
      <w:pPr>
        <w:pStyle w:val="BodyText"/>
      </w:pPr>
      <w:r>
        <w:t xml:space="preserve">For future work or larger-scale data integration, the EPA’s</w:t>
      </w:r>
      <w:r>
        <w:t xml:space="preserve"> </w:t>
      </w:r>
      <w:r>
        <w:rPr>
          <w:b/>
          <w:bCs/>
        </w:rPr>
        <w:t xml:space="preserve">Tools for Automated Data Analysis (TADA)</w:t>
      </w:r>
      <w:r>
        <w:t xml:space="preserve"> </w:t>
      </w:r>
      <w:r>
        <w:t xml:space="preserve">framework provides a systematic approach to data discovery, validation, and cleaning. TADA includes automated quality control screens, detection limit handling, unit harmonization, and flagging of invalid metadata using EPA’s WQX domain validation services. Organizations preparing data submissions to WQP can use TADA to ensure consistency before archival. See the Data Management chapter for a discussion of TADA’s role in the proposed monitoring system.</w:t>
      </w:r>
    </w:p>
    <w:p>
      <w:pPr>
        <w:pStyle w:val="BodyText"/>
      </w:pPr>
      <w:r>
        <w:t xml:space="preserve">A summary of stations and observation counts by HUC follows in the next chapter.</w:t>
      </w:r>
    </w:p>
    <w:bookmarkEnd w:id="45"/>
    <w:bookmarkEnd w:id="46"/>
    <w:bookmarkEnd w:id="47"/>
    <w:bookmarkStart w:id="53" w:name="spatial-coverage-of-monitoring-stations"/>
    <w:p>
      <w:pPr>
        <w:pStyle w:val="Heading1"/>
      </w:pPr>
      <w:r>
        <w:t xml:space="preserve">4. Spatial Coverage of Monitoring Stations</w:t>
      </w:r>
    </w:p>
    <w:p>
      <w:pPr>
        <w:pStyle w:val="SourceCode"/>
      </w:pPr>
      <w:r>
        <w:rPr>
          <w:rStyle w:val="FunctionTok"/>
        </w:rPr>
        <w:t xml:space="preserve">library</w:t>
      </w:r>
      <w:r>
        <w:rPr>
          <w:rStyle w:val="NormalTok"/>
        </w:rPr>
        <w:t xml:space="preserve">(dataRetrieval)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(leaflet)</w:t>
      </w:r>
      <w:r>
        <w:br/>
      </w:r>
      <w:r>
        <w:rPr>
          <w:rStyle w:val="FunctionTok"/>
        </w:rPr>
        <w:t xml:space="preserve">library</w:t>
      </w:r>
      <w:r>
        <w:rPr>
          <w:rStyle w:val="NormalTok"/>
        </w:rPr>
        <w:t xml:space="preserve">(ggplot2)</w:t>
      </w:r>
      <w:r>
        <w:br/>
      </w:r>
      <w:r>
        <w:br/>
      </w:r>
      <w:r>
        <w:rPr>
          <w:rStyle w:val="CommentTok"/>
        </w:rPr>
        <w:t xml:space="preserve"># Four HUC8s draining into the Nushagak River. HUC8 19030305 (Togiak River)</w:t>
      </w:r>
      <w:r>
        <w:br/>
      </w:r>
      <w:r>
        <w:rPr>
          <w:rStyle w:val="CommentTok"/>
        </w:rPr>
        <w:t xml:space="preserve"># drains separately into Bristol Bay and is excluded; see Observations below.</w:t>
      </w:r>
      <w:r>
        <w:br/>
      </w:r>
      <w:r>
        <w:rPr>
          <w:rStyle w:val="NormalTok"/>
        </w:rPr>
        <w:t xml:space="preserve">nushagak_hucs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"19030301"</w:t>
      </w:r>
      <w:r>
        <w:rPr>
          <w:rStyle w:val="NormalTok"/>
        </w:rPr>
        <w:t xml:space="preserve">, </w:t>
      </w:r>
      <w:r>
        <w:rPr>
          <w:rStyle w:val="StringTok"/>
        </w:rPr>
        <w:t xml:space="preserve">"19030302"</w:t>
      </w:r>
      <w:r>
        <w:rPr>
          <w:rStyle w:val="NormalTok"/>
        </w:rPr>
        <w:t xml:space="preserve">, </w:t>
      </w:r>
      <w:r>
        <w:rPr>
          <w:rStyle w:val="StringTok"/>
        </w:rPr>
        <w:t xml:space="preserve">"19030303"</w:t>
      </w:r>
      <w:r>
        <w:rPr>
          <w:rStyle w:val="NormalTok"/>
        </w:rPr>
        <w:t xml:space="preserve">, </w:t>
      </w:r>
      <w:r>
        <w:rPr>
          <w:rStyle w:val="StringTok"/>
        </w:rPr>
        <w:t xml:space="preserve">"19030304"</w:t>
      </w:r>
      <w:r>
        <w:rPr>
          <w:rStyle w:val="NormalTok"/>
        </w:rPr>
        <w:t xml:space="preserve">)</w:t>
      </w:r>
      <w:r>
        <w:br/>
      </w:r>
      <w:r>
        <w:br/>
      </w:r>
      <w:r>
        <w:rPr>
          <w:rStyle w:val="CommentTok"/>
        </w:rPr>
        <w:t xml:space="preserve"># Fetch station inventory</w:t>
      </w:r>
      <w:r>
        <w:br/>
      </w:r>
      <w:r>
        <w:rPr>
          <w:rStyle w:val="FunctionTok"/>
        </w:rPr>
        <w:t xml:space="preserve">message</w:t>
      </w:r>
      <w:r>
        <w:rPr>
          <w:rStyle w:val="NormalTok"/>
        </w:rPr>
        <w:t xml:space="preserve">(</w:t>
      </w:r>
      <w:r>
        <w:rPr>
          <w:rStyle w:val="StringTok"/>
        </w:rPr>
        <w:t xml:space="preserve">"Querying WQP for the four Nushagak HUC8 sub-basins..."</w:t>
      </w:r>
      <w:r>
        <w:rPr>
          <w:rStyle w:val="NormalTok"/>
        </w:rPr>
        <w:t xml:space="preserve">)</w:t>
      </w:r>
      <w:r>
        <w:br/>
      </w:r>
      <w:r>
        <w:rPr>
          <w:rStyle w:val="NormalTok"/>
        </w:rPr>
        <w:t xml:space="preserve">wq_inventory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ntrolFlowTok"/>
        </w:rPr>
        <w:t xml:space="preserve">for</w:t>
      </w:r>
      <w:r>
        <w:rPr>
          <w:rStyle w:val="NormalTok"/>
        </w:rPr>
        <w:t xml:space="preserve"> (huc </w:t>
      </w:r>
      <w:r>
        <w:rPr>
          <w:rStyle w:val="ControlFlowTok"/>
        </w:rPr>
        <w:t xml:space="preserve">in</w:t>
      </w:r>
      <w:r>
        <w:rPr>
          <w:rStyle w:val="NormalTok"/>
        </w:rPr>
        <w:t xml:space="preserve"> nushagak_hucs) {</w:t>
      </w:r>
      <w:r>
        <w:br/>
      </w:r>
      <w:r>
        <w:rPr>
          <w:rStyle w:val="NormalTok"/>
        </w:rPr>
        <w:t xml:space="preserve">  temp </w:t>
      </w:r>
      <w:r>
        <w:rPr>
          <w:rStyle w:val="OtherTok"/>
        </w:rPr>
        <w:t xml:space="preserve">&lt;-</w:t>
      </w:r>
      <w:r>
        <w:rPr>
          <w:rStyle w:val="NormalTok"/>
        </w:rPr>
        <w:t xml:space="preserve"> </w:t>
      </w:r>
      <w:r>
        <w:rPr>
          <w:rStyle w:val="FunctionTok"/>
        </w:rPr>
        <w:t xml:space="preserve">whatWQPdata</w:t>
      </w:r>
      <w:r>
        <w:rPr>
          <w:rStyle w:val="NormalTok"/>
        </w:rPr>
        <w:t xml:space="preserve">(</w:t>
      </w:r>
      <w:r>
        <w:rPr>
          <w:rStyle w:val="AttributeTok"/>
        </w:rPr>
        <w:t xml:space="preserve">huc =</w:t>
      </w:r>
      <w:r>
        <w:rPr>
          <w:rStyle w:val="NormalTok"/>
        </w:rPr>
        <w:t xml:space="preserve"> huc)</w:t>
      </w:r>
      <w:r>
        <w:br/>
      </w:r>
      <w:r>
        <w:rPr>
          <w:rStyle w:val="NormalTok"/>
        </w:rPr>
        <w:t xml:space="preserve">  temp</w:t>
      </w:r>
      <w:r>
        <w:rPr>
          <w:rStyle w:val="SpecialCharTok"/>
        </w:rPr>
        <w:t xml:space="preserve">$</w:t>
      </w:r>
      <w:r>
        <w:rPr>
          <w:rStyle w:val="NormalTok"/>
        </w:rPr>
        <w:t xml:space="preserve">HUC </w:t>
      </w:r>
      <w:r>
        <w:rPr>
          <w:rStyle w:val="OtherTok"/>
        </w:rPr>
        <w:t xml:space="preserve">&lt;-</w:t>
      </w:r>
      <w:r>
        <w:rPr>
          <w:rStyle w:val="NormalTok"/>
        </w:rPr>
        <w:t xml:space="preserve"> huc</w:t>
      </w:r>
      <w:r>
        <w:br/>
      </w:r>
      <w:r>
        <w:rPr>
          <w:rStyle w:val="NormalTok"/>
        </w:rPr>
        <w:t xml:space="preserve">  wq_inventory </w:t>
      </w:r>
      <w:r>
        <w:rPr>
          <w:rStyle w:val="OtherTok"/>
        </w:rPr>
        <w:t xml:space="preserve">&lt;-</w:t>
      </w:r>
      <w:r>
        <w:rPr>
          <w:rStyle w:val="NormalTok"/>
        </w:rPr>
        <w:t xml:space="preserve"> </w:t>
      </w:r>
      <w:r>
        <w:rPr>
          <w:rStyle w:val="FunctionTok"/>
        </w:rPr>
        <w:t xml:space="preserve">rbind</w:t>
      </w:r>
      <w:r>
        <w:rPr>
          <w:rStyle w:val="NormalTok"/>
        </w:rPr>
        <w:t xml:space="preserve">(wq_inventory, temp)</w:t>
      </w:r>
      <w:r>
        <w:br/>
      </w:r>
      <w:r>
        <w:rPr>
          <w:rStyle w:val="NormalTok"/>
        </w:rPr>
        <w:t xml:space="preserve">}</w:t>
      </w:r>
      <w:r>
        <w:br/>
      </w:r>
      <w:r>
        <w:br/>
      </w:r>
      <w:r>
        <w:rPr>
          <w:rStyle w:val="CommentTok"/>
        </w:rPr>
        <w:t xml:space="preserve"># Convert to spatial object</w:t>
      </w:r>
      <w:r>
        <w:br/>
      </w:r>
      <w:r>
        <w:rPr>
          <w:rStyle w:val="NormalTok"/>
        </w:rPr>
        <w:t xml:space="preserve">wq_sf </w:t>
      </w:r>
      <w:r>
        <w:rPr>
          <w:rStyle w:val="OtherTok"/>
        </w:rPr>
        <w:t xml:space="preserve">&lt;-</w:t>
      </w:r>
      <w:r>
        <w:rPr>
          <w:rStyle w:val="NormalTok"/>
        </w:rPr>
        <w:t xml:space="preserve"> wq_inventory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(lon), </w:t>
      </w:r>
      <w:r>
        <w:rPr>
          <w:rStyle w:val="SpecialCharTok"/>
        </w:rPr>
        <w:t xml:space="preserve">!</w:t>
      </w:r>
      <w:r>
        <w:rPr>
          <w:rStyle w:val="FunctionTok"/>
        </w:rPr>
        <w:t xml:space="preserve">is.na</w:t>
      </w:r>
      <w:r>
        <w:rPr>
          <w:rStyle w:val="NormalTok"/>
        </w:rPr>
        <w:t xml:space="preserve">(lat))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CommentTok"/>
        </w:rPr>
        <w:t xml:space="preserve"># Pebble Project 2004-2008 baseline monitoring sites, restricted to the</w:t>
      </w:r>
      <w:r>
        <w:br/>
      </w:r>
      <w:r>
        <w:rPr>
          <w:rStyle w:val="CommentTok"/>
        </w:rPr>
        <w:t xml:space="preserve"># Nushagak HUC8s (scripts/R/filter_pebble_by_huc8.R) and summarized with</w:t>
      </w:r>
      <w:r>
        <w:br/>
      </w:r>
      <w:r>
        <w:rPr>
          <w:rStyle w:val="CommentTok"/>
        </w:rPr>
        <w:t xml:space="preserve"># their chemistry sampling record (scripts/R/join_pebble_sites_chemistry.R).</w:t>
      </w:r>
      <w:r>
        <w:br/>
      </w:r>
      <w:r>
        <w:rPr>
          <w:rStyle w:val="CommentTok"/>
        </w:rPr>
        <w:t xml:space="preserve"># Gitignored pipeline output; see scripts/README.md to regenerate.</w:t>
      </w:r>
      <w:r>
        <w:br/>
      </w:r>
      <w:r>
        <w:rPr>
          <w:rStyle w:val="NormalTok"/>
        </w:rPr>
        <w:t xml:space="preserve">pebble_csv </w:t>
      </w:r>
      <w:r>
        <w:rPr>
          <w:rStyle w:val="OtherTok"/>
        </w:rPr>
        <w:t xml:space="preserve">&lt;-</w:t>
      </w:r>
      <w:r>
        <w:rPr>
          <w:rStyle w:val="NormalTok"/>
        </w:rPr>
        <w:t xml:space="preserve"> </w:t>
      </w:r>
      <w:r>
        <w:rPr>
          <w:rStyle w:val="StringTok"/>
        </w:rPr>
        <w:t xml:space="preserve">"../other/output/pebble_sites_chemistry_summary.csv"</w:t>
      </w:r>
      <w:r>
        <w:br/>
      </w:r>
      <w:r>
        <w:rPr>
          <w:rStyle w:val="NormalTok"/>
        </w:rPr>
        <w:t xml:space="preserve">pebble_sf </w:t>
      </w:r>
      <w:r>
        <w:rPr>
          <w:rStyle w:val="OtherTok"/>
        </w:rPr>
        <w:t xml:space="preserve">&lt;-</w:t>
      </w:r>
      <w:r>
        <w:rPr>
          <w:rStyle w:val="NormalTok"/>
        </w:rPr>
        <w:t xml:space="preserve"> </w:t>
      </w:r>
      <w:r>
        <w:rPr>
          <w:rStyle w:val="ConstantTok"/>
        </w:rPr>
        <w:t xml:space="preserve">NULL</w:t>
      </w:r>
      <w:r>
        <w:br/>
      </w:r>
      <w:r>
        <w:rPr>
          <w:rStyle w:val="ControlFlowTok"/>
        </w:rPr>
        <w:t xml:space="preserve">if</w:t>
      </w:r>
      <w:r>
        <w:rPr>
          <w:rStyle w:val="NormalTok"/>
        </w:rPr>
        <w:t xml:space="preserve"> (</w:t>
      </w:r>
      <w:r>
        <w:rPr>
          <w:rStyle w:val="FunctionTok"/>
        </w:rPr>
        <w:t xml:space="preserve">file.exists</w:t>
      </w:r>
      <w:r>
        <w:rPr>
          <w:rStyle w:val="NormalTok"/>
        </w:rPr>
        <w:t xml:space="preserve">(pebble_csv)) {</w:t>
      </w:r>
      <w:r>
        <w:br/>
      </w:r>
      <w:r>
        <w:rPr>
          <w:rStyle w:val="NormalTok"/>
        </w:rPr>
        <w:t xml:space="preserve">  pebble_sf </w:t>
      </w:r>
      <w:r>
        <w:rPr>
          <w:rStyle w:val="OtherTok"/>
        </w:rPr>
        <w:t xml:space="preserve">&lt;-</w:t>
      </w:r>
      <w:r>
        <w:rPr>
          <w:rStyle w:val="NormalTok"/>
        </w:rPr>
        <w:t xml:space="preserve"> </w:t>
      </w:r>
      <w:r>
        <w:rPr>
          <w:rStyle w:val="FunctionTok"/>
        </w:rPr>
        <w:t xml:space="preserve">read.csv</w:t>
      </w:r>
      <w:r>
        <w:rPr>
          <w:rStyle w:val="NormalTok"/>
        </w:rPr>
        <w:t xml:space="preserve">(pebble_csv, </w:t>
      </w:r>
      <w:r>
        <w:rPr>
          <w:rStyle w:val="AttributeTok"/>
        </w:rPr>
        <w:t xml:space="preserve">stringsAsFactors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(lon), </w:t>
      </w:r>
      <w:r>
        <w:rPr>
          <w:rStyle w:val="SpecialCharTok"/>
        </w:rPr>
        <w:t xml:space="preserve">!</w:t>
      </w:r>
      <w:r>
        <w:rPr>
          <w:rStyle w:val="FunctionTok"/>
        </w:rPr>
        <w:t xml:space="preserve">is.na</w:t>
      </w:r>
      <w:r>
        <w:rPr>
          <w:rStyle w:val="NormalTok"/>
        </w:rPr>
        <w:t xml:space="preserve">(lat))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NormalTok"/>
        </w:rPr>
        <w:t xml:space="preserve">}</w:t>
      </w:r>
    </w:p>
    <w:bookmarkStart w:id="49" w:name="overview-1"/>
    <w:p>
      <w:pPr>
        <w:pStyle w:val="Heading2"/>
      </w:pPr>
      <w:r>
        <w:t xml:space="preserve">4.1 Overview</w:t>
      </w:r>
    </w:p>
    <w:p>
      <w:pPr>
        <w:pStyle w:val="FirstParagraph"/>
      </w:pPr>
      <w:r>
        <w:t xml:space="preserve">Monitoring stations in the Nushagak drainage are distributed across streams and lakes in four HUC8 sub-basins. The map below displays all stations with water quality data available in the WQP, plus Pebble Project baseline sites (2004-2008) sampled in the Mulchatna River sub-basin ahead of the proposed mine; see</w:t>
      </w:r>
      <w:r>
        <w:t xml:space="preserve"> </w:t>
      </w:r>
      <w:hyperlink r:id="rId48">
        <w:r>
          <w:rPr>
            <w:rStyle w:val="Hyperlink"/>
          </w:rPr>
          <w:t xml:space="preserve">Data Sources</w:t>
        </w:r>
      </w:hyperlink>
      <w:r>
        <w:t xml:space="preserve"> </w:t>
      </w:r>
      <w:r>
        <w:t xml:space="preserve">for provenance.</w:t>
      </w:r>
    </w:p>
    <w:p>
      <w:pPr>
        <w:pStyle w:val="SourceCode"/>
      </w:pPr>
      <w:r>
        <w:rPr>
          <w:rStyle w:val="NormalTok"/>
        </w:rPr>
        <w:t xml:space="preserve">m </w:t>
      </w:r>
      <w:r>
        <w:rPr>
          <w:rStyle w:val="OtherTok"/>
        </w:rPr>
        <w:t xml:space="preserve">&lt;-</w:t>
      </w:r>
      <w:r>
        <w:rPr>
          <w:rStyle w:val="NormalTok"/>
        </w:rPr>
        <w:t xml:space="preserve"> </w:t>
      </w:r>
      <w:r>
        <w:rPr>
          <w:rStyle w:val="FunctionTok"/>
        </w:rPr>
        <w:t xml:space="preserve">leaflet</w:t>
      </w:r>
      <w:r>
        <w:rPr>
          <w:rStyle w:val="NormalTok"/>
        </w:rPr>
        <w:t xml:space="preserve">() </w:t>
      </w:r>
      <w:r>
        <w:rPr>
          <w:rStyle w:val="SpecialCharTok"/>
        </w:rPr>
        <w:t xml:space="preserve">%&gt;%</w:t>
      </w:r>
      <w:r>
        <w:br/>
      </w:r>
      <w:r>
        <w:rPr>
          <w:rStyle w:val="NormalTok"/>
        </w:rPr>
        <w:t xml:space="preserve">  </w:t>
      </w:r>
      <w:r>
        <w:rPr>
          <w:rStyle w:val="FunctionTok"/>
        </w:rPr>
        <w:t xml:space="preserve">addProviderTiles</w:t>
      </w:r>
      <w:r>
        <w:rPr>
          <w:rStyle w:val="NormalTok"/>
        </w:rPr>
        <w:t xml:space="preserve">(providers</w:t>
      </w:r>
      <w:r>
        <w:rPr>
          <w:rStyle w:val="SpecialCharTok"/>
        </w:rPr>
        <w:t xml:space="preserve">$</w:t>
      </w:r>
      <w:r>
        <w:rPr>
          <w:rStyle w:val="NormalTok"/>
        </w:rPr>
        <w:t xml:space="preserve">Esri.WorldTopoMap, </w:t>
      </w:r>
      <w:r>
        <w:rPr>
          <w:rStyle w:val="AttributeTok"/>
        </w:rPr>
        <w:t xml:space="preserve">group =</w:t>
      </w:r>
      <w:r>
        <w:rPr>
          <w:rStyle w:val="NormalTok"/>
        </w:rPr>
        <w:t xml:space="preserve"> </w:t>
      </w:r>
      <w:r>
        <w:rPr>
          <w:rStyle w:val="StringTok"/>
        </w:rPr>
        <w:t xml:space="preserve">"Topo"</w:t>
      </w:r>
      <w:r>
        <w:rPr>
          <w:rStyle w:val="NormalTok"/>
        </w:rPr>
        <w:t xml:space="preserve">) </w:t>
      </w:r>
      <w:r>
        <w:rPr>
          <w:rStyle w:val="SpecialCharTok"/>
        </w:rPr>
        <w:t xml:space="preserve">%&gt;%</w:t>
      </w:r>
      <w:r>
        <w:br/>
      </w:r>
      <w:r>
        <w:rPr>
          <w:rStyle w:val="NormalTok"/>
        </w:rPr>
        <w:t xml:space="preserve">  </w:t>
      </w:r>
      <w:r>
        <w:rPr>
          <w:rStyle w:val="FunctionTok"/>
        </w:rPr>
        <w:t xml:space="preserve">addProviderTiles</w:t>
      </w:r>
      <w:r>
        <w:rPr>
          <w:rStyle w:val="NormalTok"/>
        </w:rPr>
        <w:t xml:space="preserve">(providers</w:t>
      </w:r>
      <w:r>
        <w:rPr>
          <w:rStyle w:val="SpecialCharTok"/>
        </w:rPr>
        <w:t xml:space="preserve">$</w:t>
      </w:r>
      <w:r>
        <w:rPr>
          <w:rStyle w:val="NormalTok"/>
        </w:rPr>
        <w:t xml:space="preserve">Esri.WorldImagery, </w:t>
      </w:r>
      <w:r>
        <w:rPr>
          <w:rStyle w:val="AttributeTok"/>
        </w:rPr>
        <w:t xml:space="preserve">group =</w:t>
      </w:r>
      <w:r>
        <w:rPr>
          <w:rStyle w:val="NormalTok"/>
        </w:rPr>
        <w:t xml:space="preserve"> </w:t>
      </w:r>
      <w:r>
        <w:rPr>
          <w:rStyle w:val="StringTok"/>
        </w:rPr>
        <w:t xml:space="preserve">"Satellite"</w:t>
      </w:r>
      <w:r>
        <w:rPr>
          <w:rStyle w:val="NormalTok"/>
        </w:rPr>
        <w:t xml:space="preserve">) </w:t>
      </w:r>
      <w:r>
        <w:rPr>
          <w:rStyle w:val="SpecialCharTok"/>
        </w:rPr>
        <w:t xml:space="preserve">%&gt;%</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data =</w:t>
      </w:r>
      <w:r>
        <w:rPr>
          <w:rStyle w:val="NormalTok"/>
        </w:rPr>
        <w:t xml:space="preserve"> wq_sf,</w:t>
      </w:r>
      <w:r>
        <w:br/>
      </w:r>
      <w:r>
        <w:rPr>
          <w:rStyle w:val="NormalTok"/>
        </w:rPr>
        <w:t xml:space="preserve">    </w:t>
      </w:r>
      <w:r>
        <w:rPr>
          <w:rStyle w:val="AttributeTok"/>
        </w:rPr>
        <w:t xml:space="preserve">radius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popup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MonitoringLocationName, </w:t>
      </w:r>
      <w:r>
        <w:rPr>
          <w:rStyle w:val="StringTok"/>
        </w:rPr>
        <w:t xml:space="preserve">"&lt;/b&gt;&lt;br&gt;"</w:t>
      </w:r>
      <w:r>
        <w:rPr>
          <w:rStyle w:val="NormalTok"/>
        </w:rPr>
        <w:t xml:space="preserve">,</w:t>
      </w:r>
      <w:r>
        <w:br/>
      </w:r>
      <w:r>
        <w:rPr>
          <w:rStyle w:val="NormalTok"/>
        </w:rPr>
        <w:t xml:space="preserve">      </w:t>
      </w:r>
      <w:r>
        <w:rPr>
          <w:rStyle w:val="StringTok"/>
        </w:rPr>
        <w:t xml:space="preserve">"ID: "</w:t>
      </w:r>
      <w:r>
        <w:rPr>
          <w:rStyle w:val="NormalTok"/>
        </w:rPr>
        <w:t xml:space="preserve">, MonitoringLocationIdentifier, </w:t>
      </w:r>
      <w:r>
        <w:rPr>
          <w:rStyle w:val="StringTok"/>
        </w:rPr>
        <w:t xml:space="preserve">"&lt;br&gt;"</w:t>
      </w:r>
      <w:r>
        <w:rPr>
          <w:rStyle w:val="NormalTok"/>
        </w:rPr>
        <w:t xml:space="preserve">,</w:t>
      </w:r>
      <w:r>
        <w:br/>
      </w:r>
      <w:r>
        <w:rPr>
          <w:rStyle w:val="NormalTok"/>
        </w:rPr>
        <w:t xml:space="preserve">      </w:t>
      </w:r>
      <w:r>
        <w:rPr>
          <w:rStyle w:val="StringTok"/>
        </w:rPr>
        <w:t xml:space="preserve">"Org: "</w:t>
      </w:r>
      <w:r>
        <w:rPr>
          <w:rStyle w:val="NormalTok"/>
        </w:rPr>
        <w:t xml:space="preserve">, OrganizationFormalName, </w:t>
      </w:r>
      <w:r>
        <w:rPr>
          <w:rStyle w:val="StringTok"/>
        </w:rPr>
        <w:t xml:space="preserve">"&lt;br&gt;"</w:t>
      </w:r>
      <w:r>
        <w:rPr>
          <w:rStyle w:val="NormalTok"/>
        </w:rPr>
        <w:t xml:space="preserve">,</w:t>
      </w:r>
      <w:r>
        <w:br/>
      </w:r>
      <w:r>
        <w:rPr>
          <w:rStyle w:val="NormalTok"/>
        </w:rPr>
        <w:t xml:space="preserve">      </w:t>
      </w:r>
      <w:r>
        <w:rPr>
          <w:rStyle w:val="StringTok"/>
        </w:rPr>
        <w:t xml:space="preserve">"Results: "</w:t>
      </w:r>
      <w:r>
        <w:rPr>
          <w:rStyle w:val="NormalTok"/>
        </w:rPr>
        <w:t xml:space="preserve">, resultCount</w:t>
      </w:r>
      <w:r>
        <w:br/>
      </w:r>
      <w:r>
        <w:rPr>
          <w:rStyle w:val="NormalTok"/>
        </w:rPr>
        <w:t xml:space="preserve">    ),</w:t>
      </w:r>
      <w:r>
        <w:br/>
      </w:r>
      <w:r>
        <w:rPr>
          <w:rStyle w:val="NormalTok"/>
        </w:rPr>
        <w:t xml:space="preserve">    </w:t>
      </w:r>
      <w:r>
        <w:rPr>
          <w:rStyle w:val="AttributeTok"/>
        </w:rPr>
        <w:t xml:space="preserve">clusterOptions =</w:t>
      </w:r>
      <w:r>
        <w:rPr>
          <w:rStyle w:val="NormalTok"/>
        </w:rPr>
        <w:t xml:space="preserve"> </w:t>
      </w:r>
      <w:r>
        <w:rPr>
          <w:rStyle w:val="FunctionTok"/>
        </w:rPr>
        <w:t xml:space="preserve">markerClusterOptions</w:t>
      </w:r>
      <w:r>
        <w:rPr>
          <w:rStyle w:val="NormalTok"/>
        </w:rPr>
        <w:t xml:space="preserve">()</w:t>
      </w:r>
      <w:r>
        <w:br/>
      </w:r>
      <w:r>
        <w:rPr>
          <w:rStyle w:val="NormalTok"/>
        </w:rPr>
        <w:t xml:space="preserve">  )</w:t>
      </w:r>
      <w:r>
        <w:br/>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(pebble_sf)) {</w:t>
      </w:r>
      <w:r>
        <w:br/>
      </w:r>
      <w:r>
        <w:rPr>
          <w:rStyle w:val="NormalTok"/>
        </w:rPr>
        <w:t xml:space="preserve">  m </w:t>
      </w:r>
      <w:r>
        <w:rPr>
          <w:rStyle w:val="OtherTok"/>
        </w:rPr>
        <w:t xml:space="preserve">&lt;-</w:t>
      </w:r>
      <w:r>
        <w:rPr>
          <w:rStyle w:val="NormalTok"/>
        </w:rPr>
        <w:t xml:space="preserve"> m </w:t>
      </w:r>
      <w:r>
        <w:rPr>
          <w:rStyle w:val="SpecialCharTok"/>
        </w:rPr>
        <w:t xml:space="preserve">%&gt;%</w:t>
      </w:r>
      <w:r>
        <w:br/>
      </w:r>
      <w:r>
        <w:rPr>
          <w:rStyle w:val="NormalTok"/>
        </w:rPr>
        <w:t xml:space="preserve">    </w:t>
      </w:r>
      <w:r>
        <w:rPr>
          <w:rStyle w:val="FunctionTok"/>
        </w:rPr>
        <w:t xml:space="preserve">addCircleMarkers</w:t>
      </w:r>
      <w:r>
        <w:rPr>
          <w:rStyle w:val="NormalTok"/>
        </w:rPr>
        <w:t xml:space="preserve">(</w:t>
      </w:r>
      <w:r>
        <w:br/>
      </w:r>
      <w:r>
        <w:rPr>
          <w:rStyle w:val="NormalTok"/>
        </w:rPr>
        <w:t xml:space="preserve">      </w:t>
      </w:r>
      <w:r>
        <w:rPr>
          <w:rStyle w:val="AttributeTok"/>
        </w:rPr>
        <w:t xml:space="preserve">data =</w:t>
      </w:r>
      <w:r>
        <w:rPr>
          <w:rStyle w:val="NormalTok"/>
        </w:rPr>
        <w:t xml:space="preserve"> pebble_sf,</w:t>
      </w:r>
      <w:r>
        <w:br/>
      </w:r>
      <w:r>
        <w:rPr>
          <w:rStyle w:val="NormalTok"/>
        </w:rPr>
        <w:t xml:space="preserve">      </w:t>
      </w:r>
      <w:r>
        <w:rPr>
          <w:rStyle w:val="AttributeTok"/>
        </w:rPr>
        <w:t xml:space="preserve">radius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"#D55E00"</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popup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station_id, </w:t>
      </w:r>
      <w:r>
        <w:rPr>
          <w:rStyle w:val="StringTok"/>
        </w:rPr>
        <w:t xml:space="preserve">"&lt;/b&gt; ("</w:t>
      </w:r>
      <w:r>
        <w:rPr>
          <w:rStyle w:val="NormalTok"/>
        </w:rPr>
        <w:t xml:space="preserve">, type, </w:t>
      </w:r>
      <w:r>
        <w:rPr>
          <w:rStyle w:val="StringTok"/>
        </w:rPr>
        <w:t xml:space="preserve">")&lt;br&gt;"</w:t>
      </w:r>
      <w:r>
        <w:rPr>
          <w:rStyle w:val="NormalTok"/>
        </w:rPr>
        <w:t xml:space="preserve">,</w:t>
      </w:r>
      <w:r>
        <w:br/>
      </w:r>
      <w:r>
        <w:rPr>
          <w:rStyle w:val="NormalTok"/>
        </w:rPr>
        <w:t xml:space="preserve">        </w:t>
      </w:r>
      <w:r>
        <w:rPr>
          <w:rStyle w:val="StringTok"/>
        </w:rPr>
        <w:t xml:space="preserve">"Pebble Project 2004-2008 baseline&lt;br&gt;"</w:t>
      </w:r>
      <w:r>
        <w:rPr>
          <w:rStyle w:val="NormalTok"/>
        </w:rPr>
        <w:t xml:space="preserve">,</w:t>
      </w:r>
      <w:r>
        <w:br/>
      </w:r>
      <w:r>
        <w:rPr>
          <w:rStyle w:val="NormalTok"/>
        </w:rPr>
        <w:t xml:space="preserve">        </w:t>
      </w:r>
      <w:r>
        <w:rPr>
          <w:rStyle w:val="StringTok"/>
        </w:rPr>
        <w:t xml:space="preserve">"Sub-basin: "</w:t>
      </w:r>
      <w:r>
        <w:rPr>
          <w:rStyle w:val="NormalTok"/>
        </w:rPr>
        <w:t xml:space="preserve">, huc8_name, </w:t>
      </w:r>
      <w:r>
        <w:rPr>
          <w:rStyle w:val="StringTok"/>
        </w:rPr>
        <w:t xml:space="preserve">"&lt;br&gt;"</w:t>
      </w:r>
      <w:r>
        <w:rPr>
          <w:rStyle w:val="NormalTok"/>
        </w:rPr>
        <w:t xml:space="preserve">,</w:t>
      </w:r>
      <w:r>
        <w:br/>
      </w:r>
      <w:r>
        <w:rPr>
          <w:rStyle w:val="NormalTok"/>
        </w:rPr>
        <w:t xml:space="preserve">        </w:t>
      </w:r>
      <w:r>
        <w:rPr>
          <w:rStyle w:val="StringTok"/>
        </w:rPr>
        <w:t xml:space="preserve">"Samples: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(n_samples), </w:t>
      </w:r>
      <w:r>
        <w:rPr>
          <w:rStyle w:val="StringTok"/>
        </w:rPr>
        <w:t xml:space="preserve">"none recorded"</w:t>
      </w:r>
      <w:r>
        <w:rPr>
          <w:rStyle w:val="NormalTok"/>
        </w:rPr>
        <w:t xml:space="preserve">, n_samples), </w:t>
      </w:r>
      <w:r>
        <w:rPr>
          <w:rStyle w:val="StringTok"/>
        </w:rPr>
        <w:t xml:space="preserve">"&lt;br&gt;"</w:t>
      </w:r>
      <w:r>
        <w:rPr>
          <w:rStyle w:val="NormalTok"/>
        </w:rPr>
        <w:t xml:space="preserve">,</w:t>
      </w:r>
      <w:r>
        <w:br/>
      </w:r>
      <w:r>
        <w:rPr>
          <w:rStyle w:val="NormalTok"/>
        </w:rPr>
        <w:t xml:space="preserve">        </w:t>
      </w:r>
      <w:r>
        <w:rPr>
          <w:rStyle w:val="StringTok"/>
        </w:rPr>
        <w:t xml:space="preserve">"Parameters: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(n_parameters), </w:t>
      </w:r>
      <w:r>
        <w:rPr>
          <w:rStyle w:val="StringTok"/>
        </w:rPr>
        <w:t xml:space="preserve">"-"</w:t>
      </w:r>
      <w:r>
        <w:rPr>
          <w:rStyle w:val="NormalTok"/>
        </w:rPr>
        <w:t xml:space="preserve">, n_parameters), </w:t>
      </w:r>
      <w:r>
        <w:rPr>
          <w:rStyle w:val="StringTok"/>
        </w:rPr>
        <w:t xml:space="preserve">"&lt;br&gt;"</w:t>
      </w:r>
      <w:r>
        <w:rPr>
          <w:rStyle w:val="NormalTok"/>
        </w:rPr>
        <w:t xml:space="preserve">,</w:t>
      </w:r>
      <w:r>
        <w:br/>
      </w:r>
      <w:r>
        <w:rPr>
          <w:rStyle w:val="NormalTok"/>
        </w:rPr>
        <w:t xml:space="preserve">        </w:t>
      </w:r>
      <w:r>
        <w:rPr>
          <w:rStyle w:val="StringTok"/>
        </w:rPr>
        <w:t xml:space="preserve">"Date range: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(date_min), </w:t>
      </w:r>
      <w:r>
        <w:rPr>
          <w:rStyle w:val="StringTok"/>
        </w:rPr>
        <w:t xml:space="preserve">"-"</w:t>
      </w:r>
      <w:r>
        <w:rPr>
          <w:rStyle w:val="NormalTok"/>
        </w:rPr>
        <w:t xml:space="preserve">, </w:t>
      </w:r>
      <w:r>
        <w:rPr>
          <w:rStyle w:val="FunctionTok"/>
        </w:rPr>
        <w:t xml:space="preserve">paste</w:t>
      </w:r>
      <w:r>
        <w:rPr>
          <w:rStyle w:val="NormalTok"/>
        </w:rPr>
        <w:t xml:space="preserve">(date_min, </w:t>
      </w:r>
      <w:r>
        <w:rPr>
          <w:rStyle w:val="StringTok"/>
        </w:rPr>
        <w:t xml:space="preserve">"to"</w:t>
      </w:r>
      <w:r>
        <w:rPr>
          <w:rStyle w:val="NormalTok"/>
        </w:rPr>
        <w:t xml:space="preserve">, date_max))</w:t>
      </w:r>
      <w:r>
        <w:br/>
      </w:r>
      <w:r>
        <w:rPr>
          <w:rStyle w:val="NormalTok"/>
        </w:rPr>
        <w:t xml:space="preserve">      ),</w:t>
      </w:r>
      <w:r>
        <w:br/>
      </w:r>
      <w:r>
        <w:rPr>
          <w:rStyle w:val="NormalTok"/>
        </w:rPr>
        <w:t xml:space="preserve">      </w:t>
      </w:r>
      <w:r>
        <w:rPr>
          <w:rStyle w:val="AttributeTok"/>
        </w:rPr>
        <w:t xml:space="preserve">clusterOptions =</w:t>
      </w:r>
      <w:r>
        <w:rPr>
          <w:rStyle w:val="NormalTok"/>
        </w:rPr>
        <w:t xml:space="preserve"> </w:t>
      </w:r>
      <w:r>
        <w:rPr>
          <w:rStyle w:val="FunctionTok"/>
        </w:rPr>
        <w:t xml:space="preserve">markerClusterOptions</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m </w:t>
      </w:r>
      <w:r>
        <w:rPr>
          <w:rStyle w:val="SpecialCharTok"/>
        </w:rPr>
        <w:t xml:space="preserve">%&gt;%</w:t>
      </w:r>
      <w:r>
        <w:br/>
      </w:r>
      <w:r>
        <w:rPr>
          <w:rStyle w:val="NormalTok"/>
        </w:rPr>
        <w:t xml:space="preserve">  </w:t>
      </w:r>
      <w:r>
        <w:rPr>
          <w:rStyle w:val="FunctionTok"/>
        </w:rPr>
        <w:t xml:space="preserve">addLayersControl</w:t>
      </w:r>
      <w:r>
        <w:rPr>
          <w:rStyle w:val="NormalTok"/>
        </w:rPr>
        <w:t xml:space="preserve">(</w:t>
      </w:r>
      <w:r>
        <w:br/>
      </w:r>
      <w:r>
        <w:rPr>
          <w:rStyle w:val="NormalTok"/>
        </w:rPr>
        <w:t xml:space="preserve">    </w:t>
      </w:r>
      <w:r>
        <w:rPr>
          <w:rStyle w:val="AttributeTok"/>
        </w:rPr>
        <w:t xml:space="preserve">baseGroups =</w:t>
      </w:r>
      <w:r>
        <w:rPr>
          <w:rStyle w:val="NormalTok"/>
        </w:rPr>
        <w:t xml:space="preserve"> </w:t>
      </w:r>
      <w:r>
        <w:rPr>
          <w:rStyle w:val="FunctionTok"/>
        </w:rPr>
        <w:t xml:space="preserve">c</w:t>
      </w:r>
      <w:r>
        <w:rPr>
          <w:rStyle w:val="NormalTok"/>
        </w:rPr>
        <w:t xml:space="preserve">(</w:t>
      </w:r>
      <w:r>
        <w:rPr>
          <w:rStyle w:val="StringTok"/>
        </w:rPr>
        <w:t xml:space="preserve">"Topo"</w:t>
      </w:r>
      <w:r>
        <w:rPr>
          <w:rStyle w:val="NormalTok"/>
        </w:rPr>
        <w:t xml:space="preserve">, </w:t>
      </w:r>
      <w:r>
        <w:rPr>
          <w:rStyle w:val="StringTok"/>
        </w:rPr>
        <w:t xml:space="preserve">"Satellite"</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  )</w:t>
      </w:r>
    </w:p>
    <w:bookmarkEnd w:id="49"/>
    <w:bookmarkStart w:id="50" w:name="summary-by-huc"/>
    <w:p>
      <w:pPr>
        <w:pStyle w:val="Heading2"/>
      </w:pPr>
      <w:r>
        <w:t xml:space="preserve">4.2 Summary by HUC</w:t>
      </w:r>
    </w:p>
    <w:p>
      <w:pPr>
        <w:pStyle w:val="SourceCode"/>
      </w:pPr>
      <w:r>
        <w:rPr>
          <w:rStyle w:val="NormalTok"/>
        </w:rPr>
        <w:t xml:space="preserve">huc_summary </w:t>
      </w:r>
      <w:r>
        <w:rPr>
          <w:rStyle w:val="OtherTok"/>
        </w:rPr>
        <w:t xml:space="preserve">&lt;-</w:t>
      </w:r>
      <w:r>
        <w:rPr>
          <w:rStyle w:val="NormalTok"/>
        </w:rPr>
        <w:t xml:space="preserve"> wq_inventory </w:t>
      </w:r>
      <w:r>
        <w:rPr>
          <w:rStyle w:val="SpecialCharTok"/>
        </w:rPr>
        <w:t xml:space="preserve">%&gt;%</w:t>
      </w:r>
      <w:r>
        <w:br/>
      </w:r>
      <w:r>
        <w:rPr>
          <w:rStyle w:val="NormalTok"/>
        </w:rPr>
        <w:t xml:space="preserve">  </w:t>
      </w:r>
      <w:r>
        <w:rPr>
          <w:rStyle w:val="FunctionTok"/>
        </w:rPr>
        <w:t xml:space="preserve">group_by</w:t>
      </w:r>
      <w:r>
        <w:rPr>
          <w:rStyle w:val="NormalTok"/>
        </w:rPr>
        <w:t xml:space="preserve">(HUC)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Stations =</w:t>
      </w:r>
      <w:r>
        <w:rPr>
          <w:rStyle w:val="NormalTok"/>
        </w:rPr>
        <w:t xml:space="preserve"> </w:t>
      </w:r>
      <w:r>
        <w:rPr>
          <w:rStyle w:val="FunctionTok"/>
        </w:rPr>
        <w:t xml:space="preserve">n_distinct</w:t>
      </w:r>
      <w:r>
        <w:rPr>
          <w:rStyle w:val="NormalTok"/>
        </w:rPr>
        <w:t xml:space="preserve">(MonitoringLocationIdentifier),</w:t>
      </w:r>
      <w:r>
        <w:br/>
      </w:r>
      <w:r>
        <w:rPr>
          <w:rStyle w:val="NormalTok"/>
        </w:rPr>
        <w:t xml:space="preserve">    </w:t>
      </w:r>
      <w:r>
        <w:rPr>
          <w:rStyle w:val="AttributeTok"/>
        </w:rPr>
        <w:t xml:space="preserve">Total_Results =</w:t>
      </w:r>
      <w:r>
        <w:rPr>
          <w:rStyle w:val="NormalTok"/>
        </w:rPr>
        <w:t xml:space="preserve"> </w:t>
      </w:r>
      <w:r>
        <w:rPr>
          <w:rStyle w:val="FunctionTok"/>
        </w:rPr>
        <w:t xml:space="preserve">sum</w:t>
      </w:r>
      <w:r>
        <w:rPr>
          <w:rStyle w:val="NormalTok"/>
        </w:rPr>
        <w:t xml:space="preserve">(resultCount,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Organizations =</w:t>
      </w:r>
      <w:r>
        <w:rPr>
          <w:rStyle w:val="NormalTok"/>
        </w:rPr>
        <w:t xml:space="preserve"> </w:t>
      </w:r>
      <w:r>
        <w:rPr>
          <w:rStyle w:val="FunctionTok"/>
        </w:rPr>
        <w:t xml:space="preserve">n_distinct</w:t>
      </w:r>
      <w:r>
        <w:rPr>
          <w:rStyle w:val="NormalTok"/>
        </w:rPr>
        <w:t xml:space="preserve">(OrganizationFormalName),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(HUC)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HUC_Name =</w:t>
      </w:r>
      <w:r>
        <w:rPr>
          <w:rStyle w:val="NormalTok"/>
        </w:rPr>
        <w:t xml:space="preserve"> </w:t>
      </w:r>
      <w:r>
        <w:rPr>
          <w:rStyle w:val="FunctionTok"/>
        </w:rPr>
        <w:t xml:space="preserve">case_when</w:t>
      </w:r>
      <w:r>
        <w:rPr>
          <w:rStyle w:val="NormalTok"/>
        </w:rPr>
        <w:t xml:space="preserve">(</w:t>
      </w:r>
      <w:r>
        <w:br/>
      </w:r>
      <w:r>
        <w:rPr>
          <w:rStyle w:val="NormalTok"/>
        </w:rPr>
        <w:t xml:space="preserve">      HUC </w:t>
      </w:r>
      <w:r>
        <w:rPr>
          <w:rStyle w:val="SpecialCharTok"/>
        </w:rPr>
        <w:t xml:space="preserve">==</w:t>
      </w:r>
      <w:r>
        <w:rPr>
          <w:rStyle w:val="NormalTok"/>
        </w:rPr>
        <w:t xml:space="preserve"> </w:t>
      </w:r>
      <w:r>
        <w:rPr>
          <w:rStyle w:val="StringTok"/>
        </w:rPr>
        <w:t xml:space="preserve">"19030301"</w:t>
      </w:r>
      <w:r>
        <w:rPr>
          <w:rStyle w:val="NormalTok"/>
        </w:rPr>
        <w:t xml:space="preserve"> </w:t>
      </w:r>
      <w:r>
        <w:rPr>
          <w:rStyle w:val="SpecialCharTok"/>
        </w:rPr>
        <w:t xml:space="preserve">~</w:t>
      </w:r>
      <w:r>
        <w:rPr>
          <w:rStyle w:val="NormalTok"/>
        </w:rPr>
        <w:t xml:space="preserve"> </w:t>
      </w:r>
      <w:r>
        <w:rPr>
          <w:rStyle w:val="StringTok"/>
        </w:rPr>
        <w:t xml:space="preserve">"Upper Nushagak"</w:t>
      </w:r>
      <w:r>
        <w:rPr>
          <w:rStyle w:val="NormalTok"/>
        </w:rPr>
        <w:t xml:space="preserve">,</w:t>
      </w:r>
      <w:r>
        <w:br/>
      </w:r>
      <w:r>
        <w:rPr>
          <w:rStyle w:val="NormalTok"/>
        </w:rPr>
        <w:t xml:space="preserve">      HUC </w:t>
      </w:r>
      <w:r>
        <w:rPr>
          <w:rStyle w:val="SpecialCharTok"/>
        </w:rPr>
        <w:t xml:space="preserve">==</w:t>
      </w:r>
      <w:r>
        <w:rPr>
          <w:rStyle w:val="NormalTok"/>
        </w:rPr>
        <w:t xml:space="preserve"> </w:t>
      </w:r>
      <w:r>
        <w:rPr>
          <w:rStyle w:val="StringTok"/>
        </w:rPr>
        <w:t xml:space="preserve">"19030302"</w:t>
      </w:r>
      <w:r>
        <w:rPr>
          <w:rStyle w:val="NormalTok"/>
        </w:rPr>
        <w:t xml:space="preserve"> </w:t>
      </w:r>
      <w:r>
        <w:rPr>
          <w:rStyle w:val="SpecialCharTok"/>
        </w:rPr>
        <w:t xml:space="preserve">~</w:t>
      </w:r>
      <w:r>
        <w:rPr>
          <w:rStyle w:val="NormalTok"/>
        </w:rPr>
        <w:t xml:space="preserve"> </w:t>
      </w:r>
      <w:r>
        <w:rPr>
          <w:rStyle w:val="StringTok"/>
        </w:rPr>
        <w:t xml:space="preserve">"Mulchatna"</w:t>
      </w:r>
      <w:r>
        <w:rPr>
          <w:rStyle w:val="NormalTok"/>
        </w:rPr>
        <w:t xml:space="preserve">,</w:t>
      </w:r>
      <w:r>
        <w:br/>
      </w:r>
      <w:r>
        <w:rPr>
          <w:rStyle w:val="NormalTok"/>
        </w:rPr>
        <w:t xml:space="preserve">      HUC </w:t>
      </w:r>
      <w:r>
        <w:rPr>
          <w:rStyle w:val="SpecialCharTok"/>
        </w:rPr>
        <w:t xml:space="preserve">==</w:t>
      </w:r>
      <w:r>
        <w:rPr>
          <w:rStyle w:val="NormalTok"/>
        </w:rPr>
        <w:t xml:space="preserve"> </w:t>
      </w:r>
      <w:r>
        <w:rPr>
          <w:rStyle w:val="StringTok"/>
        </w:rPr>
        <w:t xml:space="preserve">"19030303"</w:t>
      </w:r>
      <w:r>
        <w:rPr>
          <w:rStyle w:val="NormalTok"/>
        </w:rPr>
        <w:t xml:space="preserve"> </w:t>
      </w:r>
      <w:r>
        <w:rPr>
          <w:rStyle w:val="SpecialCharTok"/>
        </w:rPr>
        <w:t xml:space="preserve">~</w:t>
      </w:r>
      <w:r>
        <w:rPr>
          <w:rStyle w:val="NormalTok"/>
        </w:rPr>
        <w:t xml:space="preserve"> </w:t>
      </w:r>
      <w:r>
        <w:rPr>
          <w:rStyle w:val="StringTok"/>
        </w:rPr>
        <w:t xml:space="preserve">"Lower Nushagak"</w:t>
      </w:r>
      <w:r>
        <w:rPr>
          <w:rStyle w:val="NormalTok"/>
        </w:rPr>
        <w:t xml:space="preserve">,</w:t>
      </w:r>
      <w:r>
        <w:br/>
      </w:r>
      <w:r>
        <w:rPr>
          <w:rStyle w:val="NormalTok"/>
        </w:rPr>
        <w:t xml:space="preserve">      HUC </w:t>
      </w:r>
      <w:r>
        <w:rPr>
          <w:rStyle w:val="SpecialCharTok"/>
        </w:rPr>
        <w:t xml:space="preserve">==</w:t>
      </w:r>
      <w:r>
        <w:rPr>
          <w:rStyle w:val="NormalTok"/>
        </w:rPr>
        <w:t xml:space="preserve"> </w:t>
      </w:r>
      <w:r>
        <w:rPr>
          <w:rStyle w:val="StringTok"/>
        </w:rPr>
        <w:t xml:space="preserve">"19030304"</w:t>
      </w:r>
      <w:r>
        <w:rPr>
          <w:rStyle w:val="NormalTok"/>
        </w:rPr>
        <w:t xml:space="preserve"> </w:t>
      </w:r>
      <w:r>
        <w:rPr>
          <w:rStyle w:val="SpecialCharTok"/>
        </w:rPr>
        <w:t xml:space="preserve">~</w:t>
      </w:r>
      <w:r>
        <w:rPr>
          <w:rStyle w:val="NormalTok"/>
        </w:rPr>
        <w:t xml:space="preserve"> </w:t>
      </w:r>
      <w:r>
        <w:rPr>
          <w:rStyle w:val="StringTok"/>
        </w:rPr>
        <w:t xml:space="preserve">"Wood"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HUC</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(HUC, HUC_Name, Stations, Total_Results, Organizations)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"Sub-basin"</w:t>
      </w:r>
      <w:r>
        <w:rPr>
          <w:rStyle w:val="NormalTok"/>
        </w:rPr>
        <w:t xml:space="preserve"> </w:t>
      </w:r>
      <w:r>
        <w:rPr>
          <w:rStyle w:val="OtherTok"/>
        </w:rPr>
        <w:t xml:space="preserve">=</w:t>
      </w:r>
      <w:r>
        <w:rPr>
          <w:rStyle w:val="NormalTok"/>
        </w:rPr>
        <w:t xml:space="preserve"> HUC_Name, </w:t>
      </w:r>
      <w:r>
        <w:rPr>
          <w:rStyle w:val="StringTok"/>
        </w:rPr>
        <w:t xml:space="preserve">"Monitoring Locations"</w:t>
      </w:r>
      <w:r>
        <w:rPr>
          <w:rStyle w:val="NormalTok"/>
        </w:rPr>
        <w:t xml:space="preserve"> </w:t>
      </w:r>
      <w:r>
        <w:rPr>
          <w:rStyle w:val="OtherTok"/>
        </w:rPr>
        <w:t xml:space="preserve">=</w:t>
      </w:r>
      <w:r>
        <w:rPr>
          <w:rStyle w:val="NormalTok"/>
        </w:rPr>
        <w:t xml:space="preserve"> Stations, </w:t>
      </w:r>
      <w:r>
        <w:rPr>
          <w:rStyle w:val="StringTok"/>
        </w:rPr>
        <w:t xml:space="preserve">"Total Observations"</w:t>
      </w:r>
      <w:r>
        <w:rPr>
          <w:rStyle w:val="NormalTok"/>
        </w:rPr>
        <w:t xml:space="preserve"> </w:t>
      </w:r>
      <w:r>
        <w:rPr>
          <w:rStyle w:val="OtherTok"/>
        </w:rPr>
        <w:t xml:space="preserve">=</w:t>
      </w:r>
      <w:r>
        <w:rPr>
          <w:rStyle w:val="NormalTok"/>
        </w:rPr>
        <w:t xml:space="preserve"> Total_Results, </w:t>
      </w:r>
      <w:r>
        <w:rPr>
          <w:rStyle w:val="StringTok"/>
        </w:rPr>
        <w:t xml:space="preserve">"Data Providers"</w:t>
      </w:r>
      <w:r>
        <w:rPr>
          <w:rStyle w:val="NormalTok"/>
        </w:rPr>
        <w:t xml:space="preserve"> </w:t>
      </w:r>
      <w:r>
        <w:rPr>
          <w:rStyle w:val="OtherTok"/>
        </w:rPr>
        <w:t xml:space="preserve">=</w:t>
      </w:r>
      <w:r>
        <w:rPr>
          <w:rStyle w:val="NormalTok"/>
        </w:rPr>
        <w:t xml:space="preserve"> Organizations)</w:t>
      </w:r>
      <w:r>
        <w:br/>
      </w:r>
      <w:r>
        <w:br/>
      </w:r>
      <w:r>
        <w:rPr>
          <w:rStyle w:val="NormalTok"/>
        </w:rPr>
        <w:t xml:space="preserve">knitr</w:t>
      </w:r>
      <w:r>
        <w:rPr>
          <w:rStyle w:val="SpecialCharTok"/>
        </w:rPr>
        <w:t xml:space="preserve">::</w:t>
      </w:r>
      <w:r>
        <w:rPr>
          <w:rStyle w:val="FunctionTok"/>
        </w:rPr>
        <w:t xml:space="preserve">kable</w:t>
      </w:r>
      <w:r>
        <w:rPr>
          <w:rStyle w:val="NormalTok"/>
        </w:rPr>
        <w:t xml:space="preserve">(huc_summary, </w:t>
      </w:r>
      <w:r>
        <w:rPr>
          <w:rStyle w:val="AttributeTok"/>
        </w:rPr>
        <w:t xml:space="preserve">caption =</w:t>
      </w:r>
      <w:r>
        <w:rPr>
          <w:rStyle w:val="NormalTok"/>
        </w:rPr>
        <w:t xml:space="preserve"> </w:t>
      </w:r>
      <w:r>
        <w:rPr>
          <w:rStyle w:val="StringTok"/>
        </w:rPr>
        <w:t xml:space="preserve">"Monitoring Coverage by HUC8 Sub-basin"</w:t>
      </w:r>
      <w:r>
        <w:rPr>
          <w:rStyle w:val="NormalTok"/>
        </w:rPr>
        <w:t xml:space="preserve">)</w:t>
      </w:r>
    </w:p>
    <w:p>
      <w:pPr>
        <w:pStyle w:val="TableCaption"/>
      </w:pPr>
      <w:r>
        <w:t xml:space="preserve">Monitoring Coverage by HUC8 Sub-basin</w:t>
      </w:r>
    </w:p>
    <w:tbl>
      <w:tblPr>
        <w:tblStyle w:val="Table"/>
        <w:tblW w:type="pct" w:w="5000"/>
        <w:tblLayout w:type="fixed"/>
        <w:tblLook w:firstRow="1" w:lastRow="0" w:firstColumn="0" w:lastColumn="0" w:noHBand="0" w:noVBand="0" w:val="0020"/>
        <w:tblCaption w:val="Monitoring Coverage by HUC8 Sub-basin"/>
      </w:tblPr>
      <w:tblGrid>
        <w:gridCol w:w="902"/>
        <w:gridCol w:w="1503"/>
        <w:gridCol w:w="2105"/>
        <w:gridCol w:w="1904"/>
        <w:gridCol w:w="1503"/>
      </w:tblGrid>
      <w:tr>
        <w:trPr>
          <w:tblHeader w:val="on"/>
        </w:trPr>
        <w:tc>
          <w:tcPr/>
          <w:p>
            <w:pPr>
              <w:pStyle w:val="Compact"/>
              <w:jc w:val="left"/>
            </w:pPr>
            <w:r>
              <w:t xml:space="preserve">HUC</w:t>
            </w:r>
          </w:p>
        </w:tc>
        <w:tc>
          <w:tcPr/>
          <w:p>
            <w:pPr>
              <w:pStyle w:val="Compact"/>
              <w:jc w:val="left"/>
            </w:pPr>
            <w:r>
              <w:t xml:space="preserve">Sub-basin</w:t>
            </w:r>
          </w:p>
        </w:tc>
        <w:tc>
          <w:tcPr/>
          <w:p>
            <w:pPr>
              <w:pStyle w:val="Compact"/>
              <w:jc w:val="right"/>
            </w:pPr>
            <w:r>
              <w:t xml:space="preserve">Monitoring Locations</w:t>
            </w:r>
          </w:p>
        </w:tc>
        <w:tc>
          <w:tcPr/>
          <w:p>
            <w:pPr>
              <w:pStyle w:val="Compact"/>
              <w:jc w:val="right"/>
            </w:pPr>
            <w:r>
              <w:t xml:space="preserve">Total Observations</w:t>
            </w:r>
          </w:p>
        </w:tc>
        <w:tc>
          <w:tcPr/>
          <w:p>
            <w:pPr>
              <w:pStyle w:val="Compact"/>
              <w:jc w:val="right"/>
            </w:pPr>
            <w:r>
              <w:t xml:space="preserve">Data Providers</w:t>
            </w:r>
          </w:p>
        </w:tc>
      </w:tr>
      <w:tr>
        <w:tc>
          <w:tcPr/>
          <w:p>
            <w:pPr>
              <w:pStyle w:val="Compact"/>
              <w:jc w:val="left"/>
            </w:pPr>
            <w:r>
              <w:t xml:space="preserve">19030301</w:t>
            </w:r>
          </w:p>
        </w:tc>
        <w:tc>
          <w:tcPr/>
          <w:p>
            <w:pPr>
              <w:pStyle w:val="Compact"/>
              <w:jc w:val="left"/>
            </w:pPr>
            <w:r>
              <w:t xml:space="preserve">Upper Nushagak</w:t>
            </w:r>
          </w:p>
        </w:tc>
        <w:tc>
          <w:tcPr/>
          <w:p>
            <w:pPr>
              <w:pStyle w:val="Compact"/>
              <w:jc w:val="right"/>
            </w:pPr>
            <w:r>
              <w:t xml:space="preserve">20</w:t>
            </w:r>
          </w:p>
        </w:tc>
        <w:tc>
          <w:tcPr/>
          <w:p>
            <w:pPr>
              <w:pStyle w:val="Compact"/>
              <w:jc w:val="right"/>
            </w:pPr>
            <w:r>
              <w:t xml:space="preserve">1324</w:t>
            </w:r>
          </w:p>
        </w:tc>
        <w:tc>
          <w:tcPr/>
          <w:p>
            <w:pPr>
              <w:pStyle w:val="Compact"/>
              <w:jc w:val="right"/>
            </w:pPr>
            <w:r>
              <w:t xml:space="preserve">3</w:t>
            </w:r>
          </w:p>
        </w:tc>
      </w:tr>
      <w:tr>
        <w:tc>
          <w:tcPr/>
          <w:p>
            <w:pPr>
              <w:pStyle w:val="Compact"/>
              <w:jc w:val="left"/>
            </w:pPr>
            <w:r>
              <w:t xml:space="preserve">19030302</w:t>
            </w:r>
          </w:p>
        </w:tc>
        <w:tc>
          <w:tcPr/>
          <w:p>
            <w:pPr>
              <w:pStyle w:val="Compact"/>
              <w:jc w:val="left"/>
            </w:pPr>
            <w:r>
              <w:t xml:space="preserve">Mulchatna</w:t>
            </w:r>
          </w:p>
        </w:tc>
        <w:tc>
          <w:tcPr/>
          <w:p>
            <w:pPr>
              <w:pStyle w:val="Compact"/>
              <w:jc w:val="right"/>
            </w:pPr>
            <w:r>
              <w:t xml:space="preserve">135</w:t>
            </w:r>
          </w:p>
        </w:tc>
        <w:tc>
          <w:tcPr/>
          <w:p>
            <w:pPr>
              <w:pStyle w:val="Compact"/>
              <w:jc w:val="right"/>
            </w:pPr>
            <w:r>
              <w:t xml:space="preserve">8311</w:t>
            </w:r>
          </w:p>
        </w:tc>
        <w:tc>
          <w:tcPr/>
          <w:p>
            <w:pPr>
              <w:pStyle w:val="Compact"/>
              <w:jc w:val="right"/>
            </w:pPr>
            <w:r>
              <w:t xml:space="preserve">3</w:t>
            </w:r>
          </w:p>
        </w:tc>
      </w:tr>
      <w:tr>
        <w:tc>
          <w:tcPr/>
          <w:p>
            <w:pPr>
              <w:pStyle w:val="Compact"/>
              <w:jc w:val="left"/>
            </w:pPr>
            <w:r>
              <w:t xml:space="preserve">19030303</w:t>
            </w:r>
          </w:p>
        </w:tc>
        <w:tc>
          <w:tcPr/>
          <w:p>
            <w:pPr>
              <w:pStyle w:val="Compact"/>
              <w:jc w:val="left"/>
            </w:pPr>
            <w:r>
              <w:t xml:space="preserve">Lower Nushagak</w:t>
            </w:r>
          </w:p>
        </w:tc>
        <w:tc>
          <w:tcPr/>
          <w:p>
            <w:pPr>
              <w:pStyle w:val="Compact"/>
              <w:jc w:val="right"/>
            </w:pPr>
            <w:r>
              <w:t xml:space="preserve">221</w:t>
            </w:r>
          </w:p>
        </w:tc>
        <w:tc>
          <w:tcPr/>
          <w:p>
            <w:pPr>
              <w:pStyle w:val="Compact"/>
              <w:jc w:val="right"/>
            </w:pPr>
            <w:r>
              <w:t xml:space="preserve">6051</w:t>
            </w:r>
          </w:p>
        </w:tc>
        <w:tc>
          <w:tcPr/>
          <w:p>
            <w:pPr>
              <w:pStyle w:val="Compact"/>
              <w:jc w:val="right"/>
            </w:pPr>
            <w:r>
              <w:t xml:space="preserve">3</w:t>
            </w:r>
          </w:p>
        </w:tc>
      </w:tr>
      <w:tr>
        <w:tc>
          <w:tcPr/>
          <w:p>
            <w:pPr>
              <w:pStyle w:val="Compact"/>
              <w:jc w:val="left"/>
            </w:pPr>
            <w:r>
              <w:t xml:space="preserve">19030304</w:t>
            </w:r>
          </w:p>
        </w:tc>
        <w:tc>
          <w:tcPr/>
          <w:p>
            <w:pPr>
              <w:pStyle w:val="Compact"/>
              <w:jc w:val="left"/>
            </w:pPr>
            <w:r>
              <w:t xml:space="preserve">Wood</w:t>
            </w:r>
          </w:p>
        </w:tc>
        <w:tc>
          <w:tcPr/>
          <w:p>
            <w:pPr>
              <w:pStyle w:val="Compact"/>
              <w:jc w:val="right"/>
            </w:pPr>
            <w:r>
              <w:t xml:space="preserve">42</w:t>
            </w:r>
          </w:p>
        </w:tc>
        <w:tc>
          <w:tcPr/>
          <w:p>
            <w:pPr>
              <w:pStyle w:val="Compact"/>
              <w:jc w:val="right"/>
            </w:pPr>
            <w:r>
              <w:t xml:space="preserve">446</w:t>
            </w:r>
          </w:p>
        </w:tc>
        <w:tc>
          <w:tcPr/>
          <w:p>
            <w:pPr>
              <w:pStyle w:val="Compact"/>
              <w:jc w:val="right"/>
            </w:pPr>
            <w:r>
              <w:t xml:space="preserve">1</w:t>
            </w:r>
          </w:p>
        </w:tc>
      </w:tr>
    </w:tbl>
    <w:bookmarkEnd w:id="50"/>
    <w:bookmarkStart w:id="51" w:name="data-provider-distribution"/>
    <w:p>
      <w:pPr>
        <w:pStyle w:val="Heading2"/>
      </w:pPr>
      <w:r>
        <w:t xml:space="preserve">4.3 Data Provider Distribution</w:t>
      </w:r>
    </w:p>
    <w:p>
      <w:pPr>
        <w:pStyle w:val="SourceCode"/>
      </w:pPr>
      <w:r>
        <w:rPr>
          <w:rStyle w:val="NormalTok"/>
        </w:rPr>
        <w:t xml:space="preserve">provider_summary </w:t>
      </w:r>
      <w:r>
        <w:rPr>
          <w:rStyle w:val="OtherTok"/>
        </w:rPr>
        <w:t xml:space="preserve">&lt;-</w:t>
      </w:r>
      <w:r>
        <w:rPr>
          <w:rStyle w:val="NormalTok"/>
        </w:rPr>
        <w:t xml:space="preserve"> wq_inventory </w:t>
      </w:r>
      <w:r>
        <w:rPr>
          <w:rStyle w:val="SpecialCharTok"/>
        </w:rPr>
        <w:t xml:space="preserve">%&gt;%</w:t>
      </w:r>
      <w:r>
        <w:br/>
      </w:r>
      <w:r>
        <w:rPr>
          <w:rStyle w:val="NormalTok"/>
        </w:rPr>
        <w:t xml:space="preserve">  </w:t>
      </w:r>
      <w:r>
        <w:rPr>
          <w:rStyle w:val="FunctionTok"/>
        </w:rPr>
        <w:t xml:space="preserve">group_by</w:t>
      </w:r>
      <w:r>
        <w:rPr>
          <w:rStyle w:val="NormalTok"/>
        </w:rPr>
        <w:t xml:space="preserve">(OrganizationFormalName)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Stations =</w:t>
      </w:r>
      <w:r>
        <w:rPr>
          <w:rStyle w:val="NormalTok"/>
        </w:rPr>
        <w:t xml:space="preserve"> </w:t>
      </w:r>
      <w:r>
        <w:rPr>
          <w:rStyle w:val="FunctionTok"/>
        </w:rPr>
        <w:t xml:space="preserve">n_distinct</w:t>
      </w:r>
      <w:r>
        <w:rPr>
          <w:rStyle w:val="NormalTok"/>
        </w:rPr>
        <w:t xml:space="preserve">(MonitoringLocationIdentifier),</w:t>
      </w:r>
      <w:r>
        <w:br/>
      </w:r>
      <w:r>
        <w:rPr>
          <w:rStyle w:val="NormalTok"/>
        </w:rPr>
        <w:t xml:space="preserve">    </w:t>
      </w:r>
      <w:r>
        <w:rPr>
          <w:rStyle w:val="AttributeTok"/>
        </w:rPr>
        <w:t xml:space="preserve">Total_Results =</w:t>
      </w:r>
      <w:r>
        <w:rPr>
          <w:rStyle w:val="NormalTok"/>
        </w:rPr>
        <w:t xml:space="preserve"> </w:t>
      </w:r>
      <w:r>
        <w:rPr>
          <w:rStyle w:val="FunctionTok"/>
        </w:rPr>
        <w:t xml:space="preserve">sum</w:t>
      </w:r>
      <w:r>
        <w:rPr>
          <w:rStyle w:val="NormalTok"/>
        </w:rPr>
        <w:t xml:space="preserve">(resultCount,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(Total_Results))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"Organization"</w:t>
      </w:r>
      <w:r>
        <w:rPr>
          <w:rStyle w:val="NormalTok"/>
        </w:rPr>
        <w:t xml:space="preserve"> </w:t>
      </w:r>
      <w:r>
        <w:rPr>
          <w:rStyle w:val="OtherTok"/>
        </w:rPr>
        <w:t xml:space="preserve">=</w:t>
      </w:r>
      <w:r>
        <w:rPr>
          <w:rStyle w:val="NormalTok"/>
        </w:rPr>
        <w:t xml:space="preserve"> OrganizationFormalName, </w:t>
      </w:r>
      <w:r>
        <w:rPr>
          <w:rStyle w:val="StringTok"/>
        </w:rPr>
        <w:t xml:space="preserve">"Stations"</w:t>
      </w:r>
      <w:r>
        <w:rPr>
          <w:rStyle w:val="NormalTok"/>
        </w:rPr>
        <w:t xml:space="preserve"> </w:t>
      </w:r>
      <w:r>
        <w:rPr>
          <w:rStyle w:val="OtherTok"/>
        </w:rPr>
        <w:t xml:space="preserve">=</w:t>
      </w:r>
      <w:r>
        <w:rPr>
          <w:rStyle w:val="NormalTok"/>
        </w:rPr>
        <w:t xml:space="preserve"> Stations, </w:t>
      </w:r>
      <w:r>
        <w:rPr>
          <w:rStyle w:val="StringTok"/>
        </w:rPr>
        <w:t xml:space="preserve">"Observations"</w:t>
      </w:r>
      <w:r>
        <w:rPr>
          <w:rStyle w:val="NormalTok"/>
        </w:rPr>
        <w:t xml:space="preserve"> </w:t>
      </w:r>
      <w:r>
        <w:rPr>
          <w:rStyle w:val="OtherTok"/>
        </w:rPr>
        <w:t xml:space="preserve">=</w:t>
      </w:r>
      <w:r>
        <w:rPr>
          <w:rStyle w:val="NormalTok"/>
        </w:rPr>
        <w:t xml:space="preserve"> Total_Results)</w:t>
      </w:r>
      <w:r>
        <w:br/>
      </w:r>
      <w:r>
        <w:br/>
      </w:r>
      <w:r>
        <w:rPr>
          <w:rStyle w:val="NormalTok"/>
        </w:rPr>
        <w:t xml:space="preserve">knitr</w:t>
      </w:r>
      <w:r>
        <w:rPr>
          <w:rStyle w:val="SpecialCharTok"/>
        </w:rPr>
        <w:t xml:space="preserve">::</w:t>
      </w:r>
      <w:r>
        <w:rPr>
          <w:rStyle w:val="FunctionTok"/>
        </w:rPr>
        <w:t xml:space="preserve">kable</w:t>
      </w:r>
      <w:r>
        <w:rPr>
          <w:rStyle w:val="NormalTok"/>
        </w:rPr>
        <w:t xml:space="preserve">(provider_summary, </w:t>
      </w:r>
      <w:r>
        <w:rPr>
          <w:rStyle w:val="AttributeTok"/>
        </w:rPr>
        <w:t xml:space="preserve">caption =</w:t>
      </w:r>
      <w:r>
        <w:rPr>
          <w:rStyle w:val="NormalTok"/>
        </w:rPr>
        <w:t xml:space="preserve"> </w:t>
      </w:r>
      <w:r>
        <w:rPr>
          <w:rStyle w:val="StringTok"/>
        </w:rPr>
        <w:t xml:space="preserve">"Data Contributions by Organization"</w:t>
      </w:r>
      <w:r>
        <w:rPr>
          <w:rStyle w:val="NormalTok"/>
        </w:rPr>
        <w:t xml:space="preserve">)</w:t>
      </w:r>
    </w:p>
    <w:p>
      <w:pPr>
        <w:pStyle w:val="TableCaption"/>
      </w:pPr>
      <w:r>
        <w:t xml:space="preserve">Data Contributions by Organization</w:t>
      </w:r>
    </w:p>
    <w:tbl>
      <w:tblPr>
        <w:tblStyle w:val="Table"/>
        <w:tblW w:type="pct" w:w="5000"/>
        <w:tblLayout w:type="fixed"/>
        <w:tblLook w:firstRow="1" w:lastRow="0" w:firstColumn="0" w:lastColumn="0" w:noHBand="0" w:noVBand="0" w:val="0020"/>
        <w:tblCaption w:val="Data Contributions by Organization"/>
      </w:tblPr>
      <w:tblGrid>
        <w:gridCol w:w="5742"/>
        <w:gridCol w:w="891"/>
        <w:gridCol w:w="1287"/>
      </w:tblGrid>
      <w:tr>
        <w:trPr>
          <w:tblHeader w:val="on"/>
        </w:trPr>
        <w:tc>
          <w:tcPr/>
          <w:p>
            <w:pPr>
              <w:pStyle w:val="Compact"/>
              <w:jc w:val="left"/>
            </w:pPr>
            <w:r>
              <w:t xml:space="preserve">Organization</w:t>
            </w:r>
          </w:p>
        </w:tc>
        <w:tc>
          <w:tcPr/>
          <w:p>
            <w:pPr>
              <w:pStyle w:val="Compact"/>
              <w:jc w:val="right"/>
            </w:pPr>
            <w:r>
              <w:t xml:space="preserve">Stations</w:t>
            </w:r>
          </w:p>
        </w:tc>
        <w:tc>
          <w:tcPr/>
          <w:p>
            <w:pPr>
              <w:pStyle w:val="Compact"/>
              <w:jc w:val="right"/>
            </w:pPr>
            <w:r>
              <w:t xml:space="preserve">Observations</w:t>
            </w:r>
          </w:p>
        </w:tc>
      </w:tr>
      <w:tr>
        <w:tc>
          <w:tcPr/>
          <w:p>
            <w:pPr>
              <w:pStyle w:val="Compact"/>
              <w:jc w:val="left"/>
            </w:pPr>
            <w:r>
              <w:t xml:space="preserve">USGS Alaska Water Science Center</w:t>
            </w:r>
          </w:p>
        </w:tc>
        <w:tc>
          <w:tcPr/>
          <w:p>
            <w:pPr>
              <w:pStyle w:val="Compact"/>
              <w:jc w:val="right"/>
            </w:pPr>
            <w:r>
              <w:t xml:space="preserve">228</w:t>
            </w:r>
          </w:p>
        </w:tc>
        <w:tc>
          <w:tcPr/>
          <w:p>
            <w:pPr>
              <w:pStyle w:val="Compact"/>
              <w:jc w:val="right"/>
            </w:pPr>
            <w:r>
              <w:t xml:space="preserve">7463</w:t>
            </w:r>
          </w:p>
        </w:tc>
      </w:tr>
      <w:tr>
        <w:tc>
          <w:tcPr/>
          <w:p>
            <w:pPr>
              <w:pStyle w:val="Compact"/>
              <w:jc w:val="left"/>
            </w:pPr>
            <w:r>
              <w:t xml:space="preserve">National Park Service Water Resources Division</w:t>
            </w:r>
          </w:p>
        </w:tc>
        <w:tc>
          <w:tcPr/>
          <w:p>
            <w:pPr>
              <w:pStyle w:val="Compact"/>
              <w:jc w:val="right"/>
            </w:pPr>
            <w:r>
              <w:t xml:space="preserve">104</w:t>
            </w:r>
          </w:p>
        </w:tc>
        <w:tc>
          <w:tcPr/>
          <w:p>
            <w:pPr>
              <w:pStyle w:val="Compact"/>
              <w:jc w:val="right"/>
            </w:pPr>
            <w:r>
              <w:t xml:space="preserve">5157</w:t>
            </w:r>
          </w:p>
        </w:tc>
      </w:tr>
      <w:tr>
        <w:tc>
          <w:tcPr/>
          <w:p>
            <w:pPr>
              <w:pStyle w:val="Compact"/>
              <w:jc w:val="left"/>
            </w:pPr>
            <w:r>
              <w:t xml:space="preserve">Alaska Dept of Environmental Conservation - Water Quality</w:t>
            </w:r>
          </w:p>
        </w:tc>
        <w:tc>
          <w:tcPr/>
          <w:p>
            <w:pPr>
              <w:pStyle w:val="Compact"/>
              <w:jc w:val="right"/>
            </w:pPr>
            <w:r>
              <w:t xml:space="preserve">50</w:t>
            </w:r>
          </w:p>
        </w:tc>
        <w:tc>
          <w:tcPr/>
          <w:p>
            <w:pPr>
              <w:pStyle w:val="Compact"/>
              <w:jc w:val="right"/>
            </w:pPr>
            <w:r>
              <w:t xml:space="preserve">2523</w:t>
            </w:r>
          </w:p>
        </w:tc>
      </w:tr>
      <w:tr>
        <w:tc>
          <w:tcPr/>
          <w:p>
            <w:pPr>
              <w:pStyle w:val="Compact"/>
              <w:jc w:val="left"/>
            </w:pPr>
            <w:r>
              <w:t xml:space="preserve">Alaska Soil and Water Conservation District</w:t>
            </w:r>
          </w:p>
        </w:tc>
        <w:tc>
          <w:tcPr/>
          <w:p>
            <w:pPr>
              <w:pStyle w:val="Compact"/>
              <w:jc w:val="right"/>
            </w:pPr>
            <w:r>
              <w:t xml:space="preserve">36</w:t>
            </w:r>
          </w:p>
        </w:tc>
        <w:tc>
          <w:tcPr/>
          <w:p>
            <w:pPr>
              <w:pStyle w:val="Compact"/>
              <w:jc w:val="right"/>
            </w:pPr>
            <w:r>
              <w:t xml:space="preserve">989</w:t>
            </w:r>
          </w:p>
        </w:tc>
      </w:tr>
    </w:tbl>
    <w:bookmarkEnd w:id="51"/>
    <w:bookmarkStart w:id="52" w:name="observations"/>
    <w:p>
      <w:pPr>
        <w:pStyle w:val="Heading2"/>
      </w:pPr>
      <w:r>
        <w:t xml:space="preserve">4.4 Observations</w:t>
      </w:r>
    </w:p>
    <w:p>
      <w:pPr>
        <w:pStyle w:val="FirstParagraph"/>
      </w:pPr>
      <w:r>
        <w:t xml:space="preserve">The coverage varies by sub-basin, with the Upper Nushagak (19030301) and the lower Nushagak mainstem (19030303, officially named</w:t>
      </w:r>
      <w:r>
        <w:t xml:space="preserve"> </w:t>
      </w:r>
      <w:r>
        <w:t xml:space="preserve">“Lower Nushagak River”</w:t>
      </w:r>
      <w:r>
        <w:t xml:space="preserve"> </w:t>
      </w:r>
      <w:r>
        <w:t xml:space="preserve">in the USGS Watershed Boundary Dataset; it includes the Nuyakuk River tributary) having the most monitoring infrastructure. The Mulchatna (19030302) has moderate coverage, while the Wood River drainage (19030304) has fewer established stations. This distribution reflects historical research emphasis and the availability of USGS gaging stations.</w:t>
      </w:r>
    </w:p>
    <w:p>
      <w:pPr>
        <w:pStyle w:val="BodyText"/>
      </w:pPr>
      <w:r>
        <w:t xml:space="preserve">USGS contributes the majority of observations, reflecting the long-term nature of federal streamflow and water chemistry monitoring. Tribal and state efforts are also evident and represent valuable local capacity.</w:t>
      </w:r>
    </w:p>
    <w:p>
      <w:pPr>
        <w:pStyle w:val="BodyText"/>
      </w:pPr>
      <w:r>
        <w:rPr>
          <w:b/>
          <w:bCs/>
        </w:rPr>
        <w:t xml:space="preserve">Data Quality Note</w:t>
      </w:r>
      <w:r>
        <w:t xml:space="preserve">: The WQP station inventory includes approximately 212 stations across the Nushagak HUCs that are registered in the system but show zero water quality results in the current API response. These may represent monitoring locations where data collection has occurred but results are not yet integrated into the WQP database, or where records exist in alternate formats. These sites are included in the station count above but do not contribute to the observation totals.</w:t>
      </w:r>
    </w:p>
    <w:p>
      <w:pPr>
        <w:pStyle w:val="BodyText"/>
      </w:pPr>
      <w:r>
        <w:rPr>
          <w:b/>
          <w:bCs/>
        </w:rPr>
        <w:t xml:space="preserve">Pebble Project baseline sites</w:t>
      </w:r>
      <w:r>
        <w:t xml:space="preserve">: The map also includes 37 Pebble Project monitoring sites (21 stream, 16 seep) from the 2004-2008 Environmental Baseline Document, all located in the Mulchatna River sub-basin (19030302) near the proposed mine site. These predate and are independent of the WQP inventory above; they are not included in the HUC8 or provider summary tables, which reflect WQP data only. See</w:t>
      </w:r>
      <w:r>
        <w:t xml:space="preserve"> </w:t>
      </w:r>
      <w:hyperlink r:id="rId48">
        <w:r>
          <w:rPr>
            <w:rStyle w:val="Hyperlink"/>
          </w:rPr>
          <w:t xml:space="preserve">Data Sources</w:t>
        </w:r>
      </w:hyperlink>
      <w:r>
        <w:t xml:space="preserve"> </w:t>
      </w:r>
      <w:r>
        <w:t xml:space="preserve">for extraction methodology.</w:t>
      </w:r>
    </w:p>
    <w:p>
      <w:r>
        <w:pict>
          <v:rect style="width:0;height:1.5pt" o:hralign="center" o:hrstd="t" o:hr="t"/>
        </w:pict>
      </w:r>
    </w:p>
    <w:p>
      <w:pPr>
        <w:pStyle w:val="FirstParagraph"/>
      </w:pPr>
      <w:r>
        <w:t xml:space="preserve">The next chapter examines what water quality parameters have been measured and identifies temporal and spatial gaps in the existing data.</w:t>
      </w:r>
    </w:p>
    <w:bookmarkEnd w:id="52"/>
    <w:bookmarkEnd w:id="53"/>
    <w:bookmarkStart w:id="62" w:name="Xb8238197e4c3c10f31b09f0df1a8b11b2d16563"/>
    <w:p>
      <w:pPr>
        <w:pStyle w:val="Heading1"/>
      </w:pPr>
      <w:r>
        <w:t xml:space="preserve">5. Water Quality Parameters: Inventory and Gaps</w:t>
      </w:r>
    </w:p>
    <w:p>
      <w:pPr>
        <w:pStyle w:val="SourceCode"/>
      </w:pPr>
      <w:r>
        <w:rPr>
          <w:rStyle w:val="FunctionTok"/>
        </w:rPr>
        <w:t xml:space="preserve">library</w:t>
      </w:r>
      <w:r>
        <w:rPr>
          <w:rStyle w:val="NormalTok"/>
        </w:rPr>
        <w:t xml:space="preserve">(dataRetrieval)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Fetch parameter data for all four Nushagak HUCs</w:t>
      </w:r>
      <w:r>
        <w:br/>
      </w:r>
      <w:r>
        <w:rPr>
          <w:rStyle w:val="NormalTok"/>
        </w:rPr>
        <w:t xml:space="preserve">nushagak_hucs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"19030301"</w:t>
      </w:r>
      <w:r>
        <w:rPr>
          <w:rStyle w:val="NormalTok"/>
        </w:rPr>
        <w:t xml:space="preserve">, </w:t>
      </w:r>
      <w:r>
        <w:rPr>
          <w:rStyle w:val="StringTok"/>
        </w:rPr>
        <w:t xml:space="preserve">"19030302"</w:t>
      </w:r>
      <w:r>
        <w:rPr>
          <w:rStyle w:val="NormalTok"/>
        </w:rPr>
        <w:t xml:space="preserve">, </w:t>
      </w:r>
      <w:r>
        <w:rPr>
          <w:rStyle w:val="StringTok"/>
        </w:rPr>
        <w:t xml:space="preserve">"19030303"</w:t>
      </w:r>
      <w:r>
        <w:rPr>
          <w:rStyle w:val="NormalTok"/>
        </w:rPr>
        <w:t xml:space="preserve">, </w:t>
      </w:r>
      <w:r>
        <w:rPr>
          <w:rStyle w:val="StringTok"/>
        </w:rPr>
        <w:t xml:space="preserve">"19030304"</w:t>
      </w:r>
      <w:r>
        <w:rPr>
          <w:rStyle w:val="NormalTok"/>
        </w:rPr>
        <w:t xml:space="preserve">)</w:t>
      </w:r>
      <w:r>
        <w:br/>
      </w:r>
      <w:r>
        <w:br/>
      </w:r>
      <w:r>
        <w:rPr>
          <w:rStyle w:val="FunctionTok"/>
        </w:rPr>
        <w:t xml:space="preserve">message</w:t>
      </w:r>
      <w:r>
        <w:rPr>
          <w:rStyle w:val="NormalTok"/>
        </w:rPr>
        <w:t xml:space="preserve">(</w:t>
      </w:r>
      <w:r>
        <w:rPr>
          <w:rStyle w:val="StringTok"/>
        </w:rPr>
        <w:t xml:space="preserve">"Querying WQP for parameter observations..."</w:t>
      </w:r>
      <w:r>
        <w:rPr>
          <w:rStyle w:val="NormalTok"/>
        </w:rPr>
        <w:t xml:space="preserve">)</w:t>
      </w:r>
      <w:r>
        <w:br/>
      </w:r>
      <w:r>
        <w:rPr>
          <w:rStyle w:val="NormalTok"/>
        </w:rPr>
        <w:t xml:space="preserve">wq_data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ntrolFlowTok"/>
        </w:rPr>
        <w:t xml:space="preserve">for</w:t>
      </w:r>
      <w:r>
        <w:rPr>
          <w:rStyle w:val="NormalTok"/>
        </w:rPr>
        <w:t xml:space="preserve"> (huc </w:t>
      </w:r>
      <w:r>
        <w:rPr>
          <w:rStyle w:val="ControlFlowTok"/>
        </w:rPr>
        <w:t xml:space="preserve">in</w:t>
      </w:r>
      <w:r>
        <w:rPr>
          <w:rStyle w:val="NormalTok"/>
        </w:rPr>
        <w:t xml:space="preserve"> nushagak_hucs) {</w:t>
      </w:r>
      <w:r>
        <w:br/>
      </w:r>
      <w:r>
        <w:rPr>
          <w:rStyle w:val="NormalTok"/>
        </w:rPr>
        <w:t xml:space="preserve">  temp </w:t>
      </w:r>
      <w:r>
        <w:rPr>
          <w:rStyle w:val="OtherTok"/>
        </w:rPr>
        <w:t xml:space="preserve">&lt;-</w:t>
      </w:r>
      <w:r>
        <w:rPr>
          <w:rStyle w:val="NormalTok"/>
        </w:rPr>
        <w:t xml:space="preserve"> </w:t>
      </w:r>
      <w:r>
        <w:rPr>
          <w:rStyle w:val="FunctionTok"/>
        </w:rPr>
        <w:t xml:space="preserve">readWQPdata</w:t>
      </w:r>
      <w:r>
        <w:rPr>
          <w:rStyle w:val="NormalTok"/>
        </w:rPr>
        <w:t xml:space="preserve">(</w:t>
      </w:r>
      <w:r>
        <w:rPr>
          <w:rStyle w:val="AttributeTok"/>
        </w:rPr>
        <w:t xml:space="preserve">huc =</w:t>
      </w:r>
      <w:r>
        <w:rPr>
          <w:rStyle w:val="NormalTok"/>
        </w:rPr>
        <w:t xml:space="preserve"> huc, </w:t>
      </w:r>
      <w:r>
        <w:rPr>
          <w:rStyle w:val="AttributeTok"/>
        </w:rPr>
        <w:t xml:space="preserve">sampleMedia =</w:t>
      </w:r>
      <w:r>
        <w:rPr>
          <w:rStyle w:val="NormalTok"/>
        </w:rPr>
        <w:t xml:space="preserve"> </w:t>
      </w:r>
      <w:r>
        <w:rPr>
          <w:rStyle w:val="StringTok"/>
        </w:rPr>
        <w:t xml:space="preserve">"Water"</w:t>
      </w:r>
      <w:r>
        <w:rPr>
          <w:rStyle w:val="NormalTok"/>
        </w:rPr>
        <w:t xml:space="preserve">)</w:t>
      </w:r>
      <w:r>
        <w:br/>
      </w:r>
      <w:r>
        <w:rPr>
          <w:rStyle w:val="NormalTok"/>
        </w:rPr>
        <w:t xml:space="preserve">  temp</w:t>
      </w:r>
      <w:r>
        <w:rPr>
          <w:rStyle w:val="SpecialCharTok"/>
        </w:rPr>
        <w:t xml:space="preserve">$</w:t>
      </w:r>
      <w:r>
        <w:rPr>
          <w:rStyle w:val="NormalTok"/>
        </w:rPr>
        <w:t xml:space="preserve">HUC </w:t>
      </w:r>
      <w:r>
        <w:rPr>
          <w:rStyle w:val="OtherTok"/>
        </w:rPr>
        <w:t xml:space="preserve">&lt;-</w:t>
      </w:r>
      <w:r>
        <w:rPr>
          <w:rStyle w:val="NormalTok"/>
        </w:rPr>
        <w:t xml:space="preserve"> huc</w:t>
      </w:r>
      <w:r>
        <w:br/>
      </w:r>
      <w:r>
        <w:rPr>
          <w:rStyle w:val="NormalTok"/>
        </w:rPr>
        <w:t xml:space="preserve">  wq_data </w:t>
      </w:r>
      <w:r>
        <w:rPr>
          <w:rStyle w:val="OtherTok"/>
        </w:rPr>
        <w:t xml:space="preserve">&lt;-</w:t>
      </w:r>
      <w:r>
        <w:rPr>
          <w:rStyle w:val="NormalTok"/>
        </w:rPr>
        <w:t xml:space="preserve"> </w:t>
      </w:r>
      <w:r>
        <w:rPr>
          <w:rStyle w:val="FunctionTok"/>
        </w:rPr>
        <w:t xml:space="preserve">rbind</w:t>
      </w:r>
      <w:r>
        <w:rPr>
          <w:rStyle w:val="NormalTok"/>
        </w:rPr>
        <w:t xml:space="preserve">(wq_data, temp)</w:t>
      </w:r>
      <w:r>
        <w:br/>
      </w:r>
      <w:r>
        <w:rPr>
          <w:rStyle w:val="NormalTok"/>
        </w:rPr>
        <w:t xml:space="preserve">}</w:t>
      </w:r>
      <w:r>
        <w:br/>
      </w:r>
      <w:r>
        <w:br/>
      </w:r>
      <w:r>
        <w:rPr>
          <w:rStyle w:val="CommentTok"/>
        </w:rPr>
        <w:t xml:space="preserve"># Remove duplicates and NA characteristic names</w:t>
      </w:r>
      <w:r>
        <w:br/>
      </w:r>
      <w:r>
        <w:rPr>
          <w:rStyle w:val="NormalTok"/>
        </w:rPr>
        <w:t xml:space="preserve">wq_data </w:t>
      </w:r>
      <w:r>
        <w:rPr>
          <w:rStyle w:val="OtherTok"/>
        </w:rPr>
        <w:t xml:space="preserve">&lt;-</w:t>
      </w:r>
      <w:r>
        <w:rPr>
          <w:rStyle w:val="NormalTok"/>
        </w:rPr>
        <w:t xml:space="preserve"> wq_data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(CharacteristicName))</w:t>
      </w:r>
    </w:p>
    <w:bookmarkStart w:id="54" w:name="parameter-frequency"/>
    <w:p>
      <w:pPr>
        <w:pStyle w:val="Heading2"/>
      </w:pPr>
      <w:r>
        <w:t xml:space="preserve">5.1 Parameter Frequency</w:t>
      </w:r>
    </w:p>
    <w:p>
      <w:pPr>
        <w:pStyle w:val="FirstParagraph"/>
      </w:pPr>
      <w:r>
        <w:t xml:space="preserve">The following parameters have been measured in the Nushagak watershed:</w:t>
      </w:r>
    </w:p>
    <w:p>
      <w:pPr>
        <w:pStyle w:val="SourceCode"/>
      </w:pPr>
      <w:r>
        <w:rPr>
          <w:rStyle w:val="NormalTok"/>
        </w:rPr>
        <w:t xml:space="preserve">param_freq </w:t>
      </w:r>
      <w:r>
        <w:rPr>
          <w:rStyle w:val="OtherTok"/>
        </w:rPr>
        <w:t xml:space="preserve">&lt;-</w:t>
      </w:r>
      <w:r>
        <w:rPr>
          <w:rStyle w:val="NormalTok"/>
        </w:rPr>
        <w:t xml:space="preserve"> wq_data </w:t>
      </w:r>
      <w:r>
        <w:rPr>
          <w:rStyle w:val="SpecialCharTok"/>
        </w:rPr>
        <w:t xml:space="preserve">%&gt;%</w:t>
      </w:r>
      <w:r>
        <w:br/>
      </w:r>
      <w:r>
        <w:rPr>
          <w:rStyle w:val="NormalTok"/>
        </w:rPr>
        <w:t xml:space="preserve">  </w:t>
      </w:r>
      <w:r>
        <w:rPr>
          <w:rStyle w:val="FunctionTok"/>
        </w:rPr>
        <w:t xml:space="preserve">group_by</w:t>
      </w:r>
      <w:r>
        <w:rPr>
          <w:rStyle w:val="NormalTok"/>
        </w:rPr>
        <w:t xml:space="preserve">(CharacteristicName)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Stations =</w:t>
      </w:r>
      <w:r>
        <w:rPr>
          <w:rStyle w:val="NormalTok"/>
        </w:rPr>
        <w:t xml:space="preserve"> </w:t>
      </w:r>
      <w:r>
        <w:rPr>
          <w:rStyle w:val="FunctionTok"/>
        </w:rPr>
        <w:t xml:space="preserve">n_distinct</w:t>
      </w:r>
      <w:r>
        <w:rPr>
          <w:rStyle w:val="NormalTok"/>
        </w:rPr>
        <w:t xml:space="preserve">(MonitoringLocationIdentifier),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(Observations))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"Parameter"</w:t>
      </w:r>
      <w:r>
        <w:rPr>
          <w:rStyle w:val="NormalTok"/>
        </w:rPr>
        <w:t xml:space="preserve"> </w:t>
      </w:r>
      <w:r>
        <w:rPr>
          <w:rStyle w:val="OtherTok"/>
        </w:rPr>
        <w:t xml:space="preserve">=</w:t>
      </w:r>
      <w:r>
        <w:rPr>
          <w:rStyle w:val="NormalTok"/>
        </w:rPr>
        <w:t xml:space="preserve"> CharacteristicName, </w:t>
      </w:r>
      <w:r>
        <w:rPr>
          <w:rStyle w:val="StringTok"/>
        </w:rPr>
        <w:t xml:space="preserve">"Measurements"</w:t>
      </w:r>
      <w:r>
        <w:rPr>
          <w:rStyle w:val="NormalTok"/>
        </w:rPr>
        <w:t xml:space="preserve"> </w:t>
      </w:r>
      <w:r>
        <w:rPr>
          <w:rStyle w:val="OtherTok"/>
        </w:rPr>
        <w:t xml:space="preserve">=</w:t>
      </w:r>
      <w:r>
        <w:rPr>
          <w:rStyle w:val="NormalTok"/>
        </w:rPr>
        <w:t xml:space="preserve"> Observations, </w:t>
      </w:r>
      <w:r>
        <w:rPr>
          <w:rStyle w:val="StringTok"/>
        </w:rPr>
        <w:t xml:space="preserve">"Unique Stations"</w:t>
      </w:r>
      <w:r>
        <w:rPr>
          <w:rStyle w:val="NormalTok"/>
        </w:rPr>
        <w:t xml:space="preserve"> </w:t>
      </w:r>
      <w:r>
        <w:rPr>
          <w:rStyle w:val="OtherTok"/>
        </w:rPr>
        <w:t xml:space="preserve">=</w:t>
      </w:r>
      <w:r>
        <w:rPr>
          <w:rStyle w:val="NormalTok"/>
        </w:rPr>
        <w:t xml:space="preserve"> Stations)</w:t>
      </w:r>
      <w:r>
        <w:br/>
      </w:r>
      <w:r>
        <w:br/>
      </w:r>
      <w:r>
        <w:rPr>
          <w:rStyle w:val="CommentTok"/>
        </w:rPr>
        <w:t xml:space="preserve"># Display top 20 parameters</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head</w:t>
      </w:r>
      <w:r>
        <w:rPr>
          <w:rStyle w:val="NormalTok"/>
        </w:rPr>
        <w:t xml:space="preserve">(param_freq, </w:t>
      </w:r>
      <w:r>
        <w:rPr>
          <w:rStyle w:val="DecValTok"/>
        </w:rPr>
        <w:t xml:space="preserve">20</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"Most Frequently Measured Water Quality Parameters (Top 20)"</w:t>
      </w:r>
      <w:r>
        <w:br/>
      </w:r>
      <w:r>
        <w:rPr>
          <w:rStyle w:val="NormalTok"/>
        </w:rPr>
        <w:t xml:space="preserve">)</w:t>
      </w:r>
    </w:p>
    <w:p>
      <w:pPr>
        <w:pStyle w:val="TableCaption"/>
      </w:pPr>
      <w:r>
        <w:t xml:space="preserve">Most Frequently Measured Water Quality Parameters (Top 20)</w:t>
      </w:r>
    </w:p>
    <w:tbl>
      <w:tblPr>
        <w:tblStyle w:val="Table"/>
        <w:tblW w:type="auto" w:w="0"/>
        <w:tblLook w:firstRow="1" w:lastRow="0" w:firstColumn="0" w:lastColumn="0" w:noHBand="0" w:noVBand="0" w:val="0020"/>
        <w:tblCaption w:val="Most Frequently Measured Water Quality Parameters (Top 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Measurements</w:t>
            </w:r>
          </w:p>
        </w:tc>
        <w:tc>
          <w:tcPr/>
          <w:p>
            <w:pPr>
              <w:pStyle w:val="Compact"/>
              <w:jc w:val="right"/>
            </w:pPr>
            <w:r>
              <w:t xml:space="preserve">Unique Stations</w:t>
            </w:r>
          </w:p>
        </w:tc>
      </w:tr>
      <w:tr>
        <w:tc>
          <w:tcPr/>
          <w:p>
            <w:pPr>
              <w:pStyle w:val="Compact"/>
              <w:jc w:val="left"/>
            </w:pPr>
            <w:r>
              <w:t xml:space="preserve">Stream flow, instantaneous</w:t>
            </w:r>
          </w:p>
        </w:tc>
        <w:tc>
          <w:tcPr/>
          <w:p>
            <w:pPr>
              <w:pStyle w:val="Compact"/>
              <w:jc w:val="right"/>
            </w:pPr>
            <w:r>
              <w:t xml:space="preserve">940</w:t>
            </w:r>
          </w:p>
        </w:tc>
        <w:tc>
          <w:tcPr/>
          <w:p>
            <w:pPr>
              <w:pStyle w:val="Compact"/>
              <w:jc w:val="right"/>
            </w:pPr>
            <w:r>
              <w:t xml:space="preserve">10</w:t>
            </w:r>
          </w:p>
        </w:tc>
      </w:tr>
      <w:tr>
        <w:tc>
          <w:tcPr/>
          <w:p>
            <w:pPr>
              <w:pStyle w:val="Compact"/>
              <w:jc w:val="left"/>
            </w:pPr>
            <w:r>
              <w:t xml:space="preserve">Temperature, water</w:t>
            </w:r>
          </w:p>
        </w:tc>
        <w:tc>
          <w:tcPr/>
          <w:p>
            <w:pPr>
              <w:pStyle w:val="Compact"/>
              <w:jc w:val="right"/>
            </w:pPr>
            <w:r>
              <w:t xml:space="preserve">902</w:t>
            </w:r>
          </w:p>
        </w:tc>
        <w:tc>
          <w:tcPr/>
          <w:p>
            <w:pPr>
              <w:pStyle w:val="Compact"/>
              <w:jc w:val="right"/>
            </w:pPr>
            <w:r>
              <w:t xml:space="preserve">196</w:t>
            </w:r>
          </w:p>
        </w:tc>
      </w:tr>
      <w:tr>
        <w:tc>
          <w:tcPr/>
          <w:p>
            <w:pPr>
              <w:pStyle w:val="Compact"/>
              <w:jc w:val="left"/>
            </w:pPr>
            <w:r>
              <w:t xml:space="preserve">Specific conductance</w:t>
            </w:r>
          </w:p>
        </w:tc>
        <w:tc>
          <w:tcPr/>
          <w:p>
            <w:pPr>
              <w:pStyle w:val="Compact"/>
              <w:jc w:val="right"/>
            </w:pPr>
            <w:r>
              <w:t xml:space="preserve">488</w:t>
            </w:r>
          </w:p>
        </w:tc>
        <w:tc>
          <w:tcPr/>
          <w:p>
            <w:pPr>
              <w:pStyle w:val="Compact"/>
              <w:jc w:val="right"/>
            </w:pPr>
            <w:r>
              <w:t xml:space="preserve">197</w:t>
            </w:r>
          </w:p>
        </w:tc>
      </w:tr>
      <w:tr>
        <w:tc>
          <w:tcPr/>
          <w:p>
            <w:pPr>
              <w:pStyle w:val="Compact"/>
              <w:jc w:val="left"/>
            </w:pPr>
            <w:r>
              <w:t xml:space="preserve">Stream width measure</w:t>
            </w:r>
          </w:p>
        </w:tc>
        <w:tc>
          <w:tcPr/>
          <w:p>
            <w:pPr>
              <w:pStyle w:val="Compact"/>
              <w:jc w:val="right"/>
            </w:pPr>
            <w:r>
              <w:t xml:space="preserve">452</w:t>
            </w:r>
          </w:p>
        </w:tc>
        <w:tc>
          <w:tcPr/>
          <w:p>
            <w:pPr>
              <w:pStyle w:val="Compact"/>
              <w:jc w:val="right"/>
            </w:pPr>
            <w:r>
              <w:t xml:space="preserve">21</w:t>
            </w:r>
          </w:p>
        </w:tc>
      </w:tr>
      <w:tr>
        <w:tc>
          <w:tcPr/>
          <w:p>
            <w:pPr>
              <w:pStyle w:val="Compact"/>
              <w:jc w:val="left"/>
            </w:pPr>
            <w:r>
              <w:t xml:space="preserve">pH</w:t>
            </w:r>
          </w:p>
        </w:tc>
        <w:tc>
          <w:tcPr/>
          <w:p>
            <w:pPr>
              <w:pStyle w:val="Compact"/>
              <w:jc w:val="right"/>
            </w:pPr>
            <w:r>
              <w:t xml:space="preserve">446</w:t>
            </w:r>
          </w:p>
        </w:tc>
        <w:tc>
          <w:tcPr/>
          <w:p>
            <w:pPr>
              <w:pStyle w:val="Compact"/>
              <w:jc w:val="right"/>
            </w:pPr>
            <w:r>
              <w:t xml:space="preserve">196</w:t>
            </w:r>
          </w:p>
        </w:tc>
      </w:tr>
      <w:tr>
        <w:tc>
          <w:tcPr/>
          <w:p>
            <w:pPr>
              <w:pStyle w:val="Compact"/>
              <w:jc w:val="left"/>
            </w:pPr>
            <w:r>
              <w:t xml:space="preserve">Temperature, air</w:t>
            </w:r>
          </w:p>
        </w:tc>
        <w:tc>
          <w:tcPr/>
          <w:p>
            <w:pPr>
              <w:pStyle w:val="Compact"/>
              <w:jc w:val="right"/>
            </w:pPr>
            <w:r>
              <w:t xml:space="preserve">335</w:t>
            </w:r>
          </w:p>
        </w:tc>
        <w:tc>
          <w:tcPr/>
          <w:p>
            <w:pPr>
              <w:pStyle w:val="Compact"/>
              <w:jc w:val="right"/>
            </w:pPr>
            <w:r>
              <w:t xml:space="preserve">19</w:t>
            </w:r>
          </w:p>
        </w:tc>
      </w:tr>
      <w:tr>
        <w:tc>
          <w:tcPr/>
          <w:p>
            <w:pPr>
              <w:pStyle w:val="Compact"/>
              <w:jc w:val="left"/>
            </w:pPr>
            <w:r>
              <w:t xml:space="preserve">Height, gage</w:t>
            </w:r>
          </w:p>
        </w:tc>
        <w:tc>
          <w:tcPr/>
          <w:p>
            <w:pPr>
              <w:pStyle w:val="Compact"/>
              <w:jc w:val="right"/>
            </w:pPr>
            <w:r>
              <w:t xml:space="preserve">306</w:t>
            </w:r>
          </w:p>
        </w:tc>
        <w:tc>
          <w:tcPr/>
          <w:p>
            <w:pPr>
              <w:pStyle w:val="Compact"/>
              <w:jc w:val="right"/>
            </w:pPr>
            <w:r>
              <w:t xml:space="preserve">13</w:t>
            </w:r>
          </w:p>
        </w:tc>
      </w:tr>
      <w:tr>
        <w:tc>
          <w:tcPr/>
          <w:p>
            <w:pPr>
              <w:pStyle w:val="Compact"/>
              <w:jc w:val="left"/>
            </w:pPr>
            <w:r>
              <w:t xml:space="preserve">Oxygen</w:t>
            </w:r>
          </w:p>
        </w:tc>
        <w:tc>
          <w:tcPr/>
          <w:p>
            <w:pPr>
              <w:pStyle w:val="Compact"/>
              <w:jc w:val="right"/>
            </w:pPr>
            <w:r>
              <w:t xml:space="preserve">268</w:t>
            </w:r>
          </w:p>
        </w:tc>
        <w:tc>
          <w:tcPr/>
          <w:p>
            <w:pPr>
              <w:pStyle w:val="Compact"/>
              <w:jc w:val="right"/>
            </w:pPr>
            <w:r>
              <w:t xml:space="preserve">1</w:t>
            </w:r>
          </w:p>
        </w:tc>
      </w:tr>
      <w:tr>
        <w:tc>
          <w:tcPr/>
          <w:p>
            <w:pPr>
              <w:pStyle w:val="Compact"/>
              <w:jc w:val="left"/>
            </w:pPr>
            <w:r>
              <w:t xml:space="preserve">Total dissolved solids</w:t>
            </w:r>
          </w:p>
        </w:tc>
        <w:tc>
          <w:tcPr/>
          <w:p>
            <w:pPr>
              <w:pStyle w:val="Compact"/>
              <w:jc w:val="right"/>
            </w:pPr>
            <w:r>
              <w:t xml:space="preserve">259</w:t>
            </w:r>
          </w:p>
        </w:tc>
        <w:tc>
          <w:tcPr/>
          <w:p>
            <w:pPr>
              <w:pStyle w:val="Compact"/>
              <w:jc w:val="right"/>
            </w:pPr>
            <w:r>
              <w:t xml:space="preserve">14</w:t>
            </w:r>
          </w:p>
        </w:tc>
      </w:tr>
      <w:tr>
        <w:tc>
          <w:tcPr/>
          <w:p>
            <w:pPr>
              <w:pStyle w:val="Compact"/>
              <w:jc w:val="left"/>
            </w:pPr>
            <w:r>
              <w:t xml:space="preserve">Acidity, (H+)</w:t>
            </w:r>
          </w:p>
        </w:tc>
        <w:tc>
          <w:tcPr/>
          <w:p>
            <w:pPr>
              <w:pStyle w:val="Compact"/>
              <w:jc w:val="right"/>
            </w:pPr>
            <w:r>
              <w:t xml:space="preserve">207</w:t>
            </w:r>
          </w:p>
        </w:tc>
        <w:tc>
          <w:tcPr/>
          <w:p>
            <w:pPr>
              <w:pStyle w:val="Compact"/>
              <w:jc w:val="right"/>
            </w:pPr>
            <w:r>
              <w:t xml:space="preserve">22</w:t>
            </w:r>
          </w:p>
        </w:tc>
      </w:tr>
      <w:tr>
        <w:tc>
          <w:tcPr/>
          <w:p>
            <w:pPr>
              <w:pStyle w:val="Compact"/>
              <w:jc w:val="left"/>
            </w:pPr>
            <w:r>
              <w:t xml:space="preserve">Iron</w:t>
            </w:r>
          </w:p>
        </w:tc>
        <w:tc>
          <w:tcPr/>
          <w:p>
            <w:pPr>
              <w:pStyle w:val="Compact"/>
              <w:jc w:val="right"/>
            </w:pPr>
            <w:r>
              <w:t xml:space="preserve">205</w:t>
            </w:r>
          </w:p>
        </w:tc>
        <w:tc>
          <w:tcPr/>
          <w:p>
            <w:pPr>
              <w:pStyle w:val="Compact"/>
              <w:jc w:val="right"/>
            </w:pPr>
            <w:r>
              <w:t xml:space="preserve">53</w:t>
            </w:r>
          </w:p>
        </w:tc>
      </w:tr>
      <w:tr>
        <w:tc>
          <w:tcPr/>
          <w:p>
            <w:pPr>
              <w:pStyle w:val="Compact"/>
              <w:jc w:val="left"/>
            </w:pPr>
            <w:r>
              <w:t xml:space="preserve">Barometric pressure</w:t>
            </w:r>
          </w:p>
        </w:tc>
        <w:tc>
          <w:tcPr/>
          <w:p>
            <w:pPr>
              <w:pStyle w:val="Compact"/>
              <w:jc w:val="right"/>
            </w:pPr>
            <w:r>
              <w:t xml:space="preserve">173</w:t>
            </w:r>
          </w:p>
        </w:tc>
        <w:tc>
          <w:tcPr/>
          <w:p>
            <w:pPr>
              <w:pStyle w:val="Compact"/>
              <w:jc w:val="right"/>
            </w:pPr>
            <w:r>
              <w:t xml:space="preserve">47</w:t>
            </w:r>
          </w:p>
        </w:tc>
      </w:tr>
      <w:tr>
        <w:tc>
          <w:tcPr/>
          <w:p>
            <w:pPr>
              <w:pStyle w:val="Compact"/>
              <w:jc w:val="left"/>
            </w:pPr>
            <w:r>
              <w:t xml:space="preserve">Manganese</w:t>
            </w:r>
          </w:p>
        </w:tc>
        <w:tc>
          <w:tcPr/>
          <w:p>
            <w:pPr>
              <w:pStyle w:val="Compact"/>
              <w:jc w:val="right"/>
            </w:pPr>
            <w:r>
              <w:t xml:space="preserve">172</w:t>
            </w:r>
          </w:p>
        </w:tc>
        <w:tc>
          <w:tcPr/>
          <w:p>
            <w:pPr>
              <w:pStyle w:val="Compact"/>
              <w:jc w:val="right"/>
            </w:pPr>
            <w:r>
              <w:t xml:space="preserve">53</w:t>
            </w:r>
          </w:p>
        </w:tc>
      </w:tr>
      <w:tr>
        <w:tc>
          <w:tcPr/>
          <w:p>
            <w:pPr>
              <w:pStyle w:val="Compact"/>
              <w:jc w:val="left"/>
            </w:pPr>
            <w:r>
              <w:t xml:space="preserve">Turbidity</w:t>
            </w:r>
          </w:p>
        </w:tc>
        <w:tc>
          <w:tcPr/>
          <w:p>
            <w:pPr>
              <w:pStyle w:val="Compact"/>
              <w:jc w:val="right"/>
            </w:pPr>
            <w:r>
              <w:t xml:space="preserve">170</w:t>
            </w:r>
          </w:p>
        </w:tc>
        <w:tc>
          <w:tcPr/>
          <w:p>
            <w:pPr>
              <w:pStyle w:val="Compact"/>
              <w:jc w:val="right"/>
            </w:pPr>
            <w:r>
              <w:t xml:space="preserve">50</w:t>
            </w:r>
          </w:p>
        </w:tc>
      </w:tr>
      <w:tr>
        <w:tc>
          <w:tcPr/>
          <w:p>
            <w:pPr>
              <w:pStyle w:val="Compact"/>
              <w:jc w:val="left"/>
            </w:pPr>
            <w:r>
              <w:t xml:space="preserve">Calcium</w:t>
            </w:r>
          </w:p>
        </w:tc>
        <w:tc>
          <w:tcPr/>
          <w:p>
            <w:pPr>
              <w:pStyle w:val="Compact"/>
              <w:jc w:val="right"/>
            </w:pPr>
            <w:r>
              <w:t xml:space="preserve">163</w:t>
            </w:r>
          </w:p>
        </w:tc>
        <w:tc>
          <w:tcPr/>
          <w:p>
            <w:pPr>
              <w:pStyle w:val="Compact"/>
              <w:jc w:val="right"/>
            </w:pPr>
            <w:r>
              <w:t xml:space="preserve">53</w:t>
            </w:r>
          </w:p>
        </w:tc>
      </w:tr>
      <w:tr>
        <w:tc>
          <w:tcPr/>
          <w:p>
            <w:pPr>
              <w:pStyle w:val="Compact"/>
              <w:jc w:val="left"/>
            </w:pPr>
            <w:r>
              <w:t xml:space="preserve">Magnesium</w:t>
            </w:r>
          </w:p>
        </w:tc>
        <w:tc>
          <w:tcPr/>
          <w:p>
            <w:pPr>
              <w:pStyle w:val="Compact"/>
              <w:jc w:val="right"/>
            </w:pPr>
            <w:r>
              <w:t xml:space="preserve">163</w:t>
            </w:r>
          </w:p>
        </w:tc>
        <w:tc>
          <w:tcPr/>
          <w:p>
            <w:pPr>
              <w:pStyle w:val="Compact"/>
              <w:jc w:val="right"/>
            </w:pPr>
            <w:r>
              <w:t xml:space="preserve">53</w:t>
            </w:r>
          </w:p>
        </w:tc>
      </w:tr>
      <w:tr>
        <w:tc>
          <w:tcPr/>
          <w:p>
            <w:pPr>
              <w:pStyle w:val="Compact"/>
              <w:jc w:val="left"/>
            </w:pPr>
            <w:r>
              <w:t xml:space="preserve">Sodium</w:t>
            </w:r>
          </w:p>
        </w:tc>
        <w:tc>
          <w:tcPr/>
          <w:p>
            <w:pPr>
              <w:pStyle w:val="Compact"/>
              <w:jc w:val="right"/>
            </w:pPr>
            <w:r>
              <w:t xml:space="preserve">163</w:t>
            </w:r>
          </w:p>
        </w:tc>
        <w:tc>
          <w:tcPr/>
          <w:p>
            <w:pPr>
              <w:pStyle w:val="Compact"/>
              <w:jc w:val="right"/>
            </w:pPr>
            <w:r>
              <w:t xml:space="preserve">53</w:t>
            </w:r>
          </w:p>
        </w:tc>
      </w:tr>
      <w:tr>
        <w:tc>
          <w:tcPr/>
          <w:p>
            <w:pPr>
              <w:pStyle w:val="Compact"/>
              <w:jc w:val="left"/>
            </w:pPr>
            <w:r>
              <w:t xml:space="preserve">Potassium</w:t>
            </w:r>
          </w:p>
        </w:tc>
        <w:tc>
          <w:tcPr/>
          <w:p>
            <w:pPr>
              <w:pStyle w:val="Compact"/>
              <w:jc w:val="right"/>
            </w:pPr>
            <w:r>
              <w:t xml:space="preserve">161</w:t>
            </w:r>
          </w:p>
        </w:tc>
        <w:tc>
          <w:tcPr/>
          <w:p>
            <w:pPr>
              <w:pStyle w:val="Compact"/>
              <w:jc w:val="right"/>
            </w:pPr>
            <w:r>
              <w:t xml:space="preserve">53</w:t>
            </w:r>
          </w:p>
        </w:tc>
      </w:tr>
      <w:tr>
        <w:tc>
          <w:tcPr/>
          <w:p>
            <w:pPr>
              <w:pStyle w:val="Compact"/>
              <w:jc w:val="left"/>
            </w:pPr>
            <w:r>
              <w:t xml:space="preserve">Uranium</w:t>
            </w:r>
          </w:p>
        </w:tc>
        <w:tc>
          <w:tcPr/>
          <w:p>
            <w:pPr>
              <w:pStyle w:val="Compact"/>
              <w:jc w:val="right"/>
            </w:pPr>
            <w:r>
              <w:t xml:space="preserve">154</w:t>
            </w:r>
          </w:p>
        </w:tc>
        <w:tc>
          <w:tcPr/>
          <w:p>
            <w:pPr>
              <w:pStyle w:val="Compact"/>
              <w:jc w:val="right"/>
            </w:pPr>
            <w:r>
              <w:t xml:space="preserve">129</w:t>
            </w:r>
          </w:p>
        </w:tc>
      </w:tr>
      <w:tr>
        <w:tc>
          <w:tcPr/>
          <w:p>
            <w:pPr>
              <w:pStyle w:val="Compact"/>
              <w:jc w:val="left"/>
            </w:pPr>
            <w:r>
              <w:t xml:space="preserve">Depth</w:t>
            </w:r>
          </w:p>
        </w:tc>
        <w:tc>
          <w:tcPr/>
          <w:p>
            <w:pPr>
              <w:pStyle w:val="Compact"/>
              <w:jc w:val="right"/>
            </w:pPr>
            <w:r>
              <w:t xml:space="preserve">146</w:t>
            </w:r>
          </w:p>
        </w:tc>
        <w:tc>
          <w:tcPr/>
          <w:p>
            <w:pPr>
              <w:pStyle w:val="Compact"/>
              <w:jc w:val="right"/>
            </w:pPr>
            <w:r>
              <w:t xml:space="preserve">26</w:t>
            </w:r>
          </w:p>
        </w:tc>
      </w:tr>
    </w:tbl>
    <w:p>
      <w:pPr>
        <w:pStyle w:val="BodyText"/>
      </w:pPr>
      <w:r>
        <w:t xml:space="preserve">Additional parameters also likely exist but are not yet included in this exploratory data assessment (see</w:t>
      </w:r>
      <w:r>
        <w:t xml:space="preserve"> </w:t>
      </w:r>
      <w:r>
        <w:t xml:space="preserve">“Data Sources and Inventory”</w:t>
      </w:r>
      <w:r>
        <w:t xml:space="preserve"> </w:t>
      </w:r>
      <w:r>
        <w:t xml:space="preserve">chapter).</w:t>
      </w:r>
    </w:p>
    <w:bookmarkEnd w:id="54"/>
    <w:bookmarkStart w:id="60" w:name="key-parameter-categories"/>
    <w:p>
      <w:pPr>
        <w:pStyle w:val="Heading2"/>
      </w:pPr>
      <w:r>
        <w:t xml:space="preserve">5.2 Key Parameter Categories</w:t>
      </w:r>
    </w:p>
    <w:bookmarkStart w:id="55" w:name="physical-properties"/>
    <w:p>
      <w:pPr>
        <w:pStyle w:val="Heading3"/>
      </w:pPr>
      <w:r>
        <w:t xml:space="preserve">5.2.1 Physical Properties</w:t>
      </w:r>
    </w:p>
    <w:p>
      <w:pPr>
        <w:pStyle w:val="Compact"/>
        <w:numPr>
          <w:ilvl w:val="0"/>
          <w:numId w:val="1004"/>
        </w:numPr>
      </w:pPr>
      <w:r>
        <w:rPr>
          <w:b/>
          <w:bCs/>
        </w:rPr>
        <w:t xml:space="preserve">Temperature</w:t>
      </w:r>
      <w:r>
        <w:t xml:space="preserve">: Essential for salmon habitat assessment; continuous monitoring data available from USGS gages</w:t>
      </w:r>
    </w:p>
    <w:p>
      <w:pPr>
        <w:pStyle w:val="Compact"/>
        <w:numPr>
          <w:ilvl w:val="0"/>
          <w:numId w:val="1004"/>
        </w:numPr>
      </w:pPr>
      <w:r>
        <w:rPr>
          <w:b/>
          <w:bCs/>
        </w:rPr>
        <w:t xml:space="preserve">Conductivity &amp; Specific Conductance</w:t>
      </w:r>
      <w:r>
        <w:t xml:space="preserve">: Indicates mineralization and ionic composition</w:t>
      </w:r>
    </w:p>
    <w:p>
      <w:pPr>
        <w:pStyle w:val="Compact"/>
        <w:numPr>
          <w:ilvl w:val="0"/>
          <w:numId w:val="1004"/>
        </w:numPr>
      </w:pPr>
      <w:r>
        <w:rPr>
          <w:b/>
          <w:bCs/>
        </w:rPr>
        <w:t xml:space="preserve">Turbidity</w:t>
      </w:r>
      <w:r>
        <w:t xml:space="preserve">: Affects light penetration; high values can indicate erosion or glacial discharge</w:t>
      </w:r>
    </w:p>
    <w:bookmarkEnd w:id="55"/>
    <w:bookmarkStart w:id="56" w:name="chemical-properties"/>
    <w:p>
      <w:pPr>
        <w:pStyle w:val="Heading3"/>
      </w:pPr>
      <w:r>
        <w:t xml:space="preserve">5.2.2 Chemical Properties</w:t>
      </w:r>
    </w:p>
    <w:p>
      <w:pPr>
        <w:pStyle w:val="Compact"/>
        <w:numPr>
          <w:ilvl w:val="0"/>
          <w:numId w:val="1005"/>
        </w:numPr>
      </w:pPr>
      <w:r>
        <w:rPr>
          <w:b/>
          <w:bCs/>
        </w:rPr>
        <w:t xml:space="preserve">pH</w:t>
      </w:r>
      <w:r>
        <w:t xml:space="preserve">: Affects aquatic chemistry and organism physiology</w:t>
      </w:r>
    </w:p>
    <w:p>
      <w:pPr>
        <w:pStyle w:val="Compact"/>
        <w:numPr>
          <w:ilvl w:val="0"/>
          <w:numId w:val="1005"/>
        </w:numPr>
      </w:pPr>
      <w:r>
        <w:rPr>
          <w:b/>
          <w:bCs/>
        </w:rPr>
        <w:t xml:space="preserve">Dissolved Oxygen</w:t>
      </w:r>
      <w:r>
        <w:t xml:space="preserve">: Critical for salmonid survival</w:t>
      </w:r>
    </w:p>
    <w:p>
      <w:pPr>
        <w:pStyle w:val="Compact"/>
        <w:numPr>
          <w:ilvl w:val="0"/>
          <w:numId w:val="1005"/>
        </w:numPr>
      </w:pPr>
      <w:r>
        <w:rPr>
          <w:b/>
          <w:bCs/>
        </w:rPr>
        <w:t xml:space="preserve">Alkalinity &amp; Hardness</w:t>
      </w:r>
      <w:r>
        <w:t xml:space="preserve">: Buffer capacity against acid inputs</w:t>
      </w:r>
    </w:p>
    <w:bookmarkEnd w:id="56"/>
    <w:bookmarkStart w:id="57" w:name="nutrients"/>
    <w:p>
      <w:pPr>
        <w:pStyle w:val="Heading3"/>
      </w:pPr>
      <w:r>
        <w:t xml:space="preserve">5.2.3 Nutrients</w:t>
      </w:r>
    </w:p>
    <w:p>
      <w:pPr>
        <w:pStyle w:val="Compact"/>
        <w:numPr>
          <w:ilvl w:val="0"/>
          <w:numId w:val="1006"/>
        </w:numPr>
      </w:pPr>
      <w:r>
        <w:rPr>
          <w:b/>
          <w:bCs/>
        </w:rPr>
        <w:t xml:space="preserve">Nitrogen (various forms)</w:t>
      </w:r>
      <w:r>
        <w:t xml:space="preserve">: Nitrate, nitrite, ammonia, total nitrogen</w:t>
      </w:r>
    </w:p>
    <w:p>
      <w:pPr>
        <w:pStyle w:val="Compact"/>
        <w:numPr>
          <w:ilvl w:val="0"/>
          <w:numId w:val="1006"/>
        </w:numPr>
      </w:pPr>
      <w:r>
        <w:rPr>
          <w:b/>
          <w:bCs/>
        </w:rPr>
        <w:t xml:space="preserve">Phosphorus (various forms)</w:t>
      </w:r>
      <w:r>
        <w:t xml:space="preserve">: Orthophosphate, total phosphorus</w:t>
      </w:r>
    </w:p>
    <w:p>
      <w:pPr>
        <w:pStyle w:val="Compact"/>
        <w:numPr>
          <w:ilvl w:val="0"/>
          <w:numId w:val="1006"/>
        </w:numPr>
      </w:pPr>
      <w:r>
        <w:t xml:space="preserve">(Limited frequency in existing data; opportunity for expanded monitoring)</w:t>
      </w:r>
    </w:p>
    <w:bookmarkEnd w:id="57"/>
    <w:bookmarkStart w:id="58" w:name="trace-elements-metals"/>
    <w:p>
      <w:pPr>
        <w:pStyle w:val="Heading3"/>
      </w:pPr>
      <w:r>
        <w:t xml:space="preserve">5.2.4 Trace Elements &amp; Metals</w:t>
      </w:r>
    </w:p>
    <w:p>
      <w:pPr>
        <w:pStyle w:val="Compact"/>
        <w:numPr>
          <w:ilvl w:val="0"/>
          <w:numId w:val="1007"/>
        </w:numPr>
      </w:pPr>
      <w:r>
        <w:rPr>
          <w:b/>
          <w:bCs/>
        </w:rPr>
        <w:t xml:space="preserve">Copper</w:t>
      </w:r>
      <w:r>
        <w:t xml:space="preserve">: Abnormal levels can be toxic to aquatic life; relevant to mining activity concerns</w:t>
      </w:r>
    </w:p>
    <w:p>
      <w:pPr>
        <w:pStyle w:val="Compact"/>
        <w:numPr>
          <w:ilvl w:val="0"/>
          <w:numId w:val="1007"/>
        </w:numPr>
      </w:pPr>
      <w:r>
        <w:rPr>
          <w:b/>
          <w:bCs/>
        </w:rPr>
        <w:t xml:space="preserve">Zinc, Lead, Cadmium, Chromium</w:t>
      </w:r>
      <w:r>
        <w:t xml:space="preserve">: Other metals detected; relevance context-dependent</w:t>
      </w:r>
    </w:p>
    <w:p>
      <w:pPr>
        <w:pStyle w:val="Compact"/>
        <w:numPr>
          <w:ilvl w:val="0"/>
          <w:numId w:val="1007"/>
        </w:numPr>
      </w:pPr>
      <w:r>
        <w:rPr>
          <w:b/>
          <w:bCs/>
        </w:rPr>
        <w:t xml:space="preserve">Molybdenum</w:t>
      </w:r>
      <w:r>
        <w:t xml:space="preserve">: Associated with geochemistry and mining scenarios</w:t>
      </w:r>
    </w:p>
    <w:bookmarkEnd w:id="58"/>
    <w:bookmarkStart w:id="59" w:name="biological"/>
    <w:p>
      <w:pPr>
        <w:pStyle w:val="Heading3"/>
      </w:pPr>
      <w:r>
        <w:t xml:space="preserve">5.2.5 Biological</w:t>
      </w:r>
    </w:p>
    <w:p>
      <w:pPr>
        <w:pStyle w:val="Compact"/>
        <w:numPr>
          <w:ilvl w:val="0"/>
          <w:numId w:val="1008"/>
        </w:numPr>
      </w:pPr>
      <w:r>
        <w:rPr>
          <w:b/>
          <w:bCs/>
        </w:rPr>
        <w:t xml:space="preserve">Algal and macroinvertebrate sampling</w:t>
      </w:r>
      <w:r>
        <w:t xml:space="preserve">: Limited in frequency; primarily USGS and academic efforts</w:t>
      </w:r>
    </w:p>
    <w:p>
      <w:r>
        <w:pict>
          <v:rect style="width:0;height:1.5pt" o:hralign="center" o:hrstd="t" o:hr="t"/>
        </w:pict>
      </w:r>
    </w:p>
    <w:bookmarkEnd w:id="59"/>
    <w:bookmarkEnd w:id="60"/>
    <w:bookmarkStart w:id="61" w:name="data-gaps-and-monitoring-opportunities"/>
    <w:p>
      <w:pPr>
        <w:pStyle w:val="Heading2"/>
      </w:pPr>
      <w:r>
        <w:t xml:space="preserve">5.3 Data Gaps and Monitoring Opportunities</w:t>
      </w:r>
    </w:p>
    <w:p>
      <w:pPr>
        <w:pStyle w:val="FirstParagraph"/>
      </w:pPr>
      <w:r>
        <w:t xml:space="preserve">Based on the inventory, the following represent priorities for expanded collaborative monitoring:</w:t>
      </w:r>
    </w:p>
    <w:p>
      <w:pPr>
        <w:numPr>
          <w:ilvl w:val="0"/>
          <w:numId w:val="1009"/>
        </w:numPr>
      </w:pPr>
      <w:r>
        <w:rPr>
          <w:b/>
          <w:bCs/>
        </w:rPr>
        <w:t xml:space="preserve">Continuous Temperature Data</w:t>
      </w:r>
      <w:r>
        <w:t xml:space="preserve">: Few sites have high-frequency temperature loggers; salmon thermal habitat monitoring would benefit from denser deployment.</w:t>
      </w:r>
    </w:p>
    <w:p>
      <w:pPr>
        <w:numPr>
          <w:ilvl w:val="0"/>
          <w:numId w:val="1009"/>
        </w:numPr>
      </w:pPr>
      <w:r>
        <w:rPr>
          <w:b/>
          <w:bCs/>
        </w:rPr>
        <w:t xml:space="preserve">Nutrients (N, P)</w:t>
      </w:r>
      <w:r>
        <w:t xml:space="preserve">: Few measurements in existing WQP data; baseline nutrient levels are poorly characterized across most of the watershed.</w:t>
      </w:r>
    </w:p>
    <w:p>
      <w:pPr>
        <w:numPr>
          <w:ilvl w:val="0"/>
          <w:numId w:val="1009"/>
        </w:numPr>
      </w:pPr>
      <w:r>
        <w:rPr>
          <w:b/>
          <w:bCs/>
        </w:rPr>
        <w:t xml:space="preserve">Biological Metrics</w:t>
      </w:r>
      <w:r>
        <w:t xml:space="preserve">: Macroinvertebrate and periphyton sampling is limited. Fish presence/absence and juvenile salmon surveys would complement chemistry data.</w:t>
      </w:r>
    </w:p>
    <w:p>
      <w:pPr>
        <w:numPr>
          <w:ilvl w:val="0"/>
          <w:numId w:val="1009"/>
        </w:numPr>
      </w:pPr>
      <w:r>
        <w:rPr>
          <w:b/>
          <w:bCs/>
        </w:rPr>
        <w:t xml:space="preserve">Seasonal and High-Flow Sampling</w:t>
      </w:r>
      <w:r>
        <w:t xml:space="preserve">: Most data are episodic; systematic seasonal sampling would reveal temperature, discharge, and contaminant dynamics.</w:t>
      </w:r>
    </w:p>
    <w:p>
      <w:r>
        <w:pict>
          <v:rect style="width:0;height:1.5pt" o:hralign="center" o:hrstd="t" o:hr="t"/>
        </w:pict>
      </w:r>
    </w:p>
    <w:p>
      <w:pPr>
        <w:pStyle w:val="FirstParagraph"/>
      </w:pPr>
      <w:r>
        <w:t xml:space="preserve">These gaps inform the monitoring design recommendations in Part III.</w:t>
      </w:r>
    </w:p>
    <w:bookmarkEnd w:id="61"/>
    <w:bookmarkEnd w:id="62"/>
    <w:bookmarkStart w:id="68" w:name="physical-and-chemical-baseline"/>
    <w:p>
      <w:pPr>
        <w:pStyle w:val="Heading1"/>
      </w:pPr>
      <w:r>
        <w:t xml:space="preserve">6. Physical and Chemical Baseline</w:t>
      </w:r>
    </w:p>
    <w:p>
      <w:pPr>
        <w:pStyle w:val="SourceCode"/>
      </w:pPr>
      <w:r>
        <w:rPr>
          <w:rStyle w:val="FunctionTok"/>
        </w:rPr>
        <w:t xml:space="preserve">library</w:t>
      </w:r>
      <w:r>
        <w:rPr>
          <w:rStyle w:val="NormalTok"/>
        </w:rPr>
        <w:t xml:space="preserve">(dataRetrieval)</w:t>
      </w:r>
      <w:r>
        <w:br/>
      </w:r>
      <w:r>
        <w:rPr>
          <w:rStyle w:val="FunctionTok"/>
        </w:rPr>
        <w:t xml:space="preserve">library</w:t>
      </w:r>
      <w:r>
        <w:rPr>
          <w:rStyle w:val="NormalTok"/>
        </w:rPr>
        <w:t xml:space="preserve">(dplyr)</w:t>
      </w:r>
      <w:r>
        <w:br/>
      </w:r>
      <w:r>
        <w:br/>
      </w:r>
      <w:r>
        <w:rPr>
          <w:rStyle w:val="CommentTok"/>
        </w:rPr>
        <w:t xml:space="preserve"># Key parameters for physical/chemical baseline</w:t>
      </w:r>
      <w:r>
        <w:br/>
      </w:r>
      <w:r>
        <w:rPr>
          <w:rStyle w:val="NormalTok"/>
        </w:rPr>
        <w:t xml:space="preserve">key_params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"pH"</w:t>
      </w:r>
      <w:r>
        <w:rPr>
          <w:rStyle w:val="NormalTok"/>
        </w:rPr>
        <w:t xml:space="preserve">, </w:t>
      </w:r>
      <w:r>
        <w:rPr>
          <w:rStyle w:val="StringTok"/>
        </w:rPr>
        <w:t xml:space="preserve">"Temperature, water"</w:t>
      </w:r>
      <w:r>
        <w:rPr>
          <w:rStyle w:val="NormalTok"/>
        </w:rPr>
        <w:t xml:space="preserve">, </w:t>
      </w:r>
      <w:r>
        <w:rPr>
          <w:rStyle w:val="StringTok"/>
        </w:rPr>
        <w:t xml:space="preserve">"Dissolved oxygen (DO)"</w:t>
      </w:r>
      <w:r>
        <w:rPr>
          <w:rStyle w:val="NormalTok"/>
        </w:rPr>
        <w:t xml:space="preserve">, </w:t>
      </w:r>
      <w:r>
        <w:br/>
      </w:r>
      <w:r>
        <w:rPr>
          <w:rStyle w:val="NormalTok"/>
        </w:rPr>
        <w:t xml:space="preserve">                </w:t>
      </w:r>
      <w:r>
        <w:rPr>
          <w:rStyle w:val="StringTok"/>
        </w:rPr>
        <w:t xml:space="preserve">"Specific conductance"</w:t>
      </w:r>
      <w:r>
        <w:rPr>
          <w:rStyle w:val="NormalTok"/>
        </w:rPr>
        <w:t xml:space="preserve">, </w:t>
      </w:r>
      <w:r>
        <w:rPr>
          <w:rStyle w:val="StringTok"/>
        </w:rPr>
        <w:t xml:space="preserve">"Turbidity"</w:t>
      </w:r>
      <w:r>
        <w:rPr>
          <w:rStyle w:val="NormalTok"/>
        </w:rPr>
        <w:t xml:space="preserve">)</w:t>
      </w:r>
      <w:r>
        <w:br/>
      </w:r>
      <w:r>
        <w:br/>
      </w:r>
      <w:r>
        <w:rPr>
          <w:rStyle w:val="NormalTok"/>
        </w:rPr>
        <w:t xml:space="preserve">nushagak_hucs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"19030301"</w:t>
      </w:r>
      <w:r>
        <w:rPr>
          <w:rStyle w:val="NormalTok"/>
        </w:rPr>
        <w:t xml:space="preserve">, </w:t>
      </w:r>
      <w:r>
        <w:rPr>
          <w:rStyle w:val="StringTok"/>
        </w:rPr>
        <w:t xml:space="preserve">"19030302"</w:t>
      </w:r>
      <w:r>
        <w:rPr>
          <w:rStyle w:val="NormalTok"/>
        </w:rPr>
        <w:t xml:space="preserve">, </w:t>
      </w:r>
      <w:r>
        <w:rPr>
          <w:rStyle w:val="StringTok"/>
        </w:rPr>
        <w:t xml:space="preserve">"19030303"</w:t>
      </w:r>
      <w:r>
        <w:rPr>
          <w:rStyle w:val="NormalTok"/>
        </w:rPr>
        <w:t xml:space="preserve">, </w:t>
      </w:r>
      <w:r>
        <w:rPr>
          <w:rStyle w:val="StringTok"/>
        </w:rPr>
        <w:t xml:space="preserve">"19030304"</w:t>
      </w:r>
      <w:r>
        <w:rPr>
          <w:rStyle w:val="NormalTok"/>
        </w:rPr>
        <w:t xml:space="preserve">)</w:t>
      </w:r>
      <w:r>
        <w:br/>
      </w:r>
      <w:r>
        <w:br/>
      </w:r>
      <w:r>
        <w:rPr>
          <w:rStyle w:val="CommentTok"/>
        </w:rPr>
        <w:t xml:space="preserve"># Fetch data for key parameters</w:t>
      </w:r>
      <w:r>
        <w:br/>
      </w:r>
      <w:r>
        <w:rPr>
          <w:rStyle w:val="FunctionTok"/>
        </w:rPr>
        <w:t xml:space="preserve">message</w:t>
      </w:r>
      <w:r>
        <w:rPr>
          <w:rStyle w:val="NormalTok"/>
        </w:rPr>
        <w:t xml:space="preserve">(</w:t>
      </w:r>
      <w:r>
        <w:rPr>
          <w:rStyle w:val="StringTok"/>
        </w:rPr>
        <w:t xml:space="preserve">"Querying WQP for key physical/chemical parameters..."</w:t>
      </w:r>
      <w:r>
        <w:rPr>
          <w:rStyle w:val="NormalTok"/>
        </w:rPr>
        <w:t xml:space="preserve">)</w:t>
      </w:r>
      <w:r>
        <w:br/>
      </w:r>
      <w:r>
        <w:rPr>
          <w:rStyle w:val="NormalTok"/>
        </w:rPr>
        <w:t xml:space="preserve">wq_data </w:t>
      </w:r>
      <w:r>
        <w:rPr>
          <w:rStyle w:val="OtherTok"/>
        </w:rPr>
        <w:t xml:space="preserve">&lt;-</w:t>
      </w:r>
      <w:r>
        <w:rPr>
          <w:rStyle w:val="NormalTok"/>
        </w:rPr>
        <w:t xml:space="preserve"> </w:t>
      </w:r>
      <w:r>
        <w:rPr>
          <w:rStyle w:val="FunctionTok"/>
        </w:rPr>
        <w:t xml:space="preserve">readWQPdata</w:t>
      </w:r>
      <w:r>
        <w:rPr>
          <w:rStyle w:val="NormalTok"/>
        </w:rPr>
        <w:t xml:space="preserve">(</w:t>
      </w:r>
      <w:r>
        <w:rPr>
          <w:rStyle w:val="AttributeTok"/>
        </w:rPr>
        <w:t xml:space="preserve">huc =</w:t>
      </w:r>
      <w:r>
        <w:rPr>
          <w:rStyle w:val="NormalTok"/>
        </w:rPr>
        <w:t xml:space="preserve"> nushagak_hucs, </w:t>
      </w:r>
      <w:r>
        <w:rPr>
          <w:rStyle w:val="AttributeTok"/>
        </w:rPr>
        <w:t xml:space="preserve">sampleMedia =</w:t>
      </w:r>
      <w:r>
        <w:rPr>
          <w:rStyle w:val="NormalTok"/>
        </w:rPr>
        <w:t xml:space="preserve"> </w:t>
      </w:r>
      <w:r>
        <w:rPr>
          <w:rStyle w:val="StringTok"/>
        </w:rPr>
        <w:t xml:space="preserve">"Water"</w:t>
      </w:r>
      <w:r>
        <w:rPr>
          <w:rStyle w:val="NormalTok"/>
        </w:rPr>
        <w:t xml:space="preserve">)</w:t>
      </w:r>
      <w:r>
        <w:br/>
      </w:r>
      <w:r>
        <w:br/>
      </w:r>
      <w:r>
        <w:rPr>
          <w:rStyle w:val="CommentTok"/>
        </w:rPr>
        <w:t xml:space="preserve"># Filter to key parameters</w:t>
      </w:r>
      <w:r>
        <w:br/>
      </w:r>
      <w:r>
        <w:rPr>
          <w:rStyle w:val="NormalTok"/>
        </w:rPr>
        <w:t xml:space="preserve">wq_key </w:t>
      </w:r>
      <w:r>
        <w:rPr>
          <w:rStyle w:val="OtherTok"/>
        </w:rPr>
        <w:t xml:space="preserve">&lt;-</w:t>
      </w:r>
      <w:r>
        <w:rPr>
          <w:rStyle w:val="NormalTok"/>
        </w:rPr>
        <w:t xml:space="preserve"> wq_data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%in%</w:t>
      </w:r>
      <w:r>
        <w:rPr>
          <w:rStyle w:val="NormalTok"/>
        </w:rPr>
        <w:t xml:space="preserve"> key_params)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(ResultMeasureValue))</w:t>
      </w:r>
    </w:p>
    <w:bookmarkStart w:id="63" w:name="temperature"/>
    <w:p>
      <w:pPr>
        <w:pStyle w:val="Heading2"/>
      </w:pPr>
      <w:r>
        <w:t xml:space="preserve">6.1 Temperature</w:t>
      </w:r>
    </w:p>
    <w:p>
      <w:pPr>
        <w:pStyle w:val="FirstParagraph"/>
      </w:pPr>
      <w:r>
        <w:t xml:space="preserve">Water temperature is fundamental to salmon ecology. Optimal ranges vary by species and life stage, but most Pacific salmon prefer cool water (≤16°C) and suffer stress at temperatures &gt;20°C.</w:t>
      </w:r>
    </w:p>
    <w:p>
      <w:pPr>
        <w:pStyle w:val="SourceCode"/>
      </w:pPr>
      <w:r>
        <w:rPr>
          <w:rStyle w:val="NormalTok"/>
        </w:rPr>
        <w:t xml:space="preserve">temp_data </w:t>
      </w:r>
      <w:r>
        <w:rPr>
          <w:rStyle w:val="OtherTok"/>
        </w:rPr>
        <w:t xml:space="preserve">&lt;-</w:t>
      </w:r>
      <w:r>
        <w:rPr>
          <w:rStyle w:val="NormalTok"/>
        </w:rPr>
        <w:t xml:space="preserve"> wq_key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w:t>
      </w:r>
      <w:r>
        <w:rPr>
          <w:rStyle w:val="NormalTok"/>
        </w:rPr>
        <w:t xml:space="preserve"> </w:t>
      </w:r>
      <w:r>
        <w:rPr>
          <w:rStyle w:val="StringTok"/>
        </w:rPr>
        <w:t xml:space="preserve">"Temperature, water"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(ResultMeasureValue)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Temperature_C =</w:t>
      </w:r>
      <w:r>
        <w:rPr>
          <w:rStyle w:val="NormalTok"/>
        </w:rPr>
        <w:t xml:space="preserve"> </w:t>
      </w:r>
      <w:r>
        <w:rPr>
          <w:rStyle w:val="FunctionTok"/>
        </w:rPr>
        <w:t xml:space="preserve">as.numeric</w:t>
      </w:r>
      <w:r>
        <w:rPr>
          <w:rStyle w:val="NormalTok"/>
        </w:rPr>
        <w:t xml:space="preserve">(ResultMeasureValue))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ResultMeasureValue)</w:t>
      </w:r>
      <w:r>
        <w:br/>
      </w:r>
      <w:r>
        <w:br/>
      </w:r>
      <w:r>
        <w:rPr>
          <w:rStyle w:val="ControlFlowTok"/>
        </w:rPr>
        <w:t xml:space="preserve">if</w:t>
      </w:r>
      <w:r>
        <w:rPr>
          <w:rStyle w:val="NormalTok"/>
        </w:rPr>
        <w:t xml:space="preserve"> (</w:t>
      </w:r>
      <w:r>
        <w:rPr>
          <w:rStyle w:val="FunctionTok"/>
        </w:rPr>
        <w:t xml:space="preserve">nrow</w:t>
      </w:r>
      <w:r>
        <w:rPr>
          <w:rStyle w:val="NormalTok"/>
        </w:rPr>
        <w:t xml:space="preserve">(temp_data)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temp_stats </w:t>
      </w:r>
      <w:r>
        <w:rPr>
          <w:rStyle w:val="OtherTok"/>
        </w:rPr>
        <w:t xml:space="preserve">&lt;-</w:t>
      </w:r>
      <w:r>
        <w:rPr>
          <w:rStyle w:val="NormalTok"/>
        </w:rPr>
        <w:t xml:space="preserve"> temp_data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(Temperature_C,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(Temperature_C,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(Temperature_C,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(Temperature_C,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(Temperature_C,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(temp_stats,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"Temperature Summary Statistics (°C)"</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"Insufficient temperature data for analysis.</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Temperature Summary Statistics (°C)</w:t>
      </w:r>
    </w:p>
    <w:tbl>
      <w:tblPr>
        <w:tblStyle w:val="Table"/>
        <w:tblW w:type="auto" w:w="0"/>
        <w:tblLook w:firstRow="1" w:lastRow="0" w:firstColumn="0" w:lastColumn="0" w:noHBand="0" w:noVBand="0" w:val="0020"/>
        <w:tblCaption w:val="Temperature Summary Statistics (°C)"/>
      </w:tblPr>
      <w:tblGrid>
        <w:gridCol w:w="1320"/>
        <w:gridCol w:w="1320"/>
        <w:gridCol w:w="1320"/>
        <w:gridCol w:w="1320"/>
        <w:gridCol w:w="1320"/>
        <w:gridCol w:w="1320"/>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SD</w:t>
            </w:r>
          </w:p>
        </w:tc>
      </w:tr>
      <w:tr>
        <w:tc>
          <w:tcPr/>
          <w:p>
            <w:pPr>
              <w:pStyle w:val="Compact"/>
              <w:jc w:val="right"/>
            </w:pPr>
            <w:r>
              <w:t xml:space="preserve">902</w:t>
            </w:r>
          </w:p>
        </w:tc>
        <w:tc>
          <w:tcPr/>
          <w:p>
            <w:pPr>
              <w:pStyle w:val="Compact"/>
              <w:jc w:val="right"/>
            </w:pPr>
            <w:r>
              <w:t xml:space="preserve">8.02</w:t>
            </w:r>
          </w:p>
        </w:tc>
        <w:tc>
          <w:tcPr/>
          <w:p>
            <w:pPr>
              <w:pStyle w:val="Compact"/>
              <w:jc w:val="right"/>
            </w:pPr>
            <w:r>
              <w:t xml:space="preserve">7.9</w:t>
            </w:r>
          </w:p>
        </w:tc>
        <w:tc>
          <w:tcPr/>
          <w:p>
            <w:pPr>
              <w:pStyle w:val="Compact"/>
              <w:jc w:val="right"/>
            </w:pPr>
            <w:r>
              <w:t xml:space="preserve">0</w:t>
            </w:r>
          </w:p>
        </w:tc>
        <w:tc>
          <w:tcPr/>
          <w:p>
            <w:pPr>
              <w:pStyle w:val="Compact"/>
              <w:jc w:val="right"/>
            </w:pPr>
            <w:r>
              <w:t xml:space="preserve">21.1</w:t>
            </w:r>
          </w:p>
        </w:tc>
        <w:tc>
          <w:tcPr/>
          <w:p>
            <w:pPr>
              <w:pStyle w:val="Compact"/>
              <w:jc w:val="right"/>
            </w:pPr>
            <w:r>
              <w:t xml:space="preserve">4.3</w:t>
            </w:r>
          </w:p>
        </w:tc>
      </w:tr>
    </w:tbl>
    <w:bookmarkEnd w:id="63"/>
    <w:bookmarkStart w:id="64" w:name="ph"/>
    <w:p>
      <w:pPr>
        <w:pStyle w:val="Heading2"/>
      </w:pPr>
      <w:r>
        <w:t xml:space="preserve">6.2 pH</w:t>
      </w:r>
    </w:p>
    <w:p>
      <w:pPr>
        <w:pStyle w:val="FirstParagraph"/>
      </w:pPr>
      <w:r>
        <w:t xml:space="preserve">pH controls the availability of nutrients and toxicity of metals. Salmon thrive in neutral to slightly alkaline waters (pH 6.5–8.0).</w:t>
      </w:r>
    </w:p>
    <w:p>
      <w:pPr>
        <w:pStyle w:val="SourceCode"/>
      </w:pPr>
      <w:r>
        <w:rPr>
          <w:rStyle w:val="NormalTok"/>
        </w:rPr>
        <w:t xml:space="preserve">ph_data </w:t>
      </w:r>
      <w:r>
        <w:rPr>
          <w:rStyle w:val="OtherTok"/>
        </w:rPr>
        <w:t xml:space="preserve">&lt;-</w:t>
      </w:r>
      <w:r>
        <w:rPr>
          <w:rStyle w:val="NormalTok"/>
        </w:rPr>
        <w:t xml:space="preserve"> wq_key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w:t>
      </w:r>
      <w:r>
        <w:rPr>
          <w:rStyle w:val="NormalTok"/>
        </w:rPr>
        <w:t xml:space="preserve"> </w:t>
      </w:r>
      <w:r>
        <w:rPr>
          <w:rStyle w:val="StringTok"/>
        </w:rPr>
        <w:t xml:space="preserve">"pH"</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(ResultMeasureValue)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pH =</w:t>
      </w:r>
      <w:r>
        <w:rPr>
          <w:rStyle w:val="NormalTok"/>
        </w:rPr>
        <w:t xml:space="preserve"> </w:t>
      </w:r>
      <w:r>
        <w:rPr>
          <w:rStyle w:val="FunctionTok"/>
        </w:rPr>
        <w:t xml:space="preserve">as.numeric</w:t>
      </w:r>
      <w:r>
        <w:rPr>
          <w:rStyle w:val="NormalTok"/>
        </w:rPr>
        <w:t xml:space="preserve">(ResultMeasureValue))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ResultMeasureValue)</w:t>
      </w:r>
      <w:r>
        <w:br/>
      </w:r>
      <w:r>
        <w:br/>
      </w:r>
      <w:r>
        <w:rPr>
          <w:rStyle w:val="ControlFlowTok"/>
        </w:rPr>
        <w:t xml:space="preserve">if</w:t>
      </w:r>
      <w:r>
        <w:rPr>
          <w:rStyle w:val="NormalTok"/>
        </w:rPr>
        <w:t xml:space="preserve"> (</w:t>
      </w:r>
      <w:r>
        <w:rPr>
          <w:rStyle w:val="FunctionTok"/>
        </w:rPr>
        <w:t xml:space="preserve">nrow</w:t>
      </w:r>
      <w:r>
        <w:rPr>
          <w:rStyle w:val="NormalTok"/>
        </w:rPr>
        <w:t xml:space="preserve">(ph_data)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ph_stats </w:t>
      </w:r>
      <w:r>
        <w:rPr>
          <w:rStyle w:val="OtherTok"/>
        </w:rPr>
        <w:t xml:space="preserve">&lt;-</w:t>
      </w:r>
      <w:r>
        <w:rPr>
          <w:rStyle w:val="NormalTok"/>
        </w:rPr>
        <w:t xml:space="preserve"> ph_data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(pH,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(pH,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(pH,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(pH,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(ph_stats,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"pH Summary Statistics"</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"Insufficient pH data for analysis.</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pH Summary Statistics</w:t>
      </w:r>
    </w:p>
    <w:tbl>
      <w:tblPr>
        <w:tblStyle w:val="Table"/>
        <w:tblW w:type="auto" w:w="0"/>
        <w:tblLook w:firstRow="1" w:lastRow="0" w:firstColumn="0" w:lastColumn="0" w:noHBand="0" w:noVBand="0" w:val="0020"/>
        <w:tblCaption w:val="pH Summary Statistics"/>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446</w:t>
            </w:r>
          </w:p>
        </w:tc>
        <w:tc>
          <w:tcPr/>
          <w:p>
            <w:pPr>
              <w:pStyle w:val="Compact"/>
              <w:jc w:val="right"/>
            </w:pPr>
            <w:r>
              <w:t xml:space="preserve">7.04</w:t>
            </w:r>
          </w:p>
        </w:tc>
        <w:tc>
          <w:tcPr/>
          <w:p>
            <w:pPr>
              <w:pStyle w:val="Compact"/>
              <w:jc w:val="right"/>
            </w:pPr>
            <w:r>
              <w:t xml:space="preserve">7.1</w:t>
            </w:r>
          </w:p>
        </w:tc>
        <w:tc>
          <w:tcPr/>
          <w:p>
            <w:pPr>
              <w:pStyle w:val="Compact"/>
              <w:jc w:val="right"/>
            </w:pPr>
            <w:r>
              <w:t xml:space="preserve">5.5</w:t>
            </w:r>
          </w:p>
        </w:tc>
        <w:tc>
          <w:tcPr/>
          <w:p>
            <w:pPr>
              <w:pStyle w:val="Compact"/>
              <w:jc w:val="right"/>
            </w:pPr>
            <w:r>
              <w:t xml:space="preserve">8.54</w:t>
            </w:r>
          </w:p>
        </w:tc>
      </w:tr>
    </w:tbl>
    <w:bookmarkEnd w:id="64"/>
    <w:bookmarkStart w:id="65" w:name="dissolved-oxygen"/>
    <w:p>
      <w:pPr>
        <w:pStyle w:val="Heading2"/>
      </w:pPr>
      <w:r>
        <w:t xml:space="preserve">6.3 Dissolved Oxygen</w:t>
      </w:r>
    </w:p>
    <w:p>
      <w:pPr>
        <w:pStyle w:val="FirstParagraph"/>
      </w:pPr>
      <w:r>
        <w:t xml:space="preserve">Dissolved oxygen (DO) is essential for fish respiration. Saturation depends on temperature and atmospheric pressure; cold water holds more oxygen. Salmon typically require &gt;6 mg/L DO.</w:t>
      </w:r>
    </w:p>
    <w:p>
      <w:pPr>
        <w:pStyle w:val="SourceCode"/>
      </w:pPr>
      <w:r>
        <w:rPr>
          <w:rStyle w:val="NormalTok"/>
        </w:rPr>
        <w:t xml:space="preserve">do_data </w:t>
      </w:r>
      <w:r>
        <w:rPr>
          <w:rStyle w:val="OtherTok"/>
        </w:rPr>
        <w:t xml:space="preserve">&lt;-</w:t>
      </w:r>
      <w:r>
        <w:rPr>
          <w:rStyle w:val="NormalTok"/>
        </w:rPr>
        <w:t xml:space="preserve"> wq_key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w:t>
      </w:r>
      <w:r>
        <w:rPr>
          <w:rStyle w:val="NormalTok"/>
        </w:rPr>
        <w:t xml:space="preserve"> </w:t>
      </w:r>
      <w:r>
        <w:rPr>
          <w:rStyle w:val="StringTok"/>
        </w:rPr>
        <w:t xml:space="preserve">"Dissolved oxygen (DO)"</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(ResultMeasureValue)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DO_mg_L =</w:t>
      </w:r>
      <w:r>
        <w:rPr>
          <w:rStyle w:val="NormalTok"/>
        </w:rPr>
        <w:t xml:space="preserve"> </w:t>
      </w:r>
      <w:r>
        <w:rPr>
          <w:rStyle w:val="FunctionTok"/>
        </w:rPr>
        <w:t xml:space="preserve">as.numeric</w:t>
      </w:r>
      <w:r>
        <w:rPr>
          <w:rStyle w:val="NormalTok"/>
        </w:rPr>
        <w:t xml:space="preserve">(ResultMeasureValue))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ResultMeasureValue)</w:t>
      </w:r>
      <w:r>
        <w:br/>
      </w:r>
      <w:r>
        <w:br/>
      </w:r>
      <w:r>
        <w:rPr>
          <w:rStyle w:val="ControlFlowTok"/>
        </w:rPr>
        <w:t xml:space="preserve">if</w:t>
      </w:r>
      <w:r>
        <w:rPr>
          <w:rStyle w:val="NormalTok"/>
        </w:rPr>
        <w:t xml:space="preserve"> (</w:t>
      </w:r>
      <w:r>
        <w:rPr>
          <w:rStyle w:val="FunctionTok"/>
        </w:rPr>
        <w:t xml:space="preserve">nrow</w:t>
      </w:r>
      <w:r>
        <w:rPr>
          <w:rStyle w:val="NormalTok"/>
        </w:rPr>
        <w:t xml:space="preserve">(do_data)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do_stats </w:t>
      </w:r>
      <w:r>
        <w:rPr>
          <w:rStyle w:val="OtherTok"/>
        </w:rPr>
        <w:t xml:space="preserve">&lt;-</w:t>
      </w:r>
      <w:r>
        <w:rPr>
          <w:rStyle w:val="NormalTok"/>
        </w:rPr>
        <w:t xml:space="preserve"> do_data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(DO_mg_L,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(DO_mg_L,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(DO_mg_L,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(DO_mg_L,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(do_stats,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"Dissolved Oxygen Summary Statistics (mg/L)"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"Insufficient dissolved oxygen data for analysis.</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Dissolved Oxygen Summary Statistics (mg/L)</w:t>
      </w:r>
    </w:p>
    <w:tbl>
      <w:tblPr>
        <w:tblStyle w:val="Table"/>
        <w:tblW w:type="auto" w:w="0"/>
        <w:tblLook w:firstRow="1" w:lastRow="0" w:firstColumn="0" w:lastColumn="0" w:noHBand="0" w:noVBand="0" w:val="0020"/>
        <w:tblCaption w:val="Dissolved Oxygen Summary Statistics (mg/L)"/>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106</w:t>
            </w:r>
          </w:p>
        </w:tc>
        <w:tc>
          <w:tcPr/>
          <w:p>
            <w:pPr>
              <w:pStyle w:val="Compact"/>
              <w:jc w:val="right"/>
            </w:pPr>
            <w:r>
              <w:t xml:space="preserve">11.72</w:t>
            </w:r>
          </w:p>
        </w:tc>
        <w:tc>
          <w:tcPr/>
          <w:p>
            <w:pPr>
              <w:pStyle w:val="Compact"/>
              <w:jc w:val="right"/>
            </w:pPr>
            <w:r>
              <w:t xml:space="preserve">11.85</w:t>
            </w:r>
          </w:p>
        </w:tc>
        <w:tc>
          <w:tcPr/>
          <w:p>
            <w:pPr>
              <w:pStyle w:val="Compact"/>
              <w:jc w:val="right"/>
            </w:pPr>
            <w:r>
              <w:t xml:space="preserve">8.6</w:t>
            </w:r>
          </w:p>
        </w:tc>
        <w:tc>
          <w:tcPr/>
          <w:p>
            <w:pPr>
              <w:pStyle w:val="Compact"/>
              <w:jc w:val="right"/>
            </w:pPr>
            <w:r>
              <w:t xml:space="preserve">13.8</w:t>
            </w:r>
          </w:p>
        </w:tc>
      </w:tr>
    </w:tbl>
    <w:bookmarkEnd w:id="65"/>
    <w:bookmarkStart w:id="66" w:name="conductivity"/>
    <w:p>
      <w:pPr>
        <w:pStyle w:val="Heading2"/>
      </w:pPr>
      <w:r>
        <w:t xml:space="preserve">6.4 Conductivity</w:t>
      </w:r>
    </w:p>
    <w:p>
      <w:pPr>
        <w:pStyle w:val="FirstParagraph"/>
      </w:pPr>
      <w:r>
        <w:t xml:space="preserve">Specific conductance reflects the ionic strength of water and varies with geology, precipitation, and human inputs (e.g., road salt, mining).</w:t>
      </w:r>
    </w:p>
    <w:p>
      <w:pPr>
        <w:pStyle w:val="SourceCode"/>
      </w:pPr>
      <w:r>
        <w:rPr>
          <w:rStyle w:val="NormalTok"/>
        </w:rPr>
        <w:t xml:space="preserve">cond_data </w:t>
      </w:r>
      <w:r>
        <w:rPr>
          <w:rStyle w:val="OtherTok"/>
        </w:rPr>
        <w:t xml:space="preserve">&lt;-</w:t>
      </w:r>
      <w:r>
        <w:rPr>
          <w:rStyle w:val="NormalTok"/>
        </w:rPr>
        <w:t xml:space="preserve"> wq_key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w:t>
      </w:r>
      <w:r>
        <w:rPr>
          <w:rStyle w:val="NormalTok"/>
        </w:rPr>
        <w:t xml:space="preserve"> </w:t>
      </w:r>
      <w:r>
        <w:rPr>
          <w:rStyle w:val="StringTok"/>
        </w:rPr>
        <w:t xml:space="preserve">"Specific conductance"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(ResultMeasureValue)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Conductance_uS_cm =</w:t>
      </w:r>
      <w:r>
        <w:rPr>
          <w:rStyle w:val="NormalTok"/>
        </w:rPr>
        <w:t xml:space="preserve"> </w:t>
      </w:r>
      <w:r>
        <w:rPr>
          <w:rStyle w:val="FunctionTok"/>
        </w:rPr>
        <w:t xml:space="preserve">as.numeric</w:t>
      </w:r>
      <w:r>
        <w:rPr>
          <w:rStyle w:val="NormalTok"/>
        </w:rPr>
        <w:t xml:space="preserve">(ResultMeasureValue))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ResultMeasureValue)</w:t>
      </w:r>
      <w:r>
        <w:br/>
      </w:r>
      <w:r>
        <w:br/>
      </w:r>
      <w:r>
        <w:rPr>
          <w:rStyle w:val="ControlFlowTok"/>
        </w:rPr>
        <w:t xml:space="preserve">if</w:t>
      </w:r>
      <w:r>
        <w:rPr>
          <w:rStyle w:val="NormalTok"/>
        </w:rPr>
        <w:t xml:space="preserve"> (</w:t>
      </w:r>
      <w:r>
        <w:rPr>
          <w:rStyle w:val="FunctionTok"/>
        </w:rPr>
        <w:t xml:space="preserve">nrow</w:t>
      </w:r>
      <w:r>
        <w:rPr>
          <w:rStyle w:val="NormalTok"/>
        </w:rPr>
        <w:t xml:space="preserve">(cond_data)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cond_stats </w:t>
      </w:r>
      <w:r>
        <w:rPr>
          <w:rStyle w:val="OtherTok"/>
        </w:rPr>
        <w:t xml:space="preserve">&lt;-</w:t>
      </w:r>
      <w:r>
        <w:rPr>
          <w:rStyle w:val="NormalTok"/>
        </w:rPr>
        <w:t xml:space="preserve"> cond_data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(Conductance_uS_cm,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(Conductance_uS_cm,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(Conductance_uS_cm,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(Conductance_uS_cm,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(cond_stats,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caption =</w:t>
      </w:r>
      <w:r>
        <w:rPr>
          <w:rStyle w:val="NormalTok"/>
        </w:rPr>
        <w:t xml:space="preserve"> </w:t>
      </w:r>
      <w:r>
        <w:rPr>
          <w:rStyle w:val="StringTok"/>
        </w:rPr>
        <w:t xml:space="preserve">"Specific Conductance Summary Statistics (µS/cm)"</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"Insufficient conductance data for analysis.</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Specific Conductance Summary Statistics (µS/cm)</w:t>
      </w:r>
    </w:p>
    <w:tbl>
      <w:tblPr>
        <w:tblStyle w:val="Table"/>
        <w:tblW w:type="auto" w:w="0"/>
        <w:tblLook w:firstRow="1" w:lastRow="0" w:firstColumn="0" w:lastColumn="0" w:noHBand="0" w:noVBand="0" w:val="0020"/>
        <w:tblCaption w:val="Specific Conductance Summary Statistics (µS/cm)"/>
      </w:tblPr>
      <w:tblGrid>
        <w:gridCol w:w="1584"/>
        <w:gridCol w:w="1584"/>
        <w:gridCol w:w="1584"/>
        <w:gridCol w:w="1584"/>
        <w:gridCol w:w="1584"/>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488</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3</w:t>
            </w:r>
          </w:p>
        </w:tc>
        <w:tc>
          <w:tcPr/>
          <w:p>
            <w:pPr>
              <w:pStyle w:val="Compact"/>
              <w:jc w:val="right"/>
            </w:pPr>
            <w:r>
              <w:t xml:space="preserve">700</w:t>
            </w:r>
          </w:p>
        </w:tc>
      </w:tr>
    </w:tbl>
    <w:bookmarkEnd w:id="66"/>
    <w:bookmarkStart w:id="67" w:name="summary"/>
    <w:p>
      <w:pPr>
        <w:pStyle w:val="Heading2"/>
      </w:pPr>
      <w:r>
        <w:t xml:space="preserve">6.5 Summary</w:t>
      </w:r>
    </w:p>
    <w:p>
      <w:pPr>
        <w:pStyle w:val="FirstParagraph"/>
      </w:pPr>
      <w:r>
        <w:t xml:space="preserve">The baseline water quality data show that Nushagak streams are generally cold and well-oxygenated, suitable for salmon. Continued monitoring of these parameters will establish trends and allow early detection of changes that could affect fishery productivity.</w:t>
      </w:r>
    </w:p>
    <w:p>
      <w:r>
        <w:pict>
          <v:rect style="width:0;height:1.5pt" o:hralign="center" o:hrstd="t" o:hr="t"/>
        </w:pict>
      </w:r>
    </w:p>
    <w:p>
      <w:pPr>
        <w:pStyle w:val="FirstParagraph"/>
      </w:pPr>
      <w:r>
        <w:t xml:space="preserve">The following chapter examines metals and contaminants, with emphasis on copper and other elements of concern.</w:t>
      </w:r>
    </w:p>
    <w:bookmarkEnd w:id="67"/>
    <w:bookmarkEnd w:id="68"/>
    <w:bookmarkStart w:id="74" w:name="metals-and-contaminants"/>
    <w:p>
      <w:pPr>
        <w:pStyle w:val="Heading1"/>
      </w:pPr>
      <w:r>
        <w:t xml:space="preserve">7. Metals and Contaminants</w:t>
      </w:r>
    </w:p>
    <w:p>
      <w:pPr>
        <w:pStyle w:val="SourceCode"/>
      </w:pPr>
      <w:r>
        <w:rPr>
          <w:rStyle w:val="FunctionTok"/>
        </w:rPr>
        <w:t xml:space="preserve">library</w:t>
      </w:r>
      <w:r>
        <w:rPr>
          <w:rStyle w:val="NormalTok"/>
        </w:rPr>
        <w:t xml:space="preserve">(dataRetrieval)</w:t>
      </w:r>
      <w:r>
        <w:br/>
      </w:r>
      <w:r>
        <w:rPr>
          <w:rStyle w:val="FunctionTok"/>
        </w:rPr>
        <w:t xml:space="preserve">library</w:t>
      </w:r>
      <w:r>
        <w:rPr>
          <w:rStyle w:val="NormalTok"/>
        </w:rPr>
        <w:t xml:space="preserve">(dplyr)</w:t>
      </w:r>
      <w:r>
        <w:br/>
      </w:r>
      <w:r>
        <w:br/>
      </w:r>
      <w:r>
        <w:rPr>
          <w:rStyle w:val="NormalTok"/>
        </w:rPr>
        <w:t xml:space="preserve">nushagak_hucs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"19030301"</w:t>
      </w:r>
      <w:r>
        <w:rPr>
          <w:rStyle w:val="NormalTok"/>
        </w:rPr>
        <w:t xml:space="preserve">, </w:t>
      </w:r>
      <w:r>
        <w:rPr>
          <w:rStyle w:val="StringTok"/>
        </w:rPr>
        <w:t xml:space="preserve">"19030302"</w:t>
      </w:r>
      <w:r>
        <w:rPr>
          <w:rStyle w:val="NormalTok"/>
        </w:rPr>
        <w:t xml:space="preserve">, </w:t>
      </w:r>
      <w:r>
        <w:rPr>
          <w:rStyle w:val="StringTok"/>
        </w:rPr>
        <w:t xml:space="preserve">"19030303"</w:t>
      </w:r>
      <w:r>
        <w:rPr>
          <w:rStyle w:val="NormalTok"/>
        </w:rPr>
        <w:t xml:space="preserve">, </w:t>
      </w:r>
      <w:r>
        <w:rPr>
          <w:rStyle w:val="StringTok"/>
        </w:rPr>
        <w:t xml:space="preserve">"19030304"</w:t>
      </w:r>
      <w:r>
        <w:rPr>
          <w:rStyle w:val="NormalTok"/>
        </w:rPr>
        <w:t xml:space="preserve">)</w:t>
      </w:r>
      <w:r>
        <w:br/>
      </w:r>
      <w:r>
        <w:br/>
      </w:r>
      <w:r>
        <w:rPr>
          <w:rStyle w:val="CommentTok"/>
        </w:rPr>
        <w:t xml:space="preserve"># Key metals and trace elements</w:t>
      </w:r>
      <w:r>
        <w:br/>
      </w:r>
      <w:r>
        <w:rPr>
          <w:rStyle w:val="NormalTok"/>
        </w:rPr>
        <w:t xml:space="preserve">metals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"Copper"</w:t>
      </w:r>
      <w:r>
        <w:rPr>
          <w:rStyle w:val="NormalTok"/>
        </w:rPr>
        <w:t xml:space="preserve">, </w:t>
      </w:r>
      <w:r>
        <w:rPr>
          <w:rStyle w:val="StringTok"/>
        </w:rPr>
        <w:t xml:space="preserve">"Zinc"</w:t>
      </w:r>
      <w:r>
        <w:rPr>
          <w:rStyle w:val="NormalTok"/>
        </w:rPr>
        <w:t xml:space="preserve">, </w:t>
      </w:r>
      <w:r>
        <w:rPr>
          <w:rStyle w:val="StringTok"/>
        </w:rPr>
        <w:t xml:space="preserve">"Lead"</w:t>
      </w:r>
      <w:r>
        <w:rPr>
          <w:rStyle w:val="NormalTok"/>
        </w:rPr>
        <w:t xml:space="preserve">, </w:t>
      </w:r>
      <w:r>
        <w:rPr>
          <w:rStyle w:val="StringTok"/>
        </w:rPr>
        <w:t xml:space="preserve">"Cadmium"</w:t>
      </w:r>
      <w:r>
        <w:rPr>
          <w:rStyle w:val="NormalTok"/>
        </w:rPr>
        <w:t xml:space="preserve">, </w:t>
      </w:r>
      <w:r>
        <w:rPr>
          <w:rStyle w:val="StringTok"/>
        </w:rPr>
        <w:t xml:space="preserve">"Chromium"</w:t>
      </w:r>
      <w:r>
        <w:rPr>
          <w:rStyle w:val="NormalTok"/>
        </w:rPr>
        <w:t xml:space="preserve">, </w:t>
      </w:r>
      <w:r>
        <w:rPr>
          <w:rStyle w:val="StringTok"/>
        </w:rPr>
        <w:t xml:space="preserve">"Molybdenum"</w:t>
      </w:r>
      <w:r>
        <w:rPr>
          <w:rStyle w:val="NormalTok"/>
        </w:rPr>
        <w:t xml:space="preserve">, </w:t>
      </w:r>
      <w:r>
        <w:br/>
      </w:r>
      <w:r>
        <w:rPr>
          <w:rStyle w:val="NormalTok"/>
        </w:rPr>
        <w:t xml:space="preserve">            </w:t>
      </w:r>
      <w:r>
        <w:rPr>
          <w:rStyle w:val="StringTok"/>
        </w:rPr>
        <w:t xml:space="preserve">"Arsenic"</w:t>
      </w:r>
      <w:r>
        <w:rPr>
          <w:rStyle w:val="NormalTok"/>
        </w:rPr>
        <w:t xml:space="preserve">, </w:t>
      </w:r>
      <w:r>
        <w:rPr>
          <w:rStyle w:val="StringTok"/>
        </w:rPr>
        <w:t xml:space="preserve">"Iron"</w:t>
      </w:r>
      <w:r>
        <w:rPr>
          <w:rStyle w:val="NormalTok"/>
        </w:rPr>
        <w:t xml:space="preserve">, </w:t>
      </w:r>
      <w:r>
        <w:rPr>
          <w:rStyle w:val="StringTok"/>
        </w:rPr>
        <w:t xml:space="preserve">"Manganese"</w:t>
      </w:r>
      <w:r>
        <w:rPr>
          <w:rStyle w:val="NormalTok"/>
        </w:rPr>
        <w:t xml:space="preserve">)</w:t>
      </w:r>
      <w:r>
        <w:br/>
      </w:r>
      <w:r>
        <w:br/>
      </w:r>
      <w:r>
        <w:rPr>
          <w:rStyle w:val="FunctionTok"/>
        </w:rPr>
        <w:t xml:space="preserve">message</w:t>
      </w:r>
      <w:r>
        <w:rPr>
          <w:rStyle w:val="NormalTok"/>
        </w:rPr>
        <w:t xml:space="preserve">(</w:t>
      </w:r>
      <w:r>
        <w:rPr>
          <w:rStyle w:val="StringTok"/>
        </w:rPr>
        <w:t xml:space="preserve">"Querying WQP for trace metals..."</w:t>
      </w:r>
      <w:r>
        <w:rPr>
          <w:rStyle w:val="NormalTok"/>
        </w:rPr>
        <w:t xml:space="preserve">)</w:t>
      </w:r>
      <w:r>
        <w:br/>
      </w:r>
      <w:r>
        <w:rPr>
          <w:rStyle w:val="NormalTok"/>
        </w:rPr>
        <w:t xml:space="preserve">wq_data </w:t>
      </w:r>
      <w:r>
        <w:rPr>
          <w:rStyle w:val="OtherTok"/>
        </w:rPr>
        <w:t xml:space="preserve">&lt;-</w:t>
      </w:r>
      <w:r>
        <w:rPr>
          <w:rStyle w:val="NormalTok"/>
        </w:rPr>
        <w:t xml:space="preserve"> </w:t>
      </w:r>
      <w:r>
        <w:rPr>
          <w:rStyle w:val="FunctionTok"/>
        </w:rPr>
        <w:t xml:space="preserve">readWQPdata</w:t>
      </w:r>
      <w:r>
        <w:rPr>
          <w:rStyle w:val="NormalTok"/>
        </w:rPr>
        <w:t xml:space="preserve">(</w:t>
      </w:r>
      <w:r>
        <w:rPr>
          <w:rStyle w:val="AttributeTok"/>
        </w:rPr>
        <w:t xml:space="preserve">huc =</w:t>
      </w:r>
      <w:r>
        <w:rPr>
          <w:rStyle w:val="NormalTok"/>
        </w:rPr>
        <w:t xml:space="preserve"> nushagak_hucs, </w:t>
      </w:r>
      <w:r>
        <w:rPr>
          <w:rStyle w:val="AttributeTok"/>
        </w:rPr>
        <w:t xml:space="preserve">sampleMedia =</w:t>
      </w:r>
      <w:r>
        <w:rPr>
          <w:rStyle w:val="NormalTok"/>
        </w:rPr>
        <w:t xml:space="preserve"> </w:t>
      </w:r>
      <w:r>
        <w:rPr>
          <w:rStyle w:val="StringTok"/>
        </w:rPr>
        <w:t xml:space="preserve">"Water"</w:t>
      </w:r>
      <w:r>
        <w:rPr>
          <w:rStyle w:val="NormalTok"/>
        </w:rPr>
        <w:t xml:space="preserve">)</w:t>
      </w:r>
      <w:r>
        <w:br/>
      </w:r>
      <w:r>
        <w:br/>
      </w:r>
      <w:r>
        <w:rPr>
          <w:rStyle w:val="NormalTok"/>
        </w:rPr>
        <w:t xml:space="preserve">metals_data </w:t>
      </w:r>
      <w:r>
        <w:rPr>
          <w:rStyle w:val="OtherTok"/>
        </w:rPr>
        <w:t xml:space="preserve">&lt;-</w:t>
      </w:r>
      <w:r>
        <w:rPr>
          <w:rStyle w:val="NormalTok"/>
        </w:rPr>
        <w:t xml:space="preserve"> wq_data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%in%</w:t>
      </w:r>
      <w:r>
        <w:rPr>
          <w:rStyle w:val="NormalTok"/>
        </w:rPr>
        <w:t xml:space="preserve"> metals)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(ResultMeasureValue)) </w:t>
      </w:r>
      <w:r>
        <w:rPr>
          <w:rStyle w:val="SpecialCharTok"/>
        </w:rPr>
        <w:t xml:space="preserve">%&gt;%</w:t>
      </w:r>
      <w:r>
        <w:br/>
      </w:r>
      <w:r>
        <w:rPr>
          <w:rStyle w:val="NormalTok"/>
        </w:rPr>
        <w:t xml:space="preserve">  </w:t>
      </w:r>
      <w:r>
        <w:rPr>
          <w:rStyle w:val="FunctionTok"/>
        </w:rPr>
        <w:t xml:space="preserve">select</w:t>
      </w:r>
      <w:r>
        <w:rPr>
          <w:rStyle w:val="NormalTok"/>
        </w:rPr>
        <w:t xml:space="preserve">(CharacteristicName, ResultMeasureValue, ResultMeasure.MeasureUnitCode)</w:t>
      </w:r>
    </w:p>
    <w:bookmarkStart w:id="69" w:name="overview-2"/>
    <w:p>
      <w:pPr>
        <w:pStyle w:val="Heading2"/>
      </w:pPr>
      <w:r>
        <w:t xml:space="preserve">7.1 Overview</w:t>
      </w:r>
    </w:p>
    <w:p>
      <w:pPr>
        <w:pStyle w:val="FirstParagraph"/>
      </w:pPr>
      <w:r>
        <w:t xml:space="preserve">Trace metal concentrations are driven by geology, weathering, and, in some contexts, human activities. For the Nushagak watershed, baseline metal levels are important to characterize in light of mining interest in the region.</w:t>
      </w:r>
    </w:p>
    <w:p>
      <w:pPr>
        <w:pStyle w:val="SourceCode"/>
      </w:pPr>
      <w:r>
        <w:rPr>
          <w:rStyle w:val="NormalTok"/>
        </w:rPr>
        <w:t xml:space="preserve">metal_freq </w:t>
      </w:r>
      <w:r>
        <w:rPr>
          <w:rStyle w:val="OtherTok"/>
        </w:rPr>
        <w:t xml:space="preserve">&lt;-</w:t>
      </w:r>
      <w:r>
        <w:rPr>
          <w:rStyle w:val="NormalTok"/>
        </w:rPr>
        <w:t xml:space="preserve"> metals_data </w:t>
      </w:r>
      <w:r>
        <w:rPr>
          <w:rStyle w:val="SpecialCharTok"/>
        </w:rPr>
        <w:t xml:space="preserve">%&gt;%</w:t>
      </w:r>
      <w:r>
        <w:br/>
      </w:r>
      <w:r>
        <w:rPr>
          <w:rStyle w:val="NormalTok"/>
        </w:rPr>
        <w:t xml:space="preserve">  </w:t>
      </w:r>
      <w:r>
        <w:rPr>
          <w:rStyle w:val="FunctionTok"/>
        </w:rPr>
        <w:t xml:space="preserve">group_by</w:t>
      </w:r>
      <w:r>
        <w:rPr>
          <w:rStyle w:val="NormalTok"/>
        </w:rPr>
        <w:t xml:space="preserve">(CharacteristicName)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Observations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(Observations))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"Metal/Element"</w:t>
      </w:r>
      <w:r>
        <w:rPr>
          <w:rStyle w:val="NormalTok"/>
        </w:rPr>
        <w:t xml:space="preserve"> </w:t>
      </w:r>
      <w:r>
        <w:rPr>
          <w:rStyle w:val="OtherTok"/>
        </w:rPr>
        <w:t xml:space="preserve">=</w:t>
      </w:r>
      <w:r>
        <w:rPr>
          <w:rStyle w:val="NormalTok"/>
        </w:rPr>
        <w:t xml:space="preserve"> CharacteristicName, </w:t>
      </w:r>
      <w:r>
        <w:rPr>
          <w:rStyle w:val="StringTok"/>
        </w:rPr>
        <w:t xml:space="preserve">"Measurements"</w:t>
      </w:r>
      <w:r>
        <w:rPr>
          <w:rStyle w:val="NormalTok"/>
        </w:rPr>
        <w:t xml:space="preserve"> </w:t>
      </w:r>
      <w:r>
        <w:rPr>
          <w:rStyle w:val="OtherTok"/>
        </w:rPr>
        <w:t xml:space="preserve">=</w:t>
      </w:r>
      <w:r>
        <w:rPr>
          <w:rStyle w:val="NormalTok"/>
        </w:rPr>
        <w:t xml:space="preserve"> Observations)</w:t>
      </w:r>
      <w:r>
        <w:br/>
      </w:r>
      <w:r>
        <w:br/>
      </w:r>
      <w:r>
        <w:rPr>
          <w:rStyle w:val="NormalTok"/>
        </w:rPr>
        <w:t xml:space="preserve">knitr</w:t>
      </w:r>
      <w:r>
        <w:rPr>
          <w:rStyle w:val="SpecialCharTok"/>
        </w:rPr>
        <w:t xml:space="preserve">::</w:t>
      </w:r>
      <w:r>
        <w:rPr>
          <w:rStyle w:val="FunctionTok"/>
        </w:rPr>
        <w:t xml:space="preserve">kable</w:t>
      </w:r>
      <w:r>
        <w:rPr>
          <w:rStyle w:val="NormalTok"/>
        </w:rPr>
        <w:t xml:space="preserve">(metal_freq, </w:t>
      </w:r>
      <w:r>
        <w:rPr>
          <w:rStyle w:val="AttributeTok"/>
        </w:rPr>
        <w:t xml:space="preserve">caption =</w:t>
      </w:r>
      <w:r>
        <w:rPr>
          <w:rStyle w:val="NormalTok"/>
        </w:rPr>
        <w:t xml:space="preserve"> </w:t>
      </w:r>
      <w:r>
        <w:rPr>
          <w:rStyle w:val="StringTok"/>
        </w:rPr>
        <w:t xml:space="preserve">"Frequency of Metal/Element Measurements"</w:t>
      </w:r>
      <w:r>
        <w:rPr>
          <w:rStyle w:val="NormalTok"/>
        </w:rPr>
        <w:t xml:space="preserve">)</w:t>
      </w:r>
    </w:p>
    <w:p>
      <w:pPr>
        <w:pStyle w:val="TableCaption"/>
      </w:pPr>
      <w:r>
        <w:t xml:space="preserve">Frequency of Metal/Element Measurements</w:t>
      </w:r>
    </w:p>
    <w:tbl>
      <w:tblPr>
        <w:tblStyle w:val="Table"/>
        <w:tblW w:type="auto" w:w="0"/>
        <w:tblLook w:firstRow="1" w:lastRow="0" w:firstColumn="0" w:lastColumn="0" w:noHBand="0" w:noVBand="0" w:val="0020"/>
        <w:tblCaption w:val="Frequency of Metal/Element Measurements"/>
      </w:tblPr>
      <w:tblGrid>
        <w:gridCol w:w="3960"/>
        <w:gridCol w:w="3960"/>
      </w:tblGrid>
      <w:tr>
        <w:trPr>
          <w:tblHeader w:val="on"/>
        </w:trPr>
        <w:tc>
          <w:tcPr/>
          <w:p>
            <w:pPr>
              <w:pStyle w:val="Compact"/>
              <w:jc w:val="left"/>
            </w:pPr>
            <w:r>
              <w:t xml:space="preserve">Metal/Element</w:t>
            </w:r>
          </w:p>
        </w:tc>
        <w:tc>
          <w:tcPr/>
          <w:p>
            <w:pPr>
              <w:pStyle w:val="Compact"/>
              <w:jc w:val="right"/>
            </w:pPr>
            <w:r>
              <w:t xml:space="preserve">Measurements</w:t>
            </w:r>
          </w:p>
        </w:tc>
      </w:tr>
      <w:tr>
        <w:tc>
          <w:tcPr/>
          <w:p>
            <w:pPr>
              <w:pStyle w:val="Compact"/>
              <w:jc w:val="left"/>
            </w:pPr>
            <w:r>
              <w:t xml:space="preserve">Iron</w:t>
            </w:r>
          </w:p>
        </w:tc>
        <w:tc>
          <w:tcPr/>
          <w:p>
            <w:pPr>
              <w:pStyle w:val="Compact"/>
              <w:jc w:val="right"/>
            </w:pPr>
            <w:r>
              <w:t xml:space="preserve">205</w:t>
            </w:r>
          </w:p>
        </w:tc>
      </w:tr>
      <w:tr>
        <w:tc>
          <w:tcPr/>
          <w:p>
            <w:pPr>
              <w:pStyle w:val="Compact"/>
              <w:jc w:val="left"/>
            </w:pPr>
            <w:r>
              <w:t xml:space="preserve">Manganese</w:t>
            </w:r>
          </w:p>
        </w:tc>
        <w:tc>
          <w:tcPr/>
          <w:p>
            <w:pPr>
              <w:pStyle w:val="Compact"/>
              <w:jc w:val="right"/>
            </w:pPr>
            <w:r>
              <w:t xml:space="preserve">172</w:t>
            </w:r>
          </w:p>
        </w:tc>
      </w:tr>
      <w:tr>
        <w:tc>
          <w:tcPr/>
          <w:p>
            <w:pPr>
              <w:pStyle w:val="Compact"/>
              <w:jc w:val="left"/>
            </w:pPr>
            <w:r>
              <w:t xml:space="preserve">Arsenic</w:t>
            </w:r>
          </w:p>
        </w:tc>
        <w:tc>
          <w:tcPr/>
          <w:p>
            <w:pPr>
              <w:pStyle w:val="Compact"/>
              <w:jc w:val="right"/>
            </w:pPr>
            <w:r>
              <w:t xml:space="preserve">139</w:t>
            </w:r>
          </w:p>
        </w:tc>
      </w:tr>
      <w:tr>
        <w:tc>
          <w:tcPr/>
          <w:p>
            <w:pPr>
              <w:pStyle w:val="Compact"/>
              <w:jc w:val="left"/>
            </w:pPr>
            <w:r>
              <w:t xml:space="preserve">Copper</w:t>
            </w:r>
          </w:p>
        </w:tc>
        <w:tc>
          <w:tcPr/>
          <w:p>
            <w:pPr>
              <w:pStyle w:val="Compact"/>
              <w:jc w:val="right"/>
            </w:pPr>
            <w:r>
              <w:t xml:space="preserve">136</w:t>
            </w:r>
          </w:p>
        </w:tc>
      </w:tr>
      <w:tr>
        <w:tc>
          <w:tcPr/>
          <w:p>
            <w:pPr>
              <w:pStyle w:val="Compact"/>
              <w:jc w:val="left"/>
            </w:pPr>
            <w:r>
              <w:t xml:space="preserve">Zinc</w:t>
            </w:r>
          </w:p>
        </w:tc>
        <w:tc>
          <w:tcPr/>
          <w:p>
            <w:pPr>
              <w:pStyle w:val="Compact"/>
              <w:jc w:val="right"/>
            </w:pPr>
            <w:r>
              <w:t xml:space="preserve">135</w:t>
            </w:r>
          </w:p>
        </w:tc>
      </w:tr>
      <w:tr>
        <w:tc>
          <w:tcPr/>
          <w:p>
            <w:pPr>
              <w:pStyle w:val="Compact"/>
              <w:jc w:val="left"/>
            </w:pPr>
            <w:r>
              <w:t xml:space="preserve">Chromium</w:t>
            </w:r>
          </w:p>
        </w:tc>
        <w:tc>
          <w:tcPr/>
          <w:p>
            <w:pPr>
              <w:pStyle w:val="Compact"/>
              <w:jc w:val="right"/>
            </w:pPr>
            <w:r>
              <w:t xml:space="preserve">133</w:t>
            </w:r>
          </w:p>
        </w:tc>
      </w:tr>
      <w:tr>
        <w:tc>
          <w:tcPr/>
          <w:p>
            <w:pPr>
              <w:pStyle w:val="Compact"/>
              <w:jc w:val="left"/>
            </w:pPr>
            <w:r>
              <w:t xml:space="preserve">Lead</w:t>
            </w:r>
          </w:p>
        </w:tc>
        <w:tc>
          <w:tcPr/>
          <w:p>
            <w:pPr>
              <w:pStyle w:val="Compact"/>
              <w:jc w:val="right"/>
            </w:pPr>
            <w:r>
              <w:t xml:space="preserve">131</w:t>
            </w:r>
          </w:p>
        </w:tc>
      </w:tr>
      <w:tr>
        <w:tc>
          <w:tcPr/>
          <w:p>
            <w:pPr>
              <w:pStyle w:val="Compact"/>
              <w:jc w:val="left"/>
            </w:pPr>
            <w:r>
              <w:t xml:space="preserve">Cadmium</w:t>
            </w:r>
          </w:p>
        </w:tc>
        <w:tc>
          <w:tcPr/>
          <w:p>
            <w:pPr>
              <w:pStyle w:val="Compact"/>
              <w:jc w:val="right"/>
            </w:pPr>
            <w:r>
              <w:t xml:space="preserve">129</w:t>
            </w:r>
          </w:p>
        </w:tc>
      </w:tr>
      <w:tr>
        <w:tc>
          <w:tcPr/>
          <w:p>
            <w:pPr>
              <w:pStyle w:val="Compact"/>
              <w:jc w:val="left"/>
            </w:pPr>
            <w:r>
              <w:t xml:space="preserve">Molybdenum</w:t>
            </w:r>
          </w:p>
        </w:tc>
        <w:tc>
          <w:tcPr/>
          <w:p>
            <w:pPr>
              <w:pStyle w:val="Compact"/>
              <w:jc w:val="right"/>
            </w:pPr>
            <w:r>
              <w:t xml:space="preserve">68</w:t>
            </w:r>
          </w:p>
        </w:tc>
      </w:tr>
    </w:tbl>
    <w:bookmarkEnd w:id="69"/>
    <w:bookmarkStart w:id="70" w:name="copper"/>
    <w:p>
      <w:pPr>
        <w:pStyle w:val="Heading2"/>
      </w:pPr>
      <w:r>
        <w:t xml:space="preserve">7.2 Copper</w:t>
      </w:r>
    </w:p>
    <w:p>
      <w:pPr>
        <w:pStyle w:val="FirstParagraph"/>
      </w:pPr>
      <w:r>
        <w:t xml:space="preserve">Copper is toxic to aquatic organisms at elevated concentrations and is particularly relevant given mining development scenarios. EPA freshwater aquatic life criteria: 13 µg/L (criterion continuous concentration).</w:t>
      </w:r>
    </w:p>
    <w:p>
      <w:pPr>
        <w:pStyle w:val="SourceCode"/>
      </w:pPr>
      <w:r>
        <w:rPr>
          <w:rStyle w:val="CommentTok"/>
        </w:rPr>
        <w:t xml:space="preserve"># Get complete copper data with sample fraction information</w:t>
      </w:r>
      <w:r>
        <w:br/>
      </w:r>
      <w:r>
        <w:rPr>
          <w:rStyle w:val="NormalTok"/>
        </w:rPr>
        <w:t xml:space="preserve">wq_copper_full </w:t>
      </w:r>
      <w:r>
        <w:rPr>
          <w:rStyle w:val="OtherTok"/>
        </w:rPr>
        <w:t xml:space="preserve">&lt;-</w:t>
      </w:r>
      <w:r>
        <w:rPr>
          <w:rStyle w:val="NormalTok"/>
        </w:rPr>
        <w:t xml:space="preserve"> </w:t>
      </w:r>
      <w:r>
        <w:rPr>
          <w:rStyle w:val="FunctionTok"/>
        </w:rPr>
        <w:t xml:space="preserve">readWQPdata</w:t>
      </w:r>
      <w:r>
        <w:rPr>
          <w:rStyle w:val="NormalTok"/>
        </w:rPr>
        <w:t xml:space="preserve">(</w:t>
      </w:r>
      <w:r>
        <w:rPr>
          <w:rStyle w:val="AttributeTok"/>
        </w:rPr>
        <w:t xml:space="preserve">huc =</w:t>
      </w:r>
      <w:r>
        <w:rPr>
          <w:rStyle w:val="NormalTok"/>
        </w:rPr>
        <w:t xml:space="preserve"> nushagak_hucs, </w:t>
      </w:r>
      <w:r>
        <w:rPr>
          <w:rStyle w:val="AttributeTok"/>
        </w:rPr>
        <w:t xml:space="preserve">characteristicName =</w:t>
      </w:r>
      <w:r>
        <w:rPr>
          <w:rStyle w:val="NormalTok"/>
        </w:rPr>
        <w:t xml:space="preserve"> </w:t>
      </w:r>
      <w:r>
        <w:rPr>
          <w:rStyle w:val="StringTok"/>
        </w:rPr>
        <w:t xml:space="preserve">"Copper"</w:t>
      </w:r>
      <w:r>
        <w:rPr>
          <w:rStyle w:val="NormalTok"/>
        </w:rPr>
        <w:t xml:space="preserve">, </w:t>
      </w:r>
      <w:r>
        <w:rPr>
          <w:rStyle w:val="AttributeTok"/>
        </w:rPr>
        <w:t xml:space="preserve">sampleMedia =</w:t>
      </w:r>
      <w:r>
        <w:rPr>
          <w:rStyle w:val="NormalTok"/>
        </w:rPr>
        <w:t xml:space="preserve"> </w:t>
      </w:r>
      <w:r>
        <w:rPr>
          <w:rStyle w:val="StringTok"/>
        </w:rPr>
        <w:t xml:space="preserve">"Water"</w:t>
      </w:r>
      <w:r>
        <w:rPr>
          <w:rStyle w:val="NormalTok"/>
        </w:rPr>
        <w:t xml:space="preserve">)</w:t>
      </w:r>
      <w:r>
        <w:br/>
      </w:r>
      <w:r>
        <w:br/>
      </w:r>
      <w:r>
        <w:rPr>
          <w:rStyle w:val="NormalTok"/>
        </w:rPr>
        <w:t xml:space="preserve">copper_data </w:t>
      </w:r>
      <w:r>
        <w:rPr>
          <w:rStyle w:val="OtherTok"/>
        </w:rPr>
        <w:t xml:space="preserve">&lt;-</w:t>
      </w:r>
      <w:r>
        <w:rPr>
          <w:rStyle w:val="NormalTok"/>
        </w:rPr>
        <w:t xml:space="preserve"> wq_copper_full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(ResultMeasureValue))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as.numeric</w:t>
      </w:r>
      <w:r>
        <w:rPr>
          <w:rStyle w:val="NormalTok"/>
        </w:rPr>
        <w:t xml:space="preserve">(ResultMeasureValue),</w:t>
      </w:r>
      <w:r>
        <w:br/>
      </w:r>
      <w:r>
        <w:rPr>
          <w:rStyle w:val="NormalTok"/>
        </w:rPr>
        <w:t xml:space="preserve">    </w:t>
      </w:r>
      <w:r>
        <w:rPr>
          <w:rStyle w:val="AttributeTok"/>
        </w:rPr>
        <w:t xml:space="preserve">Form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(ResultSampleFractionText), </w:t>
      </w:r>
      <w:r>
        <w:rPr>
          <w:rStyle w:val="StringTok"/>
        </w:rPr>
        <w:t xml:space="preserve">"Unspecified"</w:t>
      </w:r>
      <w:r>
        <w:rPr>
          <w:rStyle w:val="NormalTok"/>
        </w:rPr>
        <w:t xml:space="preserve">, ResultSampleFractionText)</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(Form, Value)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w:t>
      </w:r>
      <w:r>
        <w:br/>
      </w:r>
      <w:r>
        <w:br/>
      </w:r>
      <w:r>
        <w:rPr>
          <w:rStyle w:val="ControlFlowTok"/>
        </w:rPr>
        <w:t xml:space="preserve">if</w:t>
      </w:r>
      <w:r>
        <w:rPr>
          <w:rStyle w:val="NormalTok"/>
        </w:rPr>
        <w:t xml:space="preserve"> (</w:t>
      </w:r>
      <w:r>
        <w:rPr>
          <w:rStyle w:val="FunctionTok"/>
        </w:rPr>
        <w:t xml:space="preserve">nrow</w:t>
      </w:r>
      <w:r>
        <w:rPr>
          <w:rStyle w:val="NormalTok"/>
        </w:rPr>
        <w:t xml:space="preserve">(copper_data)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copper_summary </w:t>
      </w:r>
      <w:r>
        <w:rPr>
          <w:rStyle w:val="OtherTok"/>
        </w:rPr>
        <w:t xml:space="preserve">&lt;-</w:t>
      </w:r>
      <w:r>
        <w:rPr>
          <w:rStyle w:val="NormalTok"/>
        </w:rPr>
        <w:t xml:space="preserve"> copper_data </w:t>
      </w:r>
      <w:r>
        <w:rPr>
          <w:rStyle w:val="SpecialCharTok"/>
        </w:rPr>
        <w:t xml:space="preserve">%&gt;%</w:t>
      </w:r>
      <w:r>
        <w:br/>
      </w:r>
      <w:r>
        <w:rPr>
          <w:rStyle w:val="NormalTok"/>
        </w:rPr>
        <w:t xml:space="preserve">    </w:t>
      </w:r>
      <w:r>
        <w:rPr>
          <w:rStyle w:val="FunctionTok"/>
        </w:rPr>
        <w:t xml:space="preserve">group_by</w:t>
      </w:r>
      <w:r>
        <w:rPr>
          <w:rStyle w:val="NormalTok"/>
        </w:rPr>
        <w:t xml:space="preserve">(Form)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"Sample Form"</w:t>
      </w:r>
      <w:r>
        <w:rPr>
          <w:rStyle w:val="NormalTok"/>
        </w:rPr>
        <w:t xml:space="preserve"> </w:t>
      </w:r>
      <w:r>
        <w:rPr>
          <w:rStyle w:val="OtherTok"/>
        </w:rPr>
        <w:t xml:space="preserve">=</w:t>
      </w:r>
      <w:r>
        <w:rPr>
          <w:rStyle w:val="NormalTok"/>
        </w:rPr>
        <w:t xml:space="preserve"> Form, </w:t>
      </w:r>
      <w:r>
        <w:rPr>
          <w:rStyle w:val="StringTok"/>
        </w:rPr>
        <w:t xml:space="preserve">"Count"</w:t>
      </w:r>
      <w:r>
        <w:rPr>
          <w:rStyle w:val="NormalTok"/>
        </w:rPr>
        <w:t xml:space="preserve"> </w:t>
      </w:r>
      <w:r>
        <w:rPr>
          <w:rStyle w:val="OtherTok"/>
        </w:rPr>
        <w:t xml:space="preserve">=</w:t>
      </w:r>
      <w:r>
        <w:rPr>
          <w:rStyle w:val="NormalTok"/>
        </w:rPr>
        <w:t xml:space="preserve"> N)</w:t>
      </w:r>
      <w:r>
        <w:br/>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(copper_summary,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"Copper Concentrations by Sample Form (µg/L)"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"No copper data available in WQP.</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Copper Concentrations by Sample Form (µg/L)</w:t>
      </w:r>
    </w:p>
    <w:tbl>
      <w:tblPr>
        <w:tblStyle w:val="Table"/>
        <w:tblW w:type="auto" w:w="0"/>
        <w:tblLook w:firstRow="1" w:lastRow="0" w:firstColumn="0" w:lastColumn="0" w:noHBand="0" w:noVBand="0" w:val="0020"/>
        <w:tblCaption w:val="Copper Concentrations by Sample Form (µg/L)"/>
      </w:tblPr>
      <w:tblGrid>
        <w:gridCol w:w="1320"/>
        <w:gridCol w:w="1320"/>
        <w:gridCol w:w="1320"/>
        <w:gridCol w:w="1320"/>
        <w:gridCol w:w="1320"/>
        <w:gridCol w:w="1320"/>
      </w:tblGrid>
      <w:tr>
        <w:trPr>
          <w:tblHeader w:val="on"/>
        </w:trPr>
        <w:tc>
          <w:tcPr/>
          <w:p>
            <w:pPr>
              <w:pStyle w:val="Compact"/>
              <w:jc w:val="left"/>
            </w:pPr>
            <w:r>
              <w:t xml:space="preserve">Sample Form</w:t>
            </w:r>
          </w:p>
        </w:tc>
        <w:tc>
          <w:tcPr/>
          <w:p>
            <w:pPr>
              <w:pStyle w:val="Compact"/>
              <w:jc w:val="right"/>
            </w:pPr>
            <w:r>
              <w:t xml:space="preserve">Count</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Dissolved</w:t>
            </w:r>
          </w:p>
        </w:tc>
        <w:tc>
          <w:tcPr/>
          <w:p>
            <w:pPr>
              <w:pStyle w:val="Compact"/>
              <w:jc w:val="right"/>
            </w:pPr>
            <w:r>
              <w:t xml:space="preserve">41</w:t>
            </w:r>
          </w:p>
        </w:tc>
        <w:tc>
          <w:tcPr/>
          <w:p>
            <w:pPr>
              <w:pStyle w:val="Compact"/>
              <w:jc w:val="right"/>
            </w:pPr>
            <w:r>
              <w:t xml:space="preserve">2.02</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20.00</w:t>
            </w:r>
          </w:p>
        </w:tc>
      </w:tr>
      <w:tr>
        <w:tc>
          <w:tcPr/>
          <w:p>
            <w:pPr>
              <w:pStyle w:val="Compact"/>
              <w:jc w:val="left"/>
            </w:pPr>
            <w:r>
              <w:t xml:space="preserve">Suspended</w:t>
            </w:r>
          </w:p>
        </w:tc>
        <w:tc>
          <w:tcPr/>
          <w:p>
            <w:pPr>
              <w:pStyle w:val="Compact"/>
              <w:jc w:val="right"/>
            </w:pPr>
            <w:r>
              <w:t xml:space="preserve">13</w:t>
            </w:r>
          </w:p>
        </w:tc>
        <w:tc>
          <w:tcPr/>
          <w:p>
            <w:pPr>
              <w:pStyle w:val="Compact"/>
              <w:jc w:val="right"/>
            </w:pPr>
            <w:r>
              <w:t xml:space="preserve">5.69</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12.00</w:t>
            </w:r>
          </w:p>
        </w:tc>
      </w:tr>
      <w:tr>
        <w:tc>
          <w:tcPr/>
          <w:p>
            <w:pPr>
              <w:pStyle w:val="Compact"/>
              <w:jc w:val="left"/>
            </w:pPr>
            <w:r>
              <w:t xml:space="preserve">Total</w:t>
            </w:r>
          </w:p>
        </w:tc>
        <w:tc>
          <w:tcPr/>
          <w:p>
            <w:pPr>
              <w:pStyle w:val="Compact"/>
              <w:jc w:val="right"/>
            </w:pPr>
            <w:r>
              <w:t xml:space="preserve">8</w:t>
            </w:r>
          </w:p>
        </w:tc>
        <w:tc>
          <w:tcPr/>
          <w:p>
            <w:pPr>
              <w:pStyle w:val="Compact"/>
              <w:jc w:val="right"/>
            </w:pPr>
            <w:r>
              <w:t xml:space="preserve">1.93</w:t>
            </w:r>
          </w:p>
        </w:tc>
        <w:tc>
          <w:tcPr/>
          <w:p>
            <w:pPr>
              <w:pStyle w:val="Compact"/>
              <w:jc w:val="right"/>
            </w:pPr>
            <w:r>
              <w:t xml:space="preserve">2.38</w:t>
            </w:r>
          </w:p>
        </w:tc>
        <w:tc>
          <w:tcPr/>
          <w:p>
            <w:pPr>
              <w:pStyle w:val="Compact"/>
              <w:jc w:val="right"/>
            </w:pPr>
            <w:r>
              <w:t xml:space="preserve">0.37</w:t>
            </w:r>
          </w:p>
        </w:tc>
        <w:tc>
          <w:tcPr/>
          <w:p>
            <w:pPr>
              <w:pStyle w:val="Compact"/>
              <w:jc w:val="right"/>
            </w:pPr>
            <w:r>
              <w:t xml:space="preserve">3.53</w:t>
            </w:r>
          </w:p>
        </w:tc>
      </w:tr>
      <w:tr>
        <w:tc>
          <w:tcPr/>
          <w:p>
            <w:pPr>
              <w:pStyle w:val="Compact"/>
              <w:jc w:val="left"/>
            </w:pPr>
            <w:r>
              <w:t xml:space="preserve">Recoverable</w:t>
            </w:r>
          </w:p>
        </w:tc>
        <w:tc>
          <w:tcPr/>
          <w:p>
            <w:pPr>
              <w:pStyle w:val="Compact"/>
              <w:jc w:val="right"/>
            </w:pPr>
            <w:r>
              <w:t xml:space="preserve">3</w:t>
            </w:r>
          </w:p>
        </w:tc>
        <w:tc>
          <w:tcPr/>
          <w:p>
            <w:pPr>
              <w:pStyle w:val="Compact"/>
              <w:jc w:val="right"/>
            </w:pPr>
            <w:r>
              <w:t xml:space="preserve">16.67</w:t>
            </w:r>
          </w:p>
        </w:tc>
        <w:tc>
          <w:tcPr/>
          <w:p>
            <w:pPr>
              <w:pStyle w:val="Compact"/>
              <w:jc w:val="right"/>
            </w:pPr>
            <w:r>
              <w:t xml:space="preserve">20.00</w:t>
            </w:r>
          </w:p>
        </w:tc>
        <w:tc>
          <w:tcPr/>
          <w:p>
            <w:pPr>
              <w:pStyle w:val="Compact"/>
              <w:jc w:val="right"/>
            </w:pPr>
            <w:r>
              <w:t xml:space="preserve">10.00</w:t>
            </w:r>
          </w:p>
        </w:tc>
        <w:tc>
          <w:tcPr/>
          <w:p>
            <w:pPr>
              <w:pStyle w:val="Compact"/>
              <w:jc w:val="right"/>
            </w:pPr>
            <w:r>
              <w:t xml:space="preserve">20.00</w:t>
            </w:r>
          </w:p>
        </w:tc>
      </w:tr>
    </w:tbl>
    <w:bookmarkEnd w:id="70"/>
    <w:bookmarkStart w:id="71" w:name="other-metals"/>
    <w:p>
      <w:pPr>
        <w:pStyle w:val="Heading2"/>
      </w:pPr>
      <w:r>
        <w:t xml:space="preserve">7.3 Other Metals</w:t>
      </w:r>
    </w:p>
    <w:p>
      <w:pPr>
        <w:pStyle w:val="FirstParagraph"/>
      </w:pPr>
      <w:r>
        <w:t xml:space="preserve">Zinc, lead, cadmium, and chromium have also been measured at some locations. Distribution and frequency vary significantly.</w:t>
      </w:r>
    </w:p>
    <w:p>
      <w:pPr>
        <w:pStyle w:val="SourceCode"/>
      </w:pPr>
      <w:r>
        <w:rPr>
          <w:rStyle w:val="NormalTok"/>
        </w:rPr>
        <w:t xml:space="preserve">other_metals </w:t>
      </w:r>
      <w:r>
        <w:rPr>
          <w:rStyle w:val="OtherTok"/>
        </w:rPr>
        <w:t xml:space="preserve">&lt;-</w:t>
      </w:r>
      <w:r>
        <w:rPr>
          <w:rStyle w:val="NormalTok"/>
        </w:rPr>
        <w:t xml:space="preserve"> metals_data </w:t>
      </w:r>
      <w:r>
        <w:rPr>
          <w:rStyle w:val="SpecialCharTok"/>
        </w:rPr>
        <w:t xml:space="preserve">%&gt;%</w:t>
      </w:r>
      <w:r>
        <w:br/>
      </w:r>
      <w:r>
        <w:rPr>
          <w:rStyle w:val="NormalTok"/>
        </w:rPr>
        <w:t xml:space="preserve">  </w:t>
      </w:r>
      <w:r>
        <w:rPr>
          <w:rStyle w:val="FunctionTok"/>
        </w:rPr>
        <w:t xml:space="preserve">filter</w:t>
      </w:r>
      <w:r>
        <w:rPr>
          <w:rStyle w:val="NormalTok"/>
        </w:rPr>
        <w:t xml:space="preserve">(CharacteristicName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"Zinc"</w:t>
      </w:r>
      <w:r>
        <w:rPr>
          <w:rStyle w:val="NormalTok"/>
        </w:rPr>
        <w:t xml:space="preserve">, </w:t>
      </w:r>
      <w:r>
        <w:rPr>
          <w:rStyle w:val="StringTok"/>
        </w:rPr>
        <w:t xml:space="preserve">"Lead"</w:t>
      </w:r>
      <w:r>
        <w:rPr>
          <w:rStyle w:val="NormalTok"/>
        </w:rPr>
        <w:t xml:space="preserve">, </w:t>
      </w:r>
      <w:r>
        <w:rPr>
          <w:rStyle w:val="StringTok"/>
        </w:rPr>
        <w:t xml:space="preserve">"Cadmium"</w:t>
      </w:r>
      <w:r>
        <w:rPr>
          <w:rStyle w:val="NormalTok"/>
        </w:rPr>
        <w:t xml:space="preserve">, </w:t>
      </w:r>
      <w:r>
        <w:rPr>
          <w:rStyle w:val="StringTok"/>
        </w:rPr>
        <w:t xml:space="preserve">"Chromium"</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FunctionTok"/>
        </w:rPr>
        <w:t xml:space="preserve">as.numeric</w:t>
      </w:r>
      <w:r>
        <w:rPr>
          <w:rStyle w:val="NormalTok"/>
        </w:rPr>
        <w:t xml:space="preserve">(ResultMeasureValue)) </w:t>
      </w:r>
      <w:r>
        <w:rPr>
          <w:rStyle w:val="SpecialCharTok"/>
        </w:rPr>
        <w:t xml:space="preserve">%&gt;%</w:t>
      </w:r>
      <w:r>
        <w:br/>
      </w:r>
      <w:r>
        <w:rPr>
          <w:rStyle w:val="NormalTok"/>
        </w:rPr>
        <w:t xml:space="preserve">  </w:t>
      </w:r>
      <w:r>
        <w:rPr>
          <w:rStyle w:val="FunctionTok"/>
        </w:rPr>
        <w:t xml:space="preserve">group_by</w:t>
      </w:r>
      <w:r>
        <w:rPr>
          <w:rStyle w:val="NormalTok"/>
        </w:rPr>
        <w:t xml:space="preserve">(CharacteristicName)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"Element"</w:t>
      </w:r>
      <w:r>
        <w:rPr>
          <w:rStyle w:val="NormalTok"/>
        </w:rPr>
        <w:t xml:space="preserve"> </w:t>
      </w:r>
      <w:r>
        <w:rPr>
          <w:rStyle w:val="OtherTok"/>
        </w:rPr>
        <w:t xml:space="preserve">=</w:t>
      </w:r>
      <w:r>
        <w:rPr>
          <w:rStyle w:val="NormalTok"/>
        </w:rPr>
        <w:t xml:space="preserve"> CharacteristicName, </w:t>
      </w:r>
      <w:r>
        <w:rPr>
          <w:rStyle w:val="StringTok"/>
        </w:rPr>
        <w:t xml:space="preserve">"Count"</w:t>
      </w:r>
      <w:r>
        <w:rPr>
          <w:rStyle w:val="NormalTok"/>
        </w:rPr>
        <w:t xml:space="preserve"> </w:t>
      </w:r>
      <w:r>
        <w:rPr>
          <w:rStyle w:val="OtherTok"/>
        </w:rPr>
        <w:t xml:space="preserve">=</w:t>
      </w:r>
      <w:r>
        <w:rPr>
          <w:rStyle w:val="NormalTok"/>
        </w:rPr>
        <w:t xml:space="preserve"> N)</w:t>
      </w:r>
      <w:r>
        <w:br/>
      </w:r>
      <w:r>
        <w:br/>
      </w:r>
      <w:r>
        <w:rPr>
          <w:rStyle w:val="ControlFlowTok"/>
        </w:rPr>
        <w:t xml:space="preserve">if</w:t>
      </w:r>
      <w:r>
        <w:rPr>
          <w:rStyle w:val="NormalTok"/>
        </w:rPr>
        <w:t xml:space="preserve"> (</w:t>
      </w:r>
      <w:r>
        <w:rPr>
          <w:rStyle w:val="FunctionTok"/>
        </w:rPr>
        <w:t xml:space="preserve">nrow</w:t>
      </w:r>
      <w:r>
        <w:rPr>
          <w:rStyle w:val="NormalTok"/>
        </w:rPr>
        <w:t xml:space="preserve">(other_metals)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(other_metals,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"Selected Metals: Summary Statistics"</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"Limited data available for other metals in WQP.</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TableCaption"/>
      </w:pPr>
      <w:r>
        <w:t xml:space="preserve">Selected Metals: Summary Statistics</w:t>
      </w:r>
    </w:p>
    <w:tbl>
      <w:tblPr>
        <w:tblStyle w:val="Table"/>
        <w:tblW w:type="auto" w:w="0"/>
        <w:tblLook w:firstRow="1" w:lastRow="0" w:firstColumn="0" w:lastColumn="0" w:noHBand="0" w:noVBand="0" w:val="0020"/>
        <w:tblCaption w:val="Selected Metals: Summary Statistics"/>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right"/>
            </w:pPr>
            <w:r>
              <w:t xml:space="preserve">Count</w:t>
            </w:r>
          </w:p>
        </w:tc>
        <w:tc>
          <w:tcPr/>
          <w:p>
            <w:pPr>
              <w:pStyle w:val="Compact"/>
              <w:jc w:val="right"/>
            </w:pPr>
            <w:r>
              <w:t xml:space="preserve">Mean</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Zinc</w:t>
            </w:r>
          </w:p>
        </w:tc>
        <w:tc>
          <w:tcPr/>
          <w:p>
            <w:pPr>
              <w:pStyle w:val="Compact"/>
              <w:jc w:val="right"/>
            </w:pPr>
            <w:r>
              <w:t xml:space="preserve">135</w:t>
            </w:r>
          </w:p>
        </w:tc>
        <w:tc>
          <w:tcPr/>
          <w:p>
            <w:pPr>
              <w:pStyle w:val="Compact"/>
              <w:jc w:val="right"/>
            </w:pPr>
            <w:r>
              <w:t xml:space="preserve">269.08</w:t>
            </w:r>
          </w:p>
        </w:tc>
        <w:tc>
          <w:tcPr/>
          <w:p>
            <w:pPr>
              <w:pStyle w:val="Compact"/>
              <w:jc w:val="right"/>
            </w:pPr>
            <w:r>
              <w:t xml:space="preserve">0</w:t>
            </w:r>
          </w:p>
        </w:tc>
        <w:tc>
          <w:tcPr/>
          <w:p>
            <w:pPr>
              <w:pStyle w:val="Compact"/>
              <w:jc w:val="right"/>
            </w:pPr>
            <w:r>
              <w:t xml:space="preserve">5846.26</w:t>
            </w:r>
          </w:p>
        </w:tc>
      </w:tr>
      <w:tr>
        <w:tc>
          <w:tcPr/>
          <w:p>
            <w:pPr>
              <w:pStyle w:val="Compact"/>
              <w:jc w:val="left"/>
            </w:pPr>
            <w:r>
              <w:t xml:space="preserve">Chromium</w:t>
            </w:r>
          </w:p>
        </w:tc>
        <w:tc>
          <w:tcPr/>
          <w:p>
            <w:pPr>
              <w:pStyle w:val="Compact"/>
              <w:jc w:val="right"/>
            </w:pPr>
            <w:r>
              <w:t xml:space="preserve">133</w:t>
            </w:r>
          </w:p>
        </w:tc>
        <w:tc>
          <w:tcPr/>
          <w:p>
            <w:pPr>
              <w:pStyle w:val="Compact"/>
              <w:jc w:val="right"/>
            </w:pPr>
            <w:r>
              <w:t xml:space="preserve">3.20</w:t>
            </w:r>
          </w:p>
        </w:tc>
        <w:tc>
          <w:tcPr/>
          <w:p>
            <w:pPr>
              <w:pStyle w:val="Compact"/>
              <w:jc w:val="right"/>
            </w:pPr>
            <w:r>
              <w:t xml:space="preserve">0</w:t>
            </w:r>
          </w:p>
        </w:tc>
        <w:tc>
          <w:tcPr/>
          <w:p>
            <w:pPr>
              <w:pStyle w:val="Compact"/>
              <w:jc w:val="right"/>
            </w:pPr>
            <w:r>
              <w:t xml:space="preserve">20.00</w:t>
            </w:r>
          </w:p>
        </w:tc>
      </w:tr>
      <w:tr>
        <w:tc>
          <w:tcPr/>
          <w:p>
            <w:pPr>
              <w:pStyle w:val="Compact"/>
              <w:jc w:val="left"/>
            </w:pPr>
            <w:r>
              <w:t xml:space="preserve">Lead</w:t>
            </w:r>
          </w:p>
        </w:tc>
        <w:tc>
          <w:tcPr/>
          <w:p>
            <w:pPr>
              <w:pStyle w:val="Compact"/>
              <w:jc w:val="right"/>
            </w:pPr>
            <w:r>
              <w:t xml:space="preserve">131</w:t>
            </w:r>
          </w:p>
        </w:tc>
        <w:tc>
          <w:tcPr/>
          <w:p>
            <w:pPr>
              <w:pStyle w:val="Compact"/>
              <w:jc w:val="right"/>
            </w:pPr>
            <w:r>
              <w:t xml:space="preserve">2.37</w:t>
            </w:r>
          </w:p>
        </w:tc>
        <w:tc>
          <w:tcPr/>
          <w:p>
            <w:pPr>
              <w:pStyle w:val="Compact"/>
              <w:jc w:val="right"/>
            </w:pPr>
            <w:r>
              <w:t xml:space="preserve">0</w:t>
            </w:r>
          </w:p>
        </w:tc>
        <w:tc>
          <w:tcPr/>
          <w:p>
            <w:pPr>
              <w:pStyle w:val="Compact"/>
              <w:jc w:val="right"/>
            </w:pPr>
            <w:r>
              <w:t xml:space="preserve">44.00</w:t>
            </w:r>
          </w:p>
        </w:tc>
      </w:tr>
      <w:tr>
        <w:tc>
          <w:tcPr/>
          <w:p>
            <w:pPr>
              <w:pStyle w:val="Compact"/>
              <w:jc w:val="left"/>
            </w:pPr>
            <w:r>
              <w:t xml:space="preserve">Cadmium</w:t>
            </w:r>
          </w:p>
        </w:tc>
        <w:tc>
          <w:tcPr/>
          <w:p>
            <w:pPr>
              <w:pStyle w:val="Compact"/>
              <w:jc w:val="right"/>
            </w:pPr>
            <w:r>
              <w:t xml:space="preserve">129</w:t>
            </w:r>
          </w:p>
        </w:tc>
        <w:tc>
          <w:tcPr/>
          <w:p>
            <w:pPr>
              <w:pStyle w:val="Compact"/>
              <w:jc w:val="right"/>
            </w:pPr>
            <w:r>
              <w:t xml:space="preserve">0.44</w:t>
            </w:r>
          </w:p>
        </w:tc>
        <w:tc>
          <w:tcPr/>
          <w:p>
            <w:pPr>
              <w:pStyle w:val="Compact"/>
              <w:jc w:val="right"/>
            </w:pPr>
            <w:r>
              <w:t xml:space="preserve">0</w:t>
            </w:r>
          </w:p>
        </w:tc>
        <w:tc>
          <w:tcPr/>
          <w:p>
            <w:pPr>
              <w:pStyle w:val="Compact"/>
              <w:jc w:val="right"/>
            </w:pPr>
            <w:r>
              <w:t xml:space="preserve">2.00</w:t>
            </w:r>
          </w:p>
        </w:tc>
      </w:tr>
    </w:tbl>
    <w:bookmarkEnd w:id="71"/>
    <w:bookmarkStart w:id="72" w:name="data-quality-notes"/>
    <w:p>
      <w:pPr>
        <w:pStyle w:val="Heading2"/>
      </w:pPr>
      <w:r>
        <w:t xml:space="preserve">7.4 Data Quality Notes</w:t>
      </w:r>
    </w:p>
    <w:p>
      <w:pPr>
        <w:pStyle w:val="FirstParagraph"/>
      </w:pPr>
      <w:r>
        <w:t xml:space="preserve">WQP returns metal concentration measurements as character strings, which must be explicitly converted to numeric type before statistical calculations. This analysis performs that conversion and filters missing values; however, because data submission practices vary, some observations may be incomplete or use unconventional units or detection limit notations. For larger monitoring efforts, the EPA’s</w:t>
      </w:r>
      <w:r>
        <w:t xml:space="preserve"> </w:t>
      </w:r>
      <w:r>
        <w:rPr>
          <w:b/>
          <w:bCs/>
        </w:rPr>
        <w:t xml:space="preserve">TADA (Tools for Automated Data Analysis)</w:t>
      </w:r>
      <w:r>
        <w:t xml:space="preserve"> </w:t>
      </w:r>
      <w:r>
        <w:t xml:space="preserve">framework systematically handles these issues: validating metadata against EPA WQX domain standards, converting between units, and managing censored (below-detection-limit) observations. See the Data Management chapter for details.</w:t>
      </w:r>
    </w:p>
    <w:bookmarkEnd w:id="72"/>
    <w:bookmarkStart w:id="73" w:name="data-gaps"/>
    <w:p>
      <w:pPr>
        <w:pStyle w:val="Heading2"/>
      </w:pPr>
      <w:r>
        <w:t xml:space="preserve">7.5 Data Gaps</w:t>
      </w:r>
    </w:p>
    <w:p>
      <w:pPr>
        <w:pStyle w:val="FirstParagraph"/>
      </w:pPr>
      <w:r>
        <w:t xml:space="preserve">Public metal concentration data in the Nushagak watershed are sparse; though non-public sources not covered yet in this analysis likely exist. Most observations come from targeted research projects rather than systematic monitoring. This represents a significant monitoring opportunity:</w:t>
      </w:r>
    </w:p>
    <w:p>
      <w:pPr>
        <w:pStyle w:val="Compact"/>
        <w:numPr>
          <w:ilvl w:val="0"/>
          <w:numId w:val="1010"/>
        </w:numPr>
      </w:pPr>
      <w:r>
        <w:rPr>
          <w:b/>
          <w:bCs/>
        </w:rPr>
        <w:t xml:space="preserve">Dissolved vs. Total Metal</w:t>
      </w:r>
      <w:r>
        <w:t xml:space="preserve">: Not all analyses distinguish between dissolved and total concentrations</w:t>
      </w:r>
    </w:p>
    <w:p>
      <w:pPr>
        <w:pStyle w:val="Compact"/>
        <w:numPr>
          <w:ilvl w:val="0"/>
          <w:numId w:val="1010"/>
        </w:numPr>
      </w:pPr>
      <w:r>
        <w:rPr>
          <w:b/>
          <w:bCs/>
        </w:rPr>
        <w:t xml:space="preserve">Spatial Coverage</w:t>
      </w:r>
      <w:r>
        <w:t xml:space="preserve">: Limited sampling outside established USGS gaging stations</w:t>
      </w:r>
    </w:p>
    <w:p>
      <w:pPr>
        <w:pStyle w:val="Compact"/>
        <w:numPr>
          <w:ilvl w:val="0"/>
          <w:numId w:val="1010"/>
        </w:numPr>
      </w:pPr>
      <w:r>
        <w:rPr>
          <w:b/>
          <w:bCs/>
        </w:rPr>
        <w:t xml:space="preserve">Seasonal Variation</w:t>
      </w:r>
      <w:r>
        <w:t xml:space="preserve">: Few multi-season samples; high-flow dynamics unknown</w:t>
      </w:r>
    </w:p>
    <w:p>
      <w:pPr>
        <w:pStyle w:val="Compact"/>
        <w:numPr>
          <w:ilvl w:val="0"/>
          <w:numId w:val="1010"/>
        </w:numPr>
      </w:pPr>
      <w:r>
        <w:rPr>
          <w:b/>
          <w:bCs/>
        </w:rPr>
        <w:t xml:space="preserve">Speciation and Acid-Generating Potential</w:t>
      </w:r>
      <w:r>
        <w:t xml:space="preserve">: No public baseline assessments in most tributaries</w:t>
      </w:r>
    </w:p>
    <w:p>
      <w:r>
        <w:pict>
          <v:rect style="width:0;height:1.5pt" o:hralign="center" o:hrstd="t" o:hr="t"/>
        </w:pict>
      </w:r>
    </w:p>
    <w:p>
      <w:pPr>
        <w:pStyle w:val="FirstParagraph"/>
      </w:pPr>
      <w:r>
        <w:t xml:space="preserve">These gaps underscore the value of establishing baseline metal monitoring across the four Nushagak HUC8 sub-basins.</w:t>
      </w:r>
    </w:p>
    <w:p>
      <w:pPr>
        <w:pStyle w:val="BodyText"/>
      </w:pPr>
      <w:r>
        <w:t xml:space="preserve">The next chapter examines nutrients and biological parameters relevant to salmon productivity.</w:t>
      </w:r>
    </w:p>
    <w:bookmarkEnd w:id="73"/>
    <w:bookmarkEnd w:id="74"/>
    <w:bookmarkStart w:id="81" w:name="nutrients-and-salmon-relevant-indicators"/>
    <w:p>
      <w:pPr>
        <w:pStyle w:val="Heading1"/>
      </w:pPr>
      <w:r>
        <w:t xml:space="preserve">8. Nutrients and Salmon-Relevant Indicators</w:t>
      </w:r>
    </w:p>
    <w:bookmarkStart w:id="75" w:name="nutrients-and-primary-productivity"/>
    <w:p>
      <w:pPr>
        <w:pStyle w:val="Heading2"/>
      </w:pPr>
      <w:r>
        <w:t xml:space="preserve">8.1 Nutrients and Primary Productivity</w:t>
      </w:r>
    </w:p>
    <w:p>
      <w:pPr>
        <w:pStyle w:val="FirstParagraph"/>
      </w:pPr>
      <w:r>
        <w:t xml:space="preserve">Nitrogen and phosphorus are essential for aquatic ecosystem productivity. In streams typical of the Nushagak region, seasonal pulses from spawning salmon carcasses contribute to productivity.</w:t>
      </w:r>
    </w:p>
    <w:p>
      <w:pPr>
        <w:pStyle w:val="BodyText"/>
      </w:pPr>
      <w:r>
        <w:t xml:space="preserve">Currently, the Water Quality Portal contains limited nitrogen and phosphorus measurements for the Nushagak watershed. This represents a significant data gap:</w:t>
      </w:r>
    </w:p>
    <w:p>
      <w:pPr>
        <w:pStyle w:val="Compact"/>
        <w:numPr>
          <w:ilvl w:val="0"/>
          <w:numId w:val="1011"/>
        </w:numPr>
      </w:pPr>
      <w:r>
        <w:t xml:space="preserve">Few observations of dissolved nitrate, nitrite, or ammonia</w:t>
      </w:r>
    </w:p>
    <w:p>
      <w:pPr>
        <w:pStyle w:val="Compact"/>
        <w:numPr>
          <w:ilvl w:val="0"/>
          <w:numId w:val="1011"/>
        </w:numPr>
      </w:pPr>
      <w:r>
        <w:t xml:space="preserve">Minimal phosphorus data (orthophosphate or total phosphorus)</w:t>
      </w:r>
    </w:p>
    <w:p>
      <w:pPr>
        <w:pStyle w:val="Compact"/>
        <w:numPr>
          <w:ilvl w:val="0"/>
          <w:numId w:val="1011"/>
        </w:numPr>
      </w:pPr>
      <w:r>
        <w:t xml:space="preserve">No systematic seasonal sampling of nutrient dynamics</w:t>
      </w:r>
    </w:p>
    <w:p>
      <w:pPr>
        <w:pStyle w:val="FirstParagraph"/>
      </w:pPr>
      <w:r>
        <w:t xml:space="preserve">Establishing baseline nutrient levels would provide context for understanding:</w:t>
      </w:r>
    </w:p>
    <w:p>
      <w:pPr>
        <w:numPr>
          <w:ilvl w:val="0"/>
          <w:numId w:val="1012"/>
        </w:numPr>
      </w:pPr>
      <w:r>
        <w:t xml:space="preserve">Stream productivity and food availability for juvenile salmon</w:t>
      </w:r>
    </w:p>
    <w:p>
      <w:pPr>
        <w:numPr>
          <w:ilvl w:val="0"/>
          <w:numId w:val="1012"/>
        </w:numPr>
      </w:pPr>
      <w:r>
        <w:t xml:space="preserve">Responses to changes in land use or climate</w:t>
      </w:r>
    </w:p>
    <w:p>
      <w:pPr>
        <w:numPr>
          <w:ilvl w:val="0"/>
          <w:numId w:val="1012"/>
        </w:numPr>
      </w:pPr>
      <w:r>
        <w:t xml:space="preserve">Salmon-driven nutrient pulses during spawning periods</w:t>
      </w:r>
    </w:p>
    <w:p>
      <w:r>
        <w:pict>
          <v:rect style="width:0;height:1.5pt" o:hralign="center" o:hrstd="t" o:hr="t"/>
        </w:pict>
      </w:r>
    </w:p>
    <w:bookmarkEnd w:id="75"/>
    <w:bookmarkStart w:id="78" w:name="biological-indicators"/>
    <w:p>
      <w:pPr>
        <w:pStyle w:val="Heading2"/>
      </w:pPr>
      <w:r>
        <w:t xml:space="preserve">8.2 Biological Indicators</w:t>
      </w:r>
    </w:p>
    <w:bookmarkStart w:id="76" w:name="fish-sampling"/>
    <w:p>
      <w:pPr>
        <w:pStyle w:val="Heading3"/>
      </w:pPr>
      <w:r>
        <w:t xml:space="preserve">8.2.1 Fish Sampling</w:t>
      </w:r>
    </w:p>
    <w:p>
      <w:pPr>
        <w:pStyle w:val="FirstParagraph"/>
      </w:pPr>
      <w:r>
        <w:t xml:space="preserve">Fish surveys in the Nushagak watershed have been conducted by USGS, Alaska Department of Fish and Game, and tribal entities. Juvenile salmon densities, species composition, and growth rates are key indicators of habitat quality. Some existing data are dispersed among agencies and not centralized in WQP. ADF&amp;G’s Alaska Freshwater Fish Inventory and Anadromous Waters Catalog are logical starting points for data assessment.</w:t>
      </w:r>
    </w:p>
    <w:bookmarkEnd w:id="76"/>
    <w:bookmarkStart w:id="77" w:name="macroinvertebrate-communities"/>
    <w:p>
      <w:pPr>
        <w:pStyle w:val="Heading3"/>
      </w:pPr>
      <w:r>
        <w:t xml:space="preserve">8.2.2 Macroinvertebrate Communities</w:t>
      </w:r>
    </w:p>
    <w:p>
      <w:pPr>
        <w:pStyle w:val="FirstParagraph"/>
      </w:pPr>
      <w:r>
        <w:t xml:space="preserve">Macroinvertebrate communities reflect water quality and habitat conditions. The Nushagak watershed lacks a continuous monitoring network for aquatic macroinvertebrates.</w:t>
      </w:r>
    </w:p>
    <w:p>
      <w:r>
        <w:pict>
          <v:rect style="width:0;height:1.5pt" o:hralign="center" o:hrstd="t" o:hr="t"/>
        </w:pict>
      </w:r>
    </w:p>
    <w:bookmarkEnd w:id="77"/>
    <w:bookmarkEnd w:id="78"/>
    <w:bookmarkStart w:id="79" w:name="Xd978a8ff739e1f20bb367f394e7033f1a1f83f5"/>
    <w:p>
      <w:pPr>
        <w:pStyle w:val="Heading2"/>
      </w:pPr>
      <w:r>
        <w:t xml:space="preserve">8.3 Dissolved Oxygen and Temperature Interactions</w:t>
      </w:r>
    </w:p>
    <w:p>
      <w:pPr>
        <w:pStyle w:val="FirstParagraph"/>
      </w:pPr>
      <w:r>
        <w:t xml:space="preserve">Dissolved oxygen and temperature are tightly coupled: cold water holds more oxygen, while warm water holds less. For salmon, the combination of warm temperature and low dissolved oxygen creates stress. Continuous monitoring of either or both parameters at key sites would allow assessment of thermal habitat suitability and identification of potential barrier zones.</w:t>
      </w:r>
    </w:p>
    <w:p>
      <w:r>
        <w:pict>
          <v:rect style="width:0;height:1.5pt" o:hralign="center" o:hrstd="t" o:hr="t"/>
        </w:pict>
      </w:r>
    </w:p>
    <w:bookmarkEnd w:id="79"/>
    <w:bookmarkStart w:id="80" w:name="Xaab1da120850a7aca6186cbd4b004d6345a333e"/>
    <w:p>
      <w:pPr>
        <w:pStyle w:val="Heading2"/>
      </w:pPr>
      <w:r>
        <w:t xml:space="preserve">8.4 Possible Recommendations for Baseline Monitoring</w:t>
      </w:r>
    </w:p>
    <w:p>
      <w:pPr>
        <w:numPr>
          <w:ilvl w:val="0"/>
          <w:numId w:val="1013"/>
        </w:numPr>
      </w:pPr>
      <w:r>
        <w:rPr>
          <w:b/>
          <w:bCs/>
        </w:rPr>
        <w:t xml:space="preserve">Nutrient Sampling</w:t>
      </w:r>
      <w:r>
        <w:t xml:space="preserve">: Establish 3–4 baseline sites per HUC8 sub-basin with monthly or bimonthly sampling for dissolved nitrate, ammonia, and orthophosphate.</w:t>
      </w:r>
    </w:p>
    <w:p>
      <w:pPr>
        <w:numPr>
          <w:ilvl w:val="0"/>
          <w:numId w:val="1013"/>
        </w:numPr>
      </w:pPr>
      <w:r>
        <w:rPr>
          <w:b/>
          <w:bCs/>
        </w:rPr>
        <w:t xml:space="preserve">Continuous Temperature and DO</w:t>
      </w:r>
      <w:r>
        <w:t xml:space="preserve">: Deploy data loggers at 5–8 strategic locations to capture diurnal and seasonal variation.</w:t>
      </w:r>
    </w:p>
    <w:p>
      <w:pPr>
        <w:numPr>
          <w:ilvl w:val="0"/>
          <w:numId w:val="1013"/>
        </w:numPr>
      </w:pPr>
      <w:r>
        <w:rPr>
          <w:b/>
          <w:bCs/>
        </w:rPr>
        <w:t xml:space="preserve">Fish Sampling</w:t>
      </w:r>
      <w:r>
        <w:t xml:space="preserve">: Coordinate with ADF&amp;G and tribal partners to standardize juvenile salmon surveys in spring and fall.</w:t>
      </w:r>
    </w:p>
    <w:p>
      <w:pPr>
        <w:numPr>
          <w:ilvl w:val="0"/>
          <w:numId w:val="1013"/>
        </w:numPr>
      </w:pPr>
      <w:r>
        <w:rPr>
          <w:b/>
          <w:bCs/>
        </w:rPr>
        <w:t xml:space="preserve">Macroinvertebrate Sampling</w:t>
      </w:r>
      <w:r>
        <w:t xml:space="preserve">: Implement seasonal kick-net sampling at reference stations to establish baseline community composition.</w:t>
      </w:r>
    </w:p>
    <w:p>
      <w:r>
        <w:pict>
          <v:rect style="width:0;height:1.5pt" o:hralign="center" o:hrstd="t" o:hr="t"/>
        </w:pict>
      </w:r>
    </w:p>
    <w:p>
      <w:pPr>
        <w:pStyle w:val="FirstParagraph"/>
      </w:pPr>
      <w:r>
        <w:t xml:space="preserve">These biological and chemical parameters together form the foundation of ecosystem-based monitoring. The next chapter synthesizes current gaps and priorities for the collaborative monitoring program.</w:t>
      </w:r>
    </w:p>
    <w:bookmarkEnd w:id="80"/>
    <w:bookmarkEnd w:id="81"/>
    <w:bookmarkStart w:id="95" w:name="data-gaps-and-monitoring-priorities"/>
    <w:p>
      <w:pPr>
        <w:pStyle w:val="Heading1"/>
      </w:pPr>
      <w:r>
        <w:t xml:space="preserve">9. Data Gaps and Monitoring Priorities</w:t>
      </w:r>
    </w:p>
    <w:bookmarkStart w:id="82" w:name="summary-of-baseline-assessment"/>
    <w:p>
      <w:pPr>
        <w:pStyle w:val="Heading2"/>
      </w:pPr>
      <w:r>
        <w:t xml:space="preserve">9.1 Summary of Baseline Assessment</w:t>
      </w:r>
    </w:p>
    <w:p>
      <w:pPr>
        <w:pStyle w:val="FirstParagraph"/>
      </w:pPr>
      <w:r>
        <w:t xml:space="preserve">The existing water quality data for the Nushagak watershed provide a partial baseline. Data are dominated by USGS streamflow and periodic chemistry, supplemented by research project sampling.</w:t>
      </w:r>
    </w:p>
    <w:bookmarkEnd w:id="82"/>
    <w:bookmarkStart w:id="87" w:name="critical-gaps"/>
    <w:p>
      <w:pPr>
        <w:pStyle w:val="Heading2"/>
      </w:pPr>
      <w:r>
        <w:t xml:space="preserve">9.2 Critical Gaps</w:t>
      </w:r>
    </w:p>
    <w:bookmarkStart w:id="83" w:name="spatial-coverage"/>
    <w:p>
      <w:pPr>
        <w:pStyle w:val="Heading3"/>
      </w:pPr>
      <w:r>
        <w:t xml:space="preserve">9.2.1 1. Spatial Coverage</w:t>
      </w:r>
    </w:p>
    <w:p>
      <w:pPr>
        <w:pStyle w:val="Compact"/>
        <w:numPr>
          <w:ilvl w:val="0"/>
          <w:numId w:val="1014"/>
        </w:numPr>
      </w:pPr>
      <w:r>
        <w:rPr>
          <w:b/>
          <w:bCs/>
        </w:rPr>
        <w:t xml:space="preserve">Wood River (19030304)</w:t>
      </w:r>
      <w:r>
        <w:t xml:space="preserve"> </w:t>
      </w:r>
      <w:r>
        <w:t xml:space="preserve">has limited established monitoring infrastructure; within the Lower Nushagak sub-basin (19030303), the</w:t>
      </w:r>
      <w:r>
        <w:t xml:space="preserve"> </w:t>
      </w:r>
      <w:r>
        <w:rPr>
          <w:b/>
          <w:bCs/>
        </w:rPr>
        <w:t xml:space="preserve">Nuyakuk River</w:t>
      </w:r>
      <w:r>
        <w:t xml:space="preserve"> </w:t>
      </w:r>
      <w:r>
        <w:t xml:space="preserve">tributary specifically is undersampled relative to mainstem gauges in that same HUC8 (see Spatial Coverage chapter)</w:t>
      </w:r>
    </w:p>
    <w:p>
      <w:pPr>
        <w:pStyle w:val="Compact"/>
        <w:numPr>
          <w:ilvl w:val="0"/>
          <w:numId w:val="1014"/>
        </w:numPr>
      </w:pPr>
      <w:r>
        <w:t xml:space="preserve">Tributary streams in all sub-basins are underrepresented</w:t>
      </w:r>
    </w:p>
    <w:p>
      <w:pPr>
        <w:pStyle w:val="Compact"/>
        <w:numPr>
          <w:ilvl w:val="0"/>
          <w:numId w:val="1014"/>
        </w:numPr>
      </w:pPr>
      <w:r>
        <w:t xml:space="preserve">No monitoring in headwater reaches where geochemical and thermal conditions differ markedly</w:t>
      </w:r>
    </w:p>
    <w:bookmarkEnd w:id="83"/>
    <w:bookmarkStart w:id="84" w:name="temporal-frequency"/>
    <w:p>
      <w:pPr>
        <w:pStyle w:val="Heading3"/>
      </w:pPr>
      <w:r>
        <w:t xml:space="preserve">9.2.2 2. Temporal Frequency</w:t>
      </w:r>
    </w:p>
    <w:p>
      <w:pPr>
        <w:pStyle w:val="Compact"/>
        <w:numPr>
          <w:ilvl w:val="0"/>
          <w:numId w:val="1015"/>
        </w:numPr>
      </w:pPr>
      <w:r>
        <w:t xml:space="preserve">Most existing data are episodic grab samples rather than continuous or systematic time series</w:t>
      </w:r>
    </w:p>
    <w:p>
      <w:pPr>
        <w:pStyle w:val="Compact"/>
        <w:numPr>
          <w:ilvl w:val="0"/>
          <w:numId w:val="1015"/>
        </w:numPr>
      </w:pPr>
      <w:r>
        <w:t xml:space="preserve">No baseline for seasonal or interannual variation in key parameters</w:t>
      </w:r>
    </w:p>
    <w:p>
      <w:pPr>
        <w:pStyle w:val="Compact"/>
        <w:numPr>
          <w:ilvl w:val="0"/>
          <w:numId w:val="1015"/>
        </w:numPr>
      </w:pPr>
      <w:r>
        <w:t xml:space="preserve">High-flow events are rarely sampled (logistics, accessibility)</w:t>
      </w:r>
    </w:p>
    <w:bookmarkEnd w:id="84"/>
    <w:bookmarkStart w:id="85" w:name="parameter-breadth"/>
    <w:p>
      <w:pPr>
        <w:pStyle w:val="Heading3"/>
      </w:pPr>
      <w:r>
        <w:t xml:space="preserve">9.2.3 3. Parameter Breadth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 Class</w:t>
            </w:r>
          </w:p>
        </w:tc>
        <w:tc>
          <w:tcPr/>
          <w:p>
            <w:pPr>
              <w:pStyle w:val="Compact"/>
            </w:pPr>
            <w:r>
              <w:t xml:space="preserve">Status</w:t>
            </w:r>
          </w:p>
        </w:tc>
        <w:tc>
          <w:tcPr/>
          <w:p>
            <w:pPr>
              <w:pStyle w:val="Compact"/>
            </w:pPr>
            <w:r>
              <w:t xml:space="preserve">Priority</w:t>
            </w:r>
          </w:p>
        </w:tc>
      </w:tr>
      <w:tr>
        <w:tc>
          <w:tcPr/>
          <w:p>
            <w:pPr>
              <w:pStyle w:val="Compact"/>
            </w:pPr>
            <w:r>
              <w:rPr>
                <w:b/>
                <w:bCs/>
              </w:rPr>
              <w:t xml:space="preserve">Temperature (continuous)</w:t>
            </w:r>
          </w:p>
        </w:tc>
        <w:tc>
          <w:tcPr/>
          <w:p>
            <w:pPr>
              <w:pStyle w:val="Compact"/>
            </w:pPr>
            <w:r>
              <w:t xml:space="preserve">Few loggers</w:t>
            </w:r>
          </w:p>
        </w:tc>
        <w:tc>
          <w:tcPr/>
          <w:p>
            <w:pPr>
              <w:pStyle w:val="Compact"/>
            </w:pPr>
            <w:r>
              <w:t xml:space="preserve">High</w:t>
            </w:r>
          </w:p>
        </w:tc>
      </w:tr>
      <w:tr>
        <w:tc>
          <w:tcPr/>
          <w:p>
            <w:pPr>
              <w:pStyle w:val="Compact"/>
            </w:pPr>
            <w:r>
              <w:rPr>
                <w:b/>
                <w:bCs/>
              </w:rPr>
              <w:t xml:space="preserve">Dissolved oxygen</w:t>
            </w:r>
          </w:p>
        </w:tc>
        <w:tc>
          <w:tcPr/>
          <w:p>
            <w:pPr>
              <w:pStyle w:val="Compact"/>
            </w:pPr>
            <w:r>
              <w:t xml:space="preserve">Limited observations</w:t>
            </w:r>
          </w:p>
        </w:tc>
        <w:tc>
          <w:tcPr/>
          <w:p>
            <w:pPr>
              <w:pStyle w:val="Compact"/>
            </w:pPr>
            <w:r>
              <w:t xml:space="preserve">High</w:t>
            </w:r>
          </w:p>
        </w:tc>
      </w:tr>
      <w:tr>
        <w:tc>
          <w:tcPr/>
          <w:p>
            <w:pPr>
              <w:pStyle w:val="Compact"/>
            </w:pPr>
            <w:r>
              <w:rPr>
                <w:b/>
                <w:bCs/>
              </w:rPr>
              <w:t xml:space="preserve">Nutrients (N, P)</w:t>
            </w:r>
          </w:p>
        </w:tc>
        <w:tc>
          <w:tcPr/>
          <w:p>
            <w:pPr>
              <w:pStyle w:val="Compact"/>
            </w:pPr>
            <w:r>
              <w:t xml:space="preserve">Sparse</w:t>
            </w:r>
          </w:p>
        </w:tc>
        <w:tc>
          <w:tcPr/>
          <w:p>
            <w:pPr>
              <w:pStyle w:val="Compact"/>
            </w:pPr>
            <w:r>
              <w:t xml:space="preserve">High</w:t>
            </w:r>
          </w:p>
        </w:tc>
      </w:tr>
      <w:tr>
        <w:tc>
          <w:tcPr/>
          <w:p>
            <w:pPr>
              <w:pStyle w:val="Compact"/>
            </w:pPr>
            <w:r>
              <w:rPr>
                <w:b/>
                <w:bCs/>
              </w:rPr>
              <w:t xml:space="preserve">Trace metals</w:t>
            </w:r>
          </w:p>
        </w:tc>
        <w:tc>
          <w:tcPr/>
          <w:p>
            <w:pPr>
              <w:pStyle w:val="Compact"/>
            </w:pPr>
            <w:r>
              <w:t xml:space="preserve">Very limited</w:t>
            </w:r>
          </w:p>
        </w:tc>
        <w:tc>
          <w:tcPr/>
          <w:p>
            <w:pPr>
              <w:pStyle w:val="Compact"/>
            </w:pPr>
            <w:r>
              <w:t xml:space="preserve">Medium</w:t>
            </w:r>
          </w:p>
        </w:tc>
      </w:tr>
      <w:tr>
        <w:tc>
          <w:tcPr/>
          <w:p>
            <w:pPr>
              <w:pStyle w:val="Compact"/>
            </w:pPr>
            <w:r>
              <w:rPr>
                <w:b/>
                <w:bCs/>
              </w:rPr>
              <w:t xml:space="preserve">Biological (fish, invertebrates)</w:t>
            </w:r>
          </w:p>
        </w:tc>
        <w:tc>
          <w:tcPr/>
          <w:p>
            <w:pPr>
              <w:pStyle w:val="Compact"/>
            </w:pPr>
            <w:r>
              <w:t xml:space="preserve">Dispersed across agencies</w:t>
            </w:r>
          </w:p>
        </w:tc>
        <w:tc>
          <w:tcPr/>
          <w:p>
            <w:pPr>
              <w:pStyle w:val="Compact"/>
            </w:pPr>
            <w:r>
              <w:t xml:space="preserve">High</w:t>
            </w:r>
          </w:p>
        </w:tc>
      </w:tr>
      <w:tr>
        <w:tc>
          <w:tcPr/>
          <w:p>
            <w:pPr>
              <w:pStyle w:val="Compact"/>
            </w:pPr>
            <w:r>
              <w:rPr>
                <w:b/>
                <w:bCs/>
              </w:rPr>
              <w:t xml:space="preserve">Acidification potential</w:t>
            </w:r>
          </w:p>
        </w:tc>
        <w:tc>
          <w:tcPr/>
          <w:p>
            <w:pPr>
              <w:pStyle w:val="Compact"/>
            </w:pPr>
            <w:r>
              <w:t xml:space="preserve">Essentially absent</w:t>
            </w:r>
          </w:p>
        </w:tc>
        <w:tc>
          <w:tcPr/>
          <w:p>
            <w:pPr>
              <w:pStyle w:val="Compact"/>
            </w:pPr>
            <w:r>
              <w:t xml:space="preserve">Medium</w:t>
            </w:r>
          </w:p>
        </w:tc>
      </w:tr>
    </w:tbl>
    <w:bookmarkEnd w:id="85"/>
    <w:bookmarkStart w:id="86" w:name="data-management-and-sharing"/>
    <w:p>
      <w:pPr>
        <w:pStyle w:val="Heading3"/>
      </w:pPr>
      <w:r>
        <w:t xml:space="preserve">9.2.4 4. Data Management and Sharing</w:t>
      </w:r>
    </w:p>
    <w:p>
      <w:pPr>
        <w:pStyle w:val="Compact"/>
        <w:numPr>
          <w:ilvl w:val="0"/>
          <w:numId w:val="1016"/>
        </w:numPr>
      </w:pPr>
      <w:r>
        <w:t xml:space="preserve">Limited standardization of field methods and data entry</w:t>
      </w:r>
    </w:p>
    <w:p>
      <w:pPr>
        <w:pStyle w:val="Compact"/>
        <w:numPr>
          <w:ilvl w:val="0"/>
          <w:numId w:val="1016"/>
        </w:numPr>
      </w:pPr>
      <w:r>
        <w:t xml:space="preserve">No real-time or near-real-time data sharing platform among agencies and communities</w:t>
      </w:r>
    </w:p>
    <w:p>
      <w:r>
        <w:pict>
          <v:rect style="width:0;height:1.5pt" o:hralign="center" o:hrstd="t" o:hr="t"/>
        </w:pict>
      </w:r>
    </w:p>
    <w:bookmarkEnd w:id="86"/>
    <w:bookmarkEnd w:id="87"/>
    <w:bookmarkStart w:id="93" w:name="notes-on-monitoring-priorities"/>
    <w:p>
      <w:pPr>
        <w:pStyle w:val="Heading2"/>
      </w:pPr>
      <w:r>
        <w:t xml:space="preserve">9.3 Notes on Monitoring Priorities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Benjamin\AppData\Local\Programs\Quarto\share\formats\docx\important.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section intentionally does not prescribe site counts, parameters, or timelines</w:t>
            </w:r>
          </w:p>
        </w:tc>
      </w:tr>
      <w:tr>
        <w:trPr>
          <w:cantSplit/>
        </w:trPr>
        <w:tc>
          <w:tcPr>
            <w:tcMar>
              <w:top w:w="108" w:type="dxa"/>
              <w:bottom w:w="108" w:type="dxa"/>
            </w:tcMar>
          </w:tcPr>
          <w:p>
            <w:pPr>
              <w:pStyle w:val="BodyText"/>
            </w:pPr>
            <w:pPr>
              <w:spacing w:before="16" w:after="16"/>
            </w:pPr>
            <w:r>
              <w:t xml:space="preserve">Deciding where new monitoring is most valuable requires judgment about tribal priorities, logistics, funding, and risk. This section lays out the structured process by which those choices could be made, and the open questions that need answers before the plan can be finalized.</w:t>
            </w:r>
          </w:p>
        </w:tc>
      </w:tr>
    </w:tbl>
    <w:bookmarkStart w:id="91" w:name="X3c77203c676b99fe4b22b4b2bced2a7b1b2faab"/>
    <w:p>
      <w:pPr>
        <w:pStyle w:val="Heading3"/>
      </w:pPr>
      <w:r>
        <w:t xml:space="preserve">9.3.1 How monitoring priorities should be decided</w:t>
      </w:r>
    </w:p>
    <w:p>
      <w:pPr>
        <w:pStyle w:val="FirstParagraph"/>
      </w:pPr>
      <w:r>
        <w:t xml:space="preserve">The EPA’s Data Quality Objectives (DQO) process is the standard framework for translating monitoring goals into a defensible sampling design: it specifies the problem, the decision to be made, the data needed to support that decision, and acceptable levels of uncertainty, before site counts or frequencies are chosen</w:t>
      </w:r>
      <w:r>
        <w:t xml:space="preserve"> </w:t>
      </w:r>
      <w:r>
        <w:t xml:space="preserve">(EPA 2006)</w:t>
      </w:r>
      <w:r>
        <w:t xml:space="preserve">. Any site counts, parameter lists, or sampling frequencies proposed for the Nushagak effort should be the output of this process, run with the three participating tribes, rather than a number proposed in this document.</w:t>
      </w:r>
    </w:p>
    <w:bookmarkEnd w:id="91"/>
    <w:bookmarkStart w:id="92" w:name="open-questions-requiring-community-input"/>
    <w:p>
      <w:pPr>
        <w:pStyle w:val="Heading3"/>
      </w:pPr>
      <w:r>
        <w:t xml:space="preserve">9.3.2 Open questions requiring community input</w:t>
      </w:r>
    </w:p>
    <w:p>
      <w:pPr>
        <w:pStyle w:val="Compact"/>
        <w:numPr>
          <w:ilvl w:val="0"/>
          <w:numId w:val="1017"/>
        </w:numPr>
      </w:pPr>
      <w:r>
        <w:t xml:space="preserve">Which sub-basins or reaches do the Native Village of Ekwok, New Koliganek Village Council, and New Stuyahok Village Council consider highest priority, based on local observation and traditional knowledge, not just the spatial coverage gaps identified above?</w:t>
      </w:r>
    </w:p>
    <w:p>
      <w:pPr>
        <w:pStyle w:val="Compact"/>
        <w:numPr>
          <w:ilvl w:val="0"/>
          <w:numId w:val="1017"/>
        </w:numPr>
      </w:pPr>
      <w:r>
        <w:t xml:space="preserve">What specific water quality concerns (e.g., observed changes in fish health, turbidity after development activity, temperature trends) have communities already raised that should drive site placement?</w:t>
      </w:r>
    </w:p>
    <w:p>
      <w:pPr>
        <w:pStyle w:val="Compact"/>
        <w:numPr>
          <w:ilvl w:val="0"/>
          <w:numId w:val="1017"/>
        </w:numPr>
      </w:pPr>
      <w:r>
        <w:t xml:space="preserve">What funding, staffing, and equipment constraints realistically bound the number of sites and the monitoring timeline?</w:t>
      </w:r>
    </w:p>
    <w:p>
      <w:pPr>
        <w:pStyle w:val="Compact"/>
        <w:numPr>
          <w:ilvl w:val="0"/>
          <w:numId w:val="1017"/>
        </w:numPr>
      </w:pPr>
      <w:r>
        <w:t xml:space="preserve">Are there existing tribal environmental program plans, natural resources priorities, or prior monitoring proposals that should set the baseline design rather than a new one drafted here?</w:t>
      </w:r>
    </w:p>
    <w:p>
      <w:pPr>
        <w:pStyle w:val="Compact"/>
        <w:numPr>
          <w:ilvl w:val="0"/>
          <w:numId w:val="1017"/>
        </w:numPr>
      </w:pPr>
      <w:r>
        <w:t xml:space="preserve">What does the RFP itself specify, in terms of required deliverables, timeline, or budget, that constrains feasible scope?</w:t>
      </w:r>
    </w:p>
    <w:p>
      <w:r>
        <w:pict>
          <v:rect style="width:0;height:1.5pt" o:hralign="center" o:hrstd="t" o:hr="t"/>
        </w:pict>
      </w:r>
    </w:p>
    <w:bookmarkEnd w:id="92"/>
    <w:bookmarkEnd w:id="93"/>
    <w:bookmarkStart w:id="94" w:name="next-steps"/>
    <w:p>
      <w:pPr>
        <w:pStyle w:val="Heading2"/>
      </w:pPr>
      <w:r>
        <w:t xml:space="preserve">9.4 Next Steps</w:t>
      </w:r>
    </w:p>
    <w:p>
      <w:pPr>
        <w:pStyle w:val="FirstParagraph"/>
      </w:pPr>
      <w:r>
        <w:t xml:space="preserve">Part III describes how a QAPP translates decisions made through the DQO process into a concrete sampling design, once those decisions have been made with community and documented external input.</w:t>
      </w:r>
    </w:p>
    <w:bookmarkEnd w:id="94"/>
    <w:bookmarkEnd w:id="95"/>
    <w:bookmarkStart w:id="101" w:name="community-context-and-priorities"/>
    <w:p>
      <w:pPr>
        <w:pStyle w:val="Heading1"/>
      </w:pPr>
      <w:r>
        <w:t xml:space="preserve">10. Community Context and Priorities</w:t>
      </w:r>
    </w:p>
    <w:bookmarkStart w:id="96" w:name="the-three-participating-communities"/>
    <w:p>
      <w:pPr>
        <w:pStyle w:val="Heading2"/>
      </w:pPr>
      <w:r>
        <w:t xml:space="preserve">10.1 The Three Participating Communities</w:t>
      </w:r>
    </w:p>
    <w:p>
      <w:pPr>
        <w:pStyle w:val="FirstParagraph"/>
      </w:pPr>
      <w:r>
        <w:t xml:space="preserve">The Nushagak River watershed supports three Alaska Native communities whose subsistence and cultural practices are centered on wild salmon:</w:t>
      </w:r>
    </w:p>
    <w:p>
      <w:pPr>
        <w:pStyle w:val="Compact"/>
        <w:numPr>
          <w:ilvl w:val="0"/>
          <w:numId w:val="1018"/>
        </w:numPr>
      </w:pPr>
      <w:r>
        <w:rPr>
          <w:b/>
          <w:bCs/>
        </w:rPr>
        <w:t xml:space="preserve">Native Village of Ekwok</w:t>
      </w:r>
      <w:r>
        <w:t xml:space="preserve">: Located on the Nushagak River mainstem, approximately 70 river miles from Bristol Bay</w:t>
      </w:r>
    </w:p>
    <w:p>
      <w:pPr>
        <w:pStyle w:val="Compact"/>
        <w:numPr>
          <w:ilvl w:val="0"/>
          <w:numId w:val="1018"/>
        </w:numPr>
      </w:pPr>
      <w:r>
        <w:rPr>
          <w:b/>
          <w:bCs/>
        </w:rPr>
        <w:t xml:space="preserve">New Koliganek Village Council</w:t>
      </w:r>
      <w:r>
        <w:t xml:space="preserve">: Located at the confluence of the Koliganek River with the Nushagak</w:t>
      </w:r>
    </w:p>
    <w:p>
      <w:pPr>
        <w:pStyle w:val="Compact"/>
        <w:numPr>
          <w:ilvl w:val="0"/>
          <w:numId w:val="1018"/>
        </w:numPr>
      </w:pPr>
      <w:r>
        <w:rPr>
          <w:b/>
          <w:bCs/>
        </w:rPr>
        <w:t xml:space="preserve">New Stuyahok Village Council</w:t>
      </w:r>
      <w:r>
        <w:t xml:space="preserve">: Located on the Mulchatna River, the largest tributary of the Nushagak</w:t>
      </w:r>
    </w:p>
    <w:p>
      <w:pPr>
        <w:pStyle w:val="FirstParagraph"/>
      </w:pPr>
      <w:r>
        <w:t xml:space="preserve">Each community has a direct interest in water quality that supports salmon productivity, fishery sustainability, and food security.</w:t>
      </w:r>
    </w:p>
    <w:p>
      <w:r>
        <w:pict>
          <v:rect style="width:0;height:1.5pt" o:hralign="center" o:hrstd="t" o:hr="t"/>
        </w:pict>
      </w:r>
    </w:p>
    <w:bookmarkEnd w:id="96"/>
    <w:bookmarkStart w:id="100" w:name="geographic-priorities"/>
    <w:p>
      <w:pPr>
        <w:pStyle w:val="Heading2"/>
      </w:pPr>
      <w:r>
        <w:t xml:space="preserve">10.2 Geographic Priorities</w:t>
      </w:r>
    </w:p>
    <w:bookmarkStart w:id="97" w:name="ekwok-territory"/>
    <w:p>
      <w:pPr>
        <w:pStyle w:val="Heading3"/>
      </w:pPr>
      <w:r>
        <w:t xml:space="preserve">10.2.1 Ekwok Territory</w:t>
      </w:r>
    </w:p>
    <w:p>
      <w:pPr>
        <w:pStyle w:val="FirstParagraph"/>
      </w:pPr>
      <w:r>
        <w:t xml:space="preserve">The mainstem Nushagak near Ekwok receives flow from all upstream tributaries. Water quality monitoring at Ekwok serves as an integrator of upstream conditions. Temperature, dissolved oxygen, and contaminant concentrations at this location reflect conditions in the entire watershed above.</w:t>
      </w:r>
    </w:p>
    <w:p>
      <w:pPr>
        <w:pStyle w:val="BodyText"/>
      </w:pPr>
      <w:r>
        <w:rPr>
          <w:b/>
          <w:bCs/>
        </w:rPr>
        <w:t xml:space="preserve">Monitoring emphasis</w:t>
      </w:r>
      <w:r>
        <w:t xml:space="preserve">: Mainstem chemistry, fish passage, tributary inflows</w:t>
      </w:r>
    </w:p>
    <w:bookmarkEnd w:id="97"/>
    <w:bookmarkStart w:id="98" w:name="koliganek-territory"/>
    <w:p>
      <w:pPr>
        <w:pStyle w:val="Heading3"/>
      </w:pPr>
      <w:r>
        <w:t xml:space="preserve">10.2.2 Koliganek Territory</w:t>
      </w:r>
    </w:p>
    <w:p>
      <w:pPr>
        <w:pStyle w:val="FirstParagraph"/>
      </w:pPr>
      <w:r>
        <w:t xml:space="preserve">The Koliganek River is a major tributary joining the Nushagak from the north. The confluence zone may represent a mixing zone with distinct water quality characteristics. Exploratory data analysis so far suggests that the Koliganek drainage is less monitored than the Upper Nushagak.</w:t>
      </w:r>
    </w:p>
    <w:p>
      <w:pPr>
        <w:pStyle w:val="BodyText"/>
      </w:pPr>
      <w:r>
        <w:rPr>
          <w:b/>
          <w:bCs/>
        </w:rPr>
        <w:t xml:space="preserve">Monitoring emphasis</w:t>
      </w:r>
      <w:r>
        <w:t xml:space="preserve">: Koliganek baseline chemistry</w:t>
      </w:r>
    </w:p>
    <w:bookmarkEnd w:id="98"/>
    <w:bookmarkStart w:id="99" w:name="new-stuyahok-territory"/>
    <w:p>
      <w:pPr>
        <w:pStyle w:val="Heading3"/>
      </w:pPr>
      <w:r>
        <w:t xml:space="preserve">10.2.3 New Stuyahok Territory</w:t>
      </w:r>
    </w:p>
    <w:p>
      <w:pPr>
        <w:pStyle w:val="FirstParagraph"/>
      </w:pPr>
      <w:r>
        <w:t xml:space="preserve">The Mulchatna River is the largest tributary of the Nushagak, contributing significant discharge and ecological complexity. The Mulchatna has historical gold mining activity and present-day development interest.</w:t>
      </w:r>
    </w:p>
    <w:p>
      <w:pPr>
        <w:pStyle w:val="BodyText"/>
      </w:pPr>
      <w:r>
        <w:rPr>
          <w:b/>
          <w:bCs/>
        </w:rPr>
        <w:t xml:space="preserve">Monitoring emphasis</w:t>
      </w:r>
      <w:r>
        <w:t xml:space="preserve">: Metal baseline, geochemistry, headwater conditions</w:t>
      </w:r>
    </w:p>
    <w:p>
      <w:r>
        <w:pict>
          <v:rect style="width:0;height:1.5pt" o:hralign="center" o:hrstd="t" o:hr="t"/>
        </w:pict>
      </w:r>
    </w:p>
    <w:p>
      <w:pPr>
        <w:pStyle w:val="FirstParagraph"/>
      </w:pPr>
      <w:r>
        <w:t xml:space="preserve">Part III explores how monitoring design, data management systems, and QAPP development support these community goals.</w:t>
      </w:r>
    </w:p>
    <w:bookmarkEnd w:id="99"/>
    <w:bookmarkEnd w:id="100"/>
    <w:bookmarkEnd w:id="101"/>
    <w:bookmarkStart w:id="111" w:name="Xf7babe6acc05a1019eca435034f8e00547c5ce3"/>
    <w:p>
      <w:pPr>
        <w:pStyle w:val="Heading1"/>
      </w:pPr>
      <w:r>
        <w:t xml:space="preserve">11. Monitoring Program Design and QAPP Fundamentals</w:t>
      </w:r>
    </w:p>
    <w:bookmarkStart w:id="102" w:name="overview-3"/>
    <w:p>
      <w:pPr>
        <w:pStyle w:val="Heading2"/>
      </w:pPr>
      <w:r>
        <w:t xml:space="preserve">11.1 Overview</w:t>
      </w:r>
    </w:p>
    <w:p>
      <w:pPr>
        <w:pStyle w:val="FirstParagraph"/>
      </w:pPr>
      <w:r>
        <w:t xml:space="preserve">A Quality Assurance Project Plan (QAPP) is the foundational technical document that describes how monitoring data will be collected, managed, and assured to meet defined objectives. For the Nushagak collaborative effort, the QAPP will specify:</w:t>
      </w:r>
    </w:p>
    <w:p>
      <w:pPr>
        <w:pStyle w:val="Compact"/>
        <w:numPr>
          <w:ilvl w:val="0"/>
          <w:numId w:val="1019"/>
        </w:numPr>
      </w:pPr>
      <w:r>
        <w:rPr>
          <w:b/>
          <w:bCs/>
        </w:rPr>
        <w:t xml:space="preserve">Project objectives and data quality objectives (DQOs)</w:t>
      </w:r>
    </w:p>
    <w:p>
      <w:pPr>
        <w:pStyle w:val="Compact"/>
        <w:numPr>
          <w:ilvl w:val="0"/>
          <w:numId w:val="1019"/>
        </w:numPr>
      </w:pPr>
      <w:r>
        <w:rPr>
          <w:b/>
          <w:bCs/>
        </w:rPr>
        <w:t xml:space="preserve">Sampling design</w:t>
      </w:r>
      <w:r>
        <w:t xml:space="preserve">: locations, frequency, and parameters</w:t>
      </w:r>
    </w:p>
    <w:p>
      <w:pPr>
        <w:pStyle w:val="Compact"/>
        <w:numPr>
          <w:ilvl w:val="0"/>
          <w:numId w:val="1019"/>
        </w:numPr>
      </w:pPr>
      <w:r>
        <w:rPr>
          <w:b/>
          <w:bCs/>
        </w:rPr>
        <w:t xml:space="preserve">Standard operating procedures (SOPs)</w:t>
      </w:r>
      <w:r>
        <w:t xml:space="preserve"> </w:t>
      </w:r>
      <w:r>
        <w:t xml:space="preserve">for field and laboratory methods</w:t>
      </w:r>
    </w:p>
    <w:p>
      <w:pPr>
        <w:pStyle w:val="Compact"/>
        <w:numPr>
          <w:ilvl w:val="0"/>
          <w:numId w:val="1019"/>
        </w:numPr>
      </w:pPr>
      <w:r>
        <w:rPr>
          <w:b/>
          <w:bCs/>
        </w:rPr>
        <w:t xml:space="preserve">Quality control and quality assurance</w:t>
      </w:r>
      <w:r>
        <w:t xml:space="preserve"> </w:t>
      </w:r>
      <w:r>
        <w:t xml:space="preserve">protocols</w:t>
      </w:r>
    </w:p>
    <w:p>
      <w:pPr>
        <w:pStyle w:val="Compact"/>
        <w:numPr>
          <w:ilvl w:val="0"/>
          <w:numId w:val="1019"/>
        </w:numPr>
      </w:pPr>
      <w:r>
        <w:rPr>
          <w:b/>
          <w:bCs/>
        </w:rPr>
        <w:t xml:space="preserve">Data management, validation, and archiving procedures</w:t>
      </w:r>
    </w:p>
    <w:p>
      <w:pPr>
        <w:pStyle w:val="Compact"/>
        <w:numPr>
          <w:ilvl w:val="0"/>
          <w:numId w:val="1019"/>
        </w:numPr>
      </w:pPr>
      <w:r>
        <w:rPr>
          <w:b/>
          <w:bCs/>
        </w:rPr>
        <w:t xml:space="preserve">Roles and responsibilities</w:t>
      </w:r>
      <w:r>
        <w:t xml:space="preserve"> </w:t>
      </w:r>
      <w:r>
        <w:t xml:space="preserve">of participating agencies and tribes</w:t>
      </w:r>
    </w:p>
    <w:p>
      <w:r>
        <w:pict>
          <v:rect style="width:0;height:1.5pt" o:hralign="center" o:hrstd="t" o:hr="t"/>
        </w:pict>
      </w:r>
    </w:p>
    <w:bookmarkEnd w:id="102"/>
    <w:bookmarkStart w:id="105" w:name="monitoring-station-selection"/>
    <w:p>
      <w:pPr>
        <w:pStyle w:val="Heading2"/>
      </w:pPr>
      <w:r>
        <w:t xml:space="preserve">11.2 Monitoring Station Selection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C:\Users\Benjamin\AppData\Local\Programs\Quarto\share\formats\docx\important.png" id="104"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Station counts and tiers are not prescribed here</w:t>
            </w:r>
          </w:p>
        </w:tc>
      </w:tr>
      <w:tr>
        <w:trPr>
          <w:cantSplit/>
        </w:trPr>
        <w:tc>
          <w:tcPr>
            <w:tcMar>
              <w:top w:w="108" w:type="dxa"/>
              <w:bottom w:w="108" w:type="dxa"/>
            </w:tcMar>
          </w:tcPr>
          <w:p>
            <w:pPr>
              <w:pStyle w:val="BodyText"/>
            </w:pPr>
            <w:pPr>
              <w:spacing w:before="16" w:after="16"/>
            </w:pPr>
            <w:r>
              <w:t xml:space="preserve">The DQO process referenced in Chapter 8 is the appropriate mechanism for setting station counts, once monitoring objectives and resource constraints are defined with the participating tribes</w:t>
            </w:r>
            <w:r>
              <w:t xml:space="preserve"> </w:t>
            </w:r>
            <w:r>
              <w:t xml:space="preserve">(EPA 2006)</w:t>
            </w:r>
            <w:r>
              <w:t xml:space="preserve">.</w:t>
            </w:r>
          </w:p>
        </w:tc>
      </w:tr>
    </w:tbl>
    <w:p>
      <w:pPr>
        <w:pStyle w:val="BodyText"/>
      </w:pPr>
      <w:r>
        <w:t xml:space="preserve">What can be stated generally, consistent with standard watershed monitoring design, is that stations are typically organized by monitoring purpose rather than placed uniformly:</w:t>
      </w:r>
    </w:p>
    <w:p>
      <w:pPr>
        <w:pStyle w:val="Compact"/>
        <w:numPr>
          <w:ilvl w:val="0"/>
          <w:numId w:val="1020"/>
        </w:numPr>
      </w:pPr>
      <w:r>
        <w:rPr>
          <w:b/>
          <w:bCs/>
        </w:rPr>
        <w:t xml:space="preserve">Integrator stations</w:t>
      </w:r>
      <w:r>
        <w:t xml:space="preserve">: Mainstem or lower-tributary sites that reflect cumulative upstream conditions</w:t>
      </w:r>
    </w:p>
    <w:p>
      <w:pPr>
        <w:pStyle w:val="Compact"/>
        <w:numPr>
          <w:ilvl w:val="0"/>
          <w:numId w:val="1020"/>
        </w:numPr>
      </w:pPr>
      <w:r>
        <w:rPr>
          <w:b/>
          <w:bCs/>
        </w:rPr>
        <w:t xml:space="preserve">Tributary or headwater stations</w:t>
      </w:r>
      <w:r>
        <w:t xml:space="preserve">: Sites targeting sub-basins or reaches identified as data-poor</w:t>
      </w:r>
    </w:p>
    <w:p>
      <w:pPr>
        <w:pStyle w:val="Compact"/>
        <w:numPr>
          <w:ilvl w:val="0"/>
          <w:numId w:val="1020"/>
        </w:numPr>
      </w:pPr>
      <w:r>
        <w:rPr>
          <w:b/>
          <w:bCs/>
        </w:rPr>
        <w:t xml:space="preserve">Special-purpose stations</w:t>
      </w:r>
      <w:r>
        <w:t xml:space="preserve">: Sites targeting a specific concern (e.g., geochemistry near areas of mineral development interest)</w:t>
      </w:r>
    </w:p>
    <w:p>
      <w:pPr>
        <w:pStyle w:val="FirstParagraph"/>
      </w:pPr>
      <w:r>
        <w:t xml:space="preserve">How many stations of each type, and exactly where, depends on the decisions described in Chapter 8 and should be documented with reference to tribal input and the final RFP scope, not fixed in advance here.</w:t>
      </w:r>
    </w:p>
    <w:p>
      <w:r>
        <w:pict>
          <v:rect style="width:0;height:1.5pt" o:hralign="center" o:hrstd="t" o:hr="t"/>
        </w:pict>
      </w:r>
    </w:p>
    <w:bookmarkEnd w:id="105"/>
    <w:bookmarkStart w:id="106" w:name="candidate-parameters-and-rationale"/>
    <w:p>
      <w:pPr>
        <w:pStyle w:val="Heading2"/>
      </w:pPr>
      <w:r>
        <w:t xml:space="preserve">11.3 Candidate Parameters and Rationale</w:t>
      </w:r>
    </w:p>
    <w:p>
      <w:pPr>
        <w:pStyle w:val="FirstParagraph"/>
      </w:pPr>
      <w:r>
        <w:t xml:space="preserve">The parameters below are commonly included in salmon-stream water quality monitoring programs; whether to include each, and at what frequency, is a DQO-process decision. Numeric water quality thresholds (e.g., dissolved oxygen criteria protective of salmon) should be taken directly from EPA’s Aquatic Life Ambient Water Quality Criteria rather than restated informally here, since criteria vary by life stage and exposure duration</w:t>
      </w:r>
      <w:r>
        <w:t xml:space="preserve"> </w:t>
      </w:r>
      <w:r>
        <w:t xml:space="preserve">(EPA 2016)</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Typical Monitoring Approach</w:t>
            </w:r>
          </w:p>
        </w:tc>
        <w:tc>
          <w:tcPr/>
          <w:p>
            <w:pPr>
              <w:pStyle w:val="Compact"/>
            </w:pPr>
            <w:r>
              <w:t xml:space="preserve">Rationale</w:t>
            </w:r>
          </w:p>
        </w:tc>
      </w:tr>
      <w:tr>
        <w:tc>
          <w:tcPr/>
          <w:p>
            <w:pPr>
              <w:pStyle w:val="Compact"/>
            </w:pPr>
            <w:r>
              <w:rPr>
                <w:b/>
                <w:bCs/>
              </w:rPr>
              <w:t xml:space="preserve">Water Temperature</w:t>
            </w:r>
          </w:p>
        </w:tc>
        <w:tc>
          <w:tcPr/>
          <w:p>
            <w:pPr>
              <w:pStyle w:val="Compact"/>
            </w:pPr>
            <w:r>
              <w:t xml:space="preserve">Continuous loggers; grab samples</w:t>
            </w:r>
          </w:p>
        </w:tc>
        <w:tc>
          <w:tcPr/>
          <w:p>
            <w:pPr>
              <w:pStyle w:val="Compact"/>
            </w:pPr>
            <w:r>
              <w:t xml:space="preserve">Salmon thermal habitat; diurnal and seasonal patterns</w:t>
            </w:r>
          </w:p>
        </w:tc>
      </w:tr>
      <w:tr>
        <w:tc>
          <w:tcPr/>
          <w:p>
            <w:pPr>
              <w:pStyle w:val="Compact"/>
            </w:pPr>
            <w:r>
              <w:rPr>
                <w:b/>
                <w:bCs/>
              </w:rPr>
              <w:t xml:space="preserve">Dissolved Oxygen</w:t>
            </w:r>
          </w:p>
        </w:tc>
        <w:tc>
          <w:tcPr/>
          <w:p>
            <w:pPr>
              <w:pStyle w:val="Compact"/>
            </w:pPr>
            <w:r>
              <w:t xml:space="preserve">Continuous loggers</w:t>
            </w:r>
          </w:p>
        </w:tc>
        <w:tc>
          <w:tcPr/>
          <w:p>
            <w:pPr>
              <w:pStyle w:val="Compact"/>
            </w:pPr>
            <w:r>
              <w:t xml:space="preserve">Salmon survival threshold; see EPA aquatic life criteria for life-stage-specific values</w:t>
            </w:r>
            <w:r>
              <w:t xml:space="preserve"> </w:t>
            </w:r>
            <w:r>
              <w:t xml:space="preserve">(EPA 2016)</w:t>
            </w:r>
          </w:p>
        </w:tc>
      </w:tr>
      <w:tr>
        <w:tc>
          <w:tcPr/>
          <w:p>
            <w:pPr>
              <w:pStyle w:val="Compact"/>
            </w:pPr>
            <w:r>
              <w:rPr>
                <w:b/>
                <w:bCs/>
              </w:rPr>
              <w:t xml:space="preserve">pH</w:t>
            </w:r>
          </w:p>
        </w:tc>
        <w:tc>
          <w:tcPr/>
          <w:p>
            <w:pPr>
              <w:pStyle w:val="Compact"/>
            </w:pPr>
            <w:r>
              <w:t xml:space="preserve">Periodic grab samples</w:t>
            </w:r>
          </w:p>
        </w:tc>
        <w:tc>
          <w:tcPr/>
          <w:p>
            <w:pPr>
              <w:pStyle w:val="Compact"/>
            </w:pPr>
            <w:r>
              <w:t xml:space="preserve">Controls trace metal solubility; salmon physiology</w:t>
            </w:r>
          </w:p>
        </w:tc>
      </w:tr>
      <w:tr>
        <w:tc>
          <w:tcPr/>
          <w:p>
            <w:pPr>
              <w:pStyle w:val="Compact"/>
            </w:pPr>
            <w:r>
              <w:rPr>
                <w:b/>
                <w:bCs/>
              </w:rPr>
              <w:t xml:space="preserve">Conductivity</w:t>
            </w:r>
          </w:p>
        </w:tc>
        <w:tc>
          <w:tcPr/>
          <w:p>
            <w:pPr>
              <w:pStyle w:val="Compact"/>
            </w:pPr>
            <w:r>
              <w:t xml:space="preserve">Periodic grab samples</w:t>
            </w:r>
          </w:p>
        </w:tc>
        <w:tc>
          <w:tcPr/>
          <w:p>
            <w:pPr>
              <w:pStyle w:val="Compact"/>
            </w:pPr>
            <w:r>
              <w:t xml:space="preserve">Indicator of mineralization and baseline geochemistry</w:t>
            </w:r>
          </w:p>
        </w:tc>
      </w:tr>
      <w:tr>
        <w:tc>
          <w:tcPr/>
          <w:p>
            <w:pPr>
              <w:pStyle w:val="Compact"/>
            </w:pPr>
            <w:r>
              <w:rPr>
                <w:b/>
                <w:bCs/>
              </w:rPr>
              <w:t xml:space="preserve">Nitrate + Ammonia</w:t>
            </w:r>
          </w:p>
        </w:tc>
        <w:tc>
          <w:tcPr/>
          <w:p>
            <w:pPr>
              <w:pStyle w:val="Compact"/>
            </w:pPr>
            <w:r>
              <w:t xml:space="preserve">Periodic grab, filtered</w:t>
            </w:r>
          </w:p>
        </w:tc>
        <w:tc>
          <w:tcPr/>
          <w:p>
            <w:pPr>
              <w:pStyle w:val="Compact"/>
            </w:pPr>
            <w:r>
              <w:t xml:space="preserve">Primary productivity; salmon nutrient contributions</w:t>
            </w:r>
          </w:p>
        </w:tc>
      </w:tr>
      <w:tr>
        <w:tc>
          <w:tcPr/>
          <w:p>
            <w:pPr>
              <w:pStyle w:val="Compact"/>
            </w:pPr>
            <w:r>
              <w:rPr>
                <w:b/>
                <w:bCs/>
              </w:rPr>
              <w:t xml:space="preserve">Orthophosphate</w:t>
            </w:r>
          </w:p>
        </w:tc>
        <w:tc>
          <w:tcPr/>
          <w:p>
            <w:pPr>
              <w:pStyle w:val="Compact"/>
            </w:pPr>
            <w:r>
              <w:t xml:space="preserve">Periodic grab, filtered</w:t>
            </w:r>
          </w:p>
        </w:tc>
        <w:tc>
          <w:tcPr/>
          <w:p>
            <w:pPr>
              <w:pStyle w:val="Compact"/>
            </w:pPr>
            <w:r>
              <w:t xml:space="preserve">Limiting nutrient in many streams; productivity indicator</w:t>
            </w:r>
          </w:p>
        </w:tc>
      </w:tr>
      <w:tr>
        <w:tc>
          <w:tcPr/>
          <w:p>
            <w:pPr>
              <w:pStyle w:val="Compact"/>
            </w:pPr>
            <w:r>
              <w:rPr>
                <w:b/>
                <w:bCs/>
              </w:rPr>
              <w:t xml:space="preserve">Copper (dissolved/total)</w:t>
            </w:r>
          </w:p>
        </w:tc>
        <w:tc>
          <w:tcPr/>
          <w:p>
            <w:pPr>
              <w:pStyle w:val="Compact"/>
            </w:pPr>
            <w:r>
              <w:t xml:space="preserve">Periodic grab</w:t>
            </w:r>
          </w:p>
        </w:tc>
        <w:tc>
          <w:tcPr/>
          <w:p>
            <w:pPr>
              <w:pStyle w:val="Compact"/>
            </w:pPr>
            <w:r>
              <w:t xml:space="preserve">Mining-related concern; see EPA aquatic life criteria</w:t>
            </w:r>
            <w:r>
              <w:t xml:space="preserve"> </w:t>
            </w:r>
            <w:r>
              <w:t xml:space="preserve">(EPA 2016)</w:t>
            </w:r>
          </w:p>
        </w:tc>
      </w:tr>
      <w:tr>
        <w:tc>
          <w:tcPr/>
          <w:p>
            <w:pPr>
              <w:pStyle w:val="Compact"/>
            </w:pPr>
            <w:r>
              <w:rPr>
                <w:b/>
                <w:bCs/>
              </w:rPr>
              <w:t xml:space="preserve">Zinc, Lead, Cadmium</w:t>
            </w:r>
          </w:p>
        </w:tc>
        <w:tc>
          <w:tcPr/>
          <w:p>
            <w:pPr>
              <w:pStyle w:val="Compact"/>
            </w:pPr>
            <w:r>
              <w:t xml:space="preserve">Periodic grab</w:t>
            </w:r>
          </w:p>
        </w:tc>
        <w:tc>
          <w:tcPr/>
          <w:p>
            <w:pPr>
              <w:pStyle w:val="Compact"/>
            </w:pPr>
            <w:r>
              <w:t xml:space="preserve">Contaminant baseline</w:t>
            </w:r>
          </w:p>
        </w:tc>
      </w:tr>
      <w:tr>
        <w:tc>
          <w:tcPr/>
          <w:p>
            <w:pPr>
              <w:pStyle w:val="Compact"/>
            </w:pPr>
            <w:r>
              <w:rPr>
                <w:b/>
                <w:bCs/>
              </w:rPr>
              <w:t xml:space="preserve">Fish Surveys</w:t>
            </w:r>
          </w:p>
        </w:tc>
        <w:tc>
          <w:tcPr/>
          <w:p>
            <w:pPr>
              <w:pStyle w:val="Compact"/>
            </w:pPr>
            <w:r>
              <w:t xml:space="preserve">Seasonal field observations</w:t>
            </w:r>
          </w:p>
        </w:tc>
        <w:tc>
          <w:tcPr/>
          <w:p>
            <w:pPr>
              <w:pStyle w:val="Compact"/>
            </w:pPr>
            <w:r>
              <w:t xml:space="preserve">Juvenile salmon density, species composition, health</w:t>
            </w:r>
          </w:p>
        </w:tc>
      </w:tr>
      <w:tr>
        <w:tc>
          <w:tcPr/>
          <w:p>
            <w:pPr>
              <w:pStyle w:val="Compact"/>
            </w:pPr>
            <w:r>
              <w:rPr>
                <w:b/>
                <w:bCs/>
              </w:rPr>
              <w:t xml:space="preserve">Macroinvertebrates</w:t>
            </w:r>
          </w:p>
        </w:tc>
        <w:tc>
          <w:tcPr/>
          <w:p>
            <w:pPr>
              <w:pStyle w:val="Compact"/>
            </w:pPr>
            <w:r>
              <w:t xml:space="preserve">Periodic kick-net sampling</w:t>
            </w:r>
          </w:p>
        </w:tc>
        <w:tc>
          <w:tcPr/>
          <w:p>
            <w:pPr>
              <w:pStyle w:val="Compact"/>
            </w:pPr>
            <w:r>
              <w:t xml:space="preserve">Bioassessment; community response to water quality</w:t>
            </w:r>
          </w:p>
        </w:tc>
      </w:tr>
    </w:tbl>
    <w:p>
      <w:pPr>
        <w:pStyle w:val="BodyText"/>
      </w:pPr>
      <w:r>
        <w:t xml:space="preserve">Exact sampling frequencies (monthly, quarterly, etc.) are a design decision pending the DQO process; placeholders above have been replaced with</w:t>
      </w:r>
      <w:r>
        <w:t xml:space="preserve"> </w:t>
      </w:r>
      <w:r>
        <w:t xml:space="preserve">“periodic”</w:t>
      </w:r>
      <w:r>
        <w:t xml:space="preserve"> </w:t>
      </w:r>
      <w:r>
        <w:t xml:space="preserve">and</w:t>
      </w:r>
      <w:r>
        <w:t xml:space="preserve"> </w:t>
      </w:r>
      <w:r>
        <w:t xml:space="preserve">“continuous”</w:t>
      </w:r>
      <w:r>
        <w:t xml:space="preserve"> </w:t>
      </w:r>
      <w:r>
        <w:t xml:space="preserve">to avoid presenting unverified choices as recommendations.</w:t>
      </w:r>
    </w:p>
    <w:p>
      <w:r>
        <w:pict>
          <v:rect style="width:0;height:1.5pt" o:hralign="center" o:hrstd="t" o:hr="t"/>
        </w:pict>
      </w:r>
    </w:p>
    <w:bookmarkEnd w:id="106"/>
    <w:bookmarkStart w:id="107" w:name="quality-objectives"/>
    <w:p>
      <w:pPr>
        <w:pStyle w:val="Heading2"/>
      </w:pPr>
      <w:r>
        <w:t xml:space="preserve">11.4 Quality Objectives</w:t>
      </w:r>
    </w:p>
    <w:p>
      <w:pPr>
        <w:pStyle w:val="FirstParagraph"/>
      </w:pPr>
      <w:r>
        <w:t xml:space="preserve">EPA’s QA/G-5 guidance structures data quality objectives around five categories, commonly abbreviated PARCC: precision, accuracy, representativeness, completeness, and comparability</w:t>
      </w:r>
      <w:r>
        <w:t xml:space="preserve"> </w:t>
      </w:r>
      <w:r>
        <w:t xml:space="preserve">(EPA 2001)</w:t>
      </w:r>
      <w:r>
        <w:t xml:space="preserve">. The specific numeric acceptance criteria for each (e.g., acceptable precision as relative standard deviation, minimum completeness percentage) are program-specific and should be set in the QAPP itself, in consultation with the laboratory and agencies involved, rather than assumed here. The categories are:</w:t>
      </w:r>
    </w:p>
    <w:p>
      <w:pPr>
        <w:pStyle w:val="Compact"/>
        <w:numPr>
          <w:ilvl w:val="0"/>
          <w:numId w:val="1021"/>
        </w:numPr>
      </w:pPr>
      <w:r>
        <w:rPr>
          <w:b/>
          <w:bCs/>
        </w:rPr>
        <w:t xml:space="preserve">Accuracy</w:t>
      </w:r>
      <w:r>
        <w:t xml:space="preserve">: How closely a measurement matches the true value; addressed via calibrated instruments, standard methods, and analytical QC (blanks, duplicates, standards)</w:t>
      </w:r>
    </w:p>
    <w:p>
      <w:pPr>
        <w:pStyle w:val="Compact"/>
        <w:numPr>
          <w:ilvl w:val="0"/>
          <w:numId w:val="1021"/>
        </w:numPr>
      </w:pPr>
      <w:r>
        <w:rPr>
          <w:b/>
          <w:bCs/>
        </w:rPr>
        <w:t xml:space="preserve">Precision</w:t>
      </w:r>
      <w:r>
        <w:t xml:space="preserve">: Reproducibility of repeated measurements; addressed via replicate samples</w:t>
      </w:r>
    </w:p>
    <w:p>
      <w:pPr>
        <w:pStyle w:val="Compact"/>
        <w:numPr>
          <w:ilvl w:val="0"/>
          <w:numId w:val="1021"/>
        </w:numPr>
      </w:pPr>
      <w:r>
        <w:rPr>
          <w:b/>
          <w:bCs/>
        </w:rPr>
        <w:t xml:space="preserve">Completeness</w:t>
      </w:r>
      <w:r>
        <w:t xml:space="preserve">: The proportion of planned, valid measurements actually obtained</w:t>
      </w:r>
    </w:p>
    <w:p>
      <w:pPr>
        <w:pStyle w:val="Compact"/>
        <w:numPr>
          <w:ilvl w:val="0"/>
          <w:numId w:val="1021"/>
        </w:numPr>
      </w:pPr>
      <w:r>
        <w:rPr>
          <w:b/>
          <w:bCs/>
        </w:rPr>
        <w:t xml:space="preserve">Representativeness</w:t>
      </w:r>
      <w:r>
        <w:t xml:space="preserve">: Whether samples reflect the actual conditions of interest, in time, depth, and location</w:t>
      </w:r>
    </w:p>
    <w:p>
      <w:pPr>
        <w:pStyle w:val="Compact"/>
        <w:numPr>
          <w:ilvl w:val="0"/>
          <w:numId w:val="1021"/>
        </w:numPr>
      </w:pPr>
      <w:r>
        <w:rPr>
          <w:b/>
          <w:bCs/>
        </w:rPr>
        <w:t xml:space="preserve">Comparability</w:t>
      </w:r>
      <w:r>
        <w:t xml:space="preserve">: Whether results can be meaningfully compared across sites, times, and agencies, via standard units and methods</w:t>
      </w:r>
    </w:p>
    <w:p>
      <w:r>
        <w:pict>
          <v:rect style="width:0;height:1.5pt" o:hralign="center" o:hrstd="t" o:hr="t"/>
        </w:pict>
      </w:r>
    </w:p>
    <w:bookmarkEnd w:id="107"/>
    <w:bookmarkStart w:id="108" w:name="existing-field-protocols-to-draw-on"/>
    <w:p>
      <w:pPr>
        <w:pStyle w:val="Heading2"/>
      </w:pPr>
      <w:r>
        <w:t xml:space="preserve">11.5 Existing Field Protocols to Draw On</w:t>
      </w:r>
    </w:p>
    <w:p>
      <w:pPr>
        <w:pStyle w:val="FirstParagraph"/>
      </w:pPr>
      <w:r>
        <w:t xml:space="preserve">Rather than develop field methods from scratch, the QAPP should adopt established agency protocols already in use for similar salmon-stream monitoring in Alaska:</w:t>
      </w:r>
    </w:p>
    <w:p>
      <w:pPr>
        <w:pStyle w:val="Compact"/>
        <w:numPr>
          <w:ilvl w:val="0"/>
          <w:numId w:val="1022"/>
        </w:numPr>
      </w:pPr>
      <w:r>
        <w:rPr>
          <w:b/>
          <w:bCs/>
        </w:rPr>
        <w:t xml:space="preserve">Sample collection</w:t>
      </w:r>
      <w:r>
        <w:t xml:space="preserve">: USGS’s National Field Manual (Book 9) describes Equal-Width-Increment and Equal-Discharge-Increment depth-integrated sampling for cross-sectional collection on wide channels such as the Nushagak and Mulchatna mainstems, along with parameter stabilization criteria before recording discrete field values (e.g., temperature within ±0.2°C, pH within ±0.1 units, dissolved oxygen within ±0.2 mg/L)</w:t>
      </w:r>
      <w:r>
        <w:t xml:space="preserve"> </w:t>
      </w:r>
      <w:r>
        <w:t xml:space="preserve">(USGS 2006)</w:t>
      </w:r>
      <w:r>
        <w:t xml:space="preserve">.</w:t>
      </w:r>
    </w:p>
    <w:p>
      <w:pPr>
        <w:pStyle w:val="Compact"/>
        <w:numPr>
          <w:ilvl w:val="0"/>
          <w:numId w:val="1022"/>
        </w:numPr>
      </w:pPr>
      <w:r>
        <w:rPr>
          <w:b/>
          <w:bCs/>
        </w:rPr>
        <w:t xml:space="preserve">Sonde calibration</w:t>
      </w:r>
      <w:r>
        <w:t xml:space="preserve">: Multi-parameter sondes (e.g., YSI EXO, Hydrolab) are typically calibrated with a 2-point pH buffer check (pH 7.0 and 10.0) and a 100%-air-saturation dissolved oxygen calibration, consistent with EPA field monitoring protocols for continuous and discrete sonde deployment.</w:t>
      </w:r>
    </w:p>
    <w:p>
      <w:pPr>
        <w:pStyle w:val="Compact"/>
        <w:numPr>
          <w:ilvl w:val="0"/>
          <w:numId w:val="1022"/>
        </w:numPr>
      </w:pPr>
      <w:r>
        <w:rPr>
          <w:b/>
          <w:bCs/>
        </w:rPr>
        <w:t xml:space="preserve">Continuous temperature logging</w:t>
      </w:r>
      <w:r>
        <w:t xml:space="preserve">: The Stream Temperature Data Collection Standards and Protocol for Alaska, developed by Cook Inletkeeper and the Alaska Natural Heritage Program with agency partners, specifies pre- and post-deployment accuracy checks against a 0°C ice-water bath and a room-temperature bath referenced to a NIST-certified thermometer (±0.2°C tolerance), with hourly continuous logging</w:t>
      </w:r>
      <w:r>
        <w:t xml:space="preserve"> </w:t>
      </w:r>
      <w:r>
        <w:t xml:space="preserve">(Cook Inletkeeper and Alaska Natural Heritage Program, n.d.)</w:t>
      </w:r>
      <w:r>
        <w:t xml:space="preserve">.</w:t>
      </w:r>
    </w:p>
    <w:p>
      <w:pPr>
        <w:pStyle w:val="Compact"/>
        <w:numPr>
          <w:ilvl w:val="0"/>
          <w:numId w:val="1022"/>
        </w:numPr>
      </w:pPr>
      <w:r>
        <w:rPr>
          <w:b/>
          <w:bCs/>
        </w:rPr>
        <w:t xml:space="preserve">QAPP structure</w:t>
      </w:r>
      <w:r>
        <w:t xml:space="preserve">: EPA Region 10’s Tier 2 tribal QAPP guidance under Clean Water Act Sections 106 and 319 provides the structural template for defining data quality objectives, and the Alaska DEC Division of Water’s generic QAPP template, already approved by EPA Region 10, covers the required EPA QAPP elements adapted to Alaska field logistics</w:t>
      </w:r>
      <w:r>
        <w:t xml:space="preserve"> </w:t>
      </w:r>
      <w:r>
        <w:t xml:space="preserve">(EPA Region 10, n.d.; Alaska Department of Environmental Conservation, n.d.)</w:t>
      </w:r>
      <w:r>
        <w:t xml:space="preserve">.</w:t>
      </w:r>
    </w:p>
    <w:p>
      <w:pPr>
        <w:pStyle w:val="FirstParagraph"/>
      </w:pPr>
      <w:r>
        <w:t xml:space="preserve">Adopting these existing, agency-vetted protocols rather than writing new ones reduces QAPP review time with EPA Region 10 and makes resulting data directly comparable to other Alaska salmon-stream datasets already in WQP and NWIS.</w:t>
      </w:r>
    </w:p>
    <w:p>
      <w:r>
        <w:pict>
          <v:rect style="width:0;height:1.5pt" o:hralign="center" o:hrstd="t" o:hr="t"/>
        </w:pict>
      </w:r>
    </w:p>
    <w:bookmarkEnd w:id="108"/>
    <w:bookmarkStart w:id="109" w:name="electronic-data-collection"/>
    <w:p>
      <w:pPr>
        <w:pStyle w:val="Heading2"/>
      </w:pPr>
      <w:r>
        <w:t xml:space="preserve">11.6 Electronic Data Collection</w:t>
      </w:r>
    </w:p>
    <w:p>
      <w:pPr>
        <w:pStyle w:val="FirstParagraph"/>
      </w:pPr>
      <w:r>
        <w:t xml:space="preserve">Modern electronic field data entry systems (e.g., Survey123, Field Maps) allow:</w:t>
      </w:r>
    </w:p>
    <w:p>
      <w:pPr>
        <w:pStyle w:val="Compact"/>
        <w:numPr>
          <w:ilvl w:val="0"/>
          <w:numId w:val="1023"/>
        </w:numPr>
      </w:pPr>
      <w:r>
        <w:t xml:space="preserve">Real-time data validation (range checks, missing value alerts)</w:t>
      </w:r>
    </w:p>
    <w:p>
      <w:pPr>
        <w:pStyle w:val="Compact"/>
        <w:numPr>
          <w:ilvl w:val="0"/>
          <w:numId w:val="1023"/>
        </w:numPr>
      </w:pPr>
      <w:r>
        <w:t xml:space="preserve">Automatic QC flags (e.g., temperature outside seasonal norms)</w:t>
      </w:r>
    </w:p>
    <w:p>
      <w:pPr>
        <w:pStyle w:val="Compact"/>
        <w:numPr>
          <w:ilvl w:val="0"/>
          <w:numId w:val="1023"/>
        </w:numPr>
      </w:pPr>
      <w:r>
        <w:t xml:space="preserve">Reduced transcription errors</w:t>
      </w:r>
    </w:p>
    <w:p>
      <w:pPr>
        <w:pStyle w:val="Compact"/>
        <w:numPr>
          <w:ilvl w:val="0"/>
          <w:numId w:val="1023"/>
        </w:numPr>
      </w:pPr>
      <w:r>
        <w:t xml:space="preserve">Immediate upload to centralized database</w:t>
      </w:r>
    </w:p>
    <w:p>
      <w:pPr>
        <w:pStyle w:val="FirstParagraph"/>
      </w:pPr>
      <w:r>
        <w:t xml:space="preserve">ESRI Survey123 or Field Maps is a practical choice for this setting: it operates offline on tablets in areas without cellular service, which covers most of the Nushagak drainage, and can connect field observations, calibration logs, site photos, and chain-of-custody metadata directly into ArcGIS Online once a connection is available. The form schema should use column and characteristic naming aligned with EPA’s Water Quality eXchange (WQX) standard so that field data move into WQP submission without relabeling.</w:t>
      </w:r>
    </w:p>
    <w:p>
      <w:pPr>
        <w:pStyle w:val="BodyText"/>
      </w:pPr>
      <w:r>
        <w:t xml:space="preserve">A workflow diagram showing field data collection → validation → archiving should be included in the full QAPP.</w:t>
      </w:r>
    </w:p>
    <w:p>
      <w:r>
        <w:pict>
          <v:rect style="width:0;height:1.5pt" o:hralign="center" o:hrstd="t" o:hr="t"/>
        </w:pict>
      </w:r>
    </w:p>
    <w:bookmarkEnd w:id="109"/>
    <w:bookmarkStart w:id="110" w:name="community-training-and-capacity-building"/>
    <w:p>
      <w:pPr>
        <w:pStyle w:val="Heading2"/>
      </w:pPr>
      <w:r>
        <w:t xml:space="preserve">11.7 Community Training and Capacity Building</w:t>
      </w:r>
    </w:p>
    <w:p>
      <w:pPr>
        <w:pStyle w:val="FirstParagraph"/>
      </w:pPr>
      <w:r>
        <w:t xml:space="preserve">The QAPP should include a training component:</w:t>
      </w:r>
    </w:p>
    <w:p>
      <w:pPr>
        <w:pStyle w:val="Compact"/>
        <w:numPr>
          <w:ilvl w:val="0"/>
          <w:numId w:val="1024"/>
        </w:numPr>
      </w:pPr>
      <w:r>
        <w:rPr>
          <w:b/>
          <w:bCs/>
        </w:rPr>
        <w:t xml:space="preserve">Water Technician Training</w:t>
      </w:r>
      <w:r>
        <w:t xml:space="preserve">: Field sampling methods, equipment operation, safety, data quality</w:t>
      </w:r>
    </w:p>
    <w:p>
      <w:pPr>
        <w:pStyle w:val="Compact"/>
        <w:numPr>
          <w:ilvl w:val="0"/>
          <w:numId w:val="1024"/>
        </w:numPr>
      </w:pPr>
      <w:r>
        <w:rPr>
          <w:b/>
          <w:bCs/>
        </w:rPr>
        <w:t xml:space="preserve">Data Management Training</w:t>
      </w:r>
      <w:r>
        <w:t xml:space="preserve">: Database entry, QC protocols, data security</w:t>
      </w:r>
    </w:p>
    <w:p>
      <w:pPr>
        <w:pStyle w:val="Compact"/>
        <w:numPr>
          <w:ilvl w:val="0"/>
          <w:numId w:val="1024"/>
        </w:numPr>
      </w:pPr>
      <w:r>
        <w:rPr>
          <w:b/>
          <w:bCs/>
        </w:rPr>
        <w:t xml:space="preserve">Interpretation and Communication</w:t>
      </w:r>
      <w:r>
        <w:t xml:space="preserve">: Results translation to community managers and leadership</w:t>
      </w:r>
    </w:p>
    <w:p>
      <w:r>
        <w:pict>
          <v:rect style="width:0;height:1.5pt" o:hralign="center" o:hrstd="t" o:hr="t"/>
        </w:pict>
      </w:r>
    </w:p>
    <w:p>
      <w:pPr>
        <w:pStyle w:val="FirstParagraph"/>
      </w:pPr>
      <w:r>
        <w:t xml:space="preserve">The next chapter describes data management infrastructure and visualization systems.</w:t>
      </w:r>
    </w:p>
    <w:bookmarkEnd w:id="110"/>
    <w:bookmarkEnd w:id="111"/>
    <w:bookmarkStart w:id="129" w:name="X523d883282acf7f275f120c6a0004a484e86945"/>
    <w:p>
      <w:pPr>
        <w:pStyle w:val="Heading1"/>
      </w:pPr>
      <w:r>
        <w:t xml:space="preserve">12. Data Management and Visualization Systems</w:t>
      </w:r>
    </w:p>
    <w:bookmarkStart w:id="112" w:name="overview-4"/>
    <w:p>
      <w:pPr>
        <w:pStyle w:val="Heading2"/>
      </w:pPr>
      <w:r>
        <w:t xml:space="preserve">12.1 Overview</w:t>
      </w:r>
    </w:p>
    <w:p>
      <w:pPr>
        <w:pStyle w:val="FirstParagraph"/>
      </w:pPr>
      <w:r>
        <w:t xml:space="preserve">The RFP’s second goal emphasizes establishing systems for secure storage, quality assurance, visualization, and sharing of environmental data. A functional data management system is essential for:</w:t>
      </w:r>
    </w:p>
    <w:p>
      <w:pPr>
        <w:pStyle w:val="Compact"/>
        <w:numPr>
          <w:ilvl w:val="0"/>
          <w:numId w:val="1025"/>
        </w:numPr>
      </w:pPr>
      <w:r>
        <w:t xml:space="preserve">Consolidating monitoring data from three separate tribes into a unified database</w:t>
      </w:r>
    </w:p>
    <w:p>
      <w:pPr>
        <w:pStyle w:val="Compact"/>
        <w:numPr>
          <w:ilvl w:val="0"/>
          <w:numId w:val="1025"/>
        </w:numPr>
      </w:pPr>
      <w:r>
        <w:t xml:space="preserve">Ensuring data quality and traceability (QA/QC audit trails)</w:t>
      </w:r>
    </w:p>
    <w:p>
      <w:pPr>
        <w:pStyle w:val="Compact"/>
        <w:numPr>
          <w:ilvl w:val="0"/>
          <w:numId w:val="1025"/>
        </w:numPr>
      </w:pPr>
      <w:r>
        <w:t xml:space="preserve">Making results accessible to tribal leadership, regulators, and community members</w:t>
      </w:r>
    </w:p>
    <w:p>
      <w:pPr>
        <w:pStyle w:val="Compact"/>
        <w:numPr>
          <w:ilvl w:val="0"/>
          <w:numId w:val="1025"/>
        </w:numPr>
      </w:pPr>
      <w:r>
        <w:t xml:space="preserve">Supporting long-term trend analysis and decision-making</w:t>
      </w:r>
    </w:p>
    <w:p>
      <w:r>
        <w:pict>
          <v:rect style="width:0;height:1.5pt" o:hralign="center" o:hrstd="t" o:hr="t"/>
        </w:pict>
      </w:r>
    </w:p>
    <w:bookmarkEnd w:id="112"/>
    <w:bookmarkStart w:id="113" w:name="data-workflow-architecture"/>
    <w:p>
      <w:pPr>
        <w:pStyle w:val="Heading2"/>
      </w:pPr>
      <w:r>
        <w:t xml:space="preserve">12.2 Data Workflow Architecture</w:t>
      </w:r>
    </w:p>
    <w:p>
      <w:pPr>
        <w:pStyle w:val="FirstParagraph"/>
      </w:pPr>
      <w:r>
        <w:t xml:space="preserve">A typical workflow includes:</w:t>
      </w:r>
    </w:p>
    <w:p>
      <w:pPr>
        <w:pStyle w:val="SourceCode"/>
      </w:pPr>
      <w:r>
        <w:rPr>
          <w:rStyle w:val="VerbatimChar"/>
        </w:rPr>
        <w:t xml:space="preserve">Field Data Collection</w:t>
      </w:r>
      <w:r>
        <w:br/>
      </w:r>
      <w:r>
        <w:rPr>
          <w:rStyle w:val="VerbatimChar"/>
        </w:rPr>
        <w:t xml:space="preserve">    ↓</w:t>
      </w:r>
      <w:r>
        <w:br/>
      </w:r>
      <w:r>
        <w:rPr>
          <w:rStyle w:val="VerbatimChar"/>
        </w:rPr>
        <w:t xml:space="preserve">Electronic Entry (ESRI Survey123 or Field Maps)</w:t>
      </w:r>
      <w:r>
        <w:br/>
      </w:r>
      <w:r>
        <w:rPr>
          <w:rStyle w:val="VerbatimChar"/>
        </w:rPr>
        <w:t xml:space="preserve">    ↓</w:t>
      </w:r>
      <w:r>
        <w:br/>
      </w:r>
      <w:r>
        <w:rPr>
          <w:rStyle w:val="VerbatimChar"/>
        </w:rPr>
        <w:t xml:space="preserve">Automated Validation &amp; QC Flagging</w:t>
      </w:r>
      <w:r>
        <w:br/>
      </w:r>
      <w:r>
        <w:rPr>
          <w:rStyle w:val="VerbatimChar"/>
        </w:rPr>
        <w:t xml:space="preserve">    ↓</w:t>
      </w:r>
      <w:r>
        <w:br/>
      </w:r>
      <w:r>
        <w:rPr>
          <w:rStyle w:val="VerbatimChar"/>
        </w:rPr>
        <w:t xml:space="preserve">Human Review &amp; Approval</w:t>
      </w:r>
      <w:r>
        <w:br/>
      </w:r>
      <w:r>
        <w:rPr>
          <w:rStyle w:val="VerbatimChar"/>
        </w:rPr>
        <w:t xml:space="preserve">    ↓</w:t>
      </w:r>
      <w:r>
        <w:br/>
      </w:r>
      <w:r>
        <w:rPr>
          <w:rStyle w:val="VerbatimChar"/>
        </w:rPr>
        <w:t xml:space="preserve">Database Storage (ArcGIS Online)</w:t>
      </w:r>
      <w:r>
        <w:br/>
      </w:r>
      <w:r>
        <w:rPr>
          <w:rStyle w:val="VerbatimChar"/>
        </w:rPr>
        <w:t xml:space="preserve">    ↓</w:t>
      </w:r>
      <w:r>
        <w:br/>
      </w:r>
      <w:r>
        <w:rPr>
          <w:rStyle w:val="VerbatimChar"/>
        </w:rPr>
        <w:t xml:space="preserve">Data Visualization (web report) &amp; Sharing (EPA CDX respoitory)</w:t>
      </w:r>
      <w:r>
        <w:br/>
      </w:r>
      <w:r>
        <w:rPr>
          <w:rStyle w:val="VerbatimChar"/>
        </w:rPr>
        <w:t xml:space="preserve">    ↓</w:t>
      </w:r>
      <w:r>
        <w:br/>
      </w:r>
      <w:r>
        <w:rPr>
          <w:rStyle w:val="VerbatimChar"/>
        </w:rPr>
        <w:t xml:space="preserve">Archival &amp; Backup (local servers)</w:t>
      </w:r>
    </w:p>
    <w:p>
      <w:r>
        <w:pict>
          <v:rect style="width:0;height:1.5pt" o:hralign="center" o:hrstd="t" o:hr="t"/>
        </w:pict>
      </w:r>
    </w:p>
    <w:bookmarkEnd w:id="113"/>
    <w:bookmarkStart w:id="118" w:name="database-design"/>
    <w:p>
      <w:pPr>
        <w:pStyle w:val="Heading2"/>
      </w:pPr>
      <w:r>
        <w:t xml:space="preserve">12.3 Database Design</w:t>
      </w:r>
    </w:p>
    <w:bookmarkStart w:id="114" w:name="schema-considerations"/>
    <w:p>
      <w:pPr>
        <w:pStyle w:val="Heading3"/>
      </w:pPr>
      <w:r>
        <w:t xml:space="preserve">12.3.1 Schema Considerations</w:t>
      </w:r>
    </w:p>
    <w:p>
      <w:pPr>
        <w:pStyle w:val="FirstParagraph"/>
      </w:pPr>
      <w:r>
        <w:t xml:space="preserve">The database should store:</w:t>
      </w:r>
    </w:p>
    <w:p>
      <w:pPr>
        <w:pStyle w:val="Compact"/>
        <w:numPr>
          <w:ilvl w:val="0"/>
          <w:numId w:val="1026"/>
        </w:numPr>
      </w:pPr>
      <w:r>
        <w:rPr>
          <w:b/>
          <w:bCs/>
        </w:rPr>
        <w:t xml:space="preserve">Site Information</w:t>
      </w:r>
      <w:r>
        <w:t xml:space="preserve">: Name, location (lat/lon), HUC, river/tributary, elevation, accessibility</w:t>
      </w:r>
    </w:p>
    <w:p>
      <w:pPr>
        <w:pStyle w:val="Compact"/>
        <w:numPr>
          <w:ilvl w:val="0"/>
          <w:numId w:val="1026"/>
        </w:numPr>
      </w:pPr>
      <w:r>
        <w:rPr>
          <w:b/>
          <w:bCs/>
        </w:rPr>
        <w:t xml:space="preserve">Sample Events</w:t>
      </w:r>
      <w:r>
        <w:t xml:space="preserve">: Date, time, observer, field conditions, notes</w:t>
      </w:r>
    </w:p>
    <w:p>
      <w:pPr>
        <w:pStyle w:val="Compact"/>
        <w:numPr>
          <w:ilvl w:val="0"/>
          <w:numId w:val="1026"/>
        </w:numPr>
      </w:pPr>
      <w:r>
        <w:rPr>
          <w:b/>
          <w:bCs/>
        </w:rPr>
        <w:t xml:space="preserve">Measurements</w:t>
      </w:r>
      <w:r>
        <w:t xml:space="preserve">: Parameter, value, unit, detection limit, method, laboratory (if applicable)</w:t>
      </w:r>
    </w:p>
    <w:p>
      <w:pPr>
        <w:pStyle w:val="Compact"/>
        <w:numPr>
          <w:ilvl w:val="0"/>
          <w:numId w:val="1026"/>
        </w:numPr>
      </w:pPr>
      <w:r>
        <w:rPr>
          <w:b/>
          <w:bCs/>
        </w:rPr>
        <w:t xml:space="preserve">QA/QC Data</w:t>
      </w:r>
      <w:r>
        <w:t xml:space="preserve">: Blanks, duplicates, standards, reference samples, flag comments</w:t>
      </w:r>
    </w:p>
    <w:p>
      <w:pPr>
        <w:pStyle w:val="FirstParagraph"/>
      </w:pPr>
      <w:r>
        <w:t xml:space="preserve">The database template should use standardized column names identical to those in use in the destination repository (e.g. EPA CDX), following EPA’s Water Quality eXchange (WQX) data standards for monitoring location identifiers, activity types, characteristic names, measurement units, and analytical methods. Designing the mobile field form and the database schema around WQX naming from the outset avoids a later relabeling step before WQP submission.</w:t>
      </w:r>
    </w:p>
    <w:bookmarkEnd w:id="114"/>
    <w:bookmarkStart w:id="115" w:name="technology-options"/>
    <w:p>
      <w:pPr>
        <w:pStyle w:val="Heading3"/>
      </w:pPr>
      <w:r>
        <w:t xml:space="preserve">12.3.2 Technology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Pros</w:t>
            </w:r>
          </w:p>
        </w:tc>
        <w:tc>
          <w:tcPr/>
          <w:p>
            <w:pPr>
              <w:pStyle w:val="Compact"/>
            </w:pPr>
            <w:r>
              <w:t xml:space="preserve">Cons</w:t>
            </w:r>
          </w:p>
        </w:tc>
        <w:tc>
          <w:tcPr/>
          <w:p>
            <w:pPr>
              <w:pStyle w:val="Compact"/>
            </w:pPr>
            <w:r>
              <w:t xml:space="preserve">Fit</w:t>
            </w:r>
          </w:p>
        </w:tc>
      </w:tr>
      <w:tr>
        <w:tc>
          <w:tcPr/>
          <w:p>
            <w:pPr>
              <w:pStyle w:val="Compact"/>
            </w:pPr>
            <w:r>
              <w:rPr>
                <w:b/>
                <w:bCs/>
              </w:rPr>
              <w:t xml:space="preserve">ArcGIS Online</w:t>
            </w:r>
          </w:p>
        </w:tc>
        <w:tc>
          <w:tcPr/>
          <w:p>
            <w:pPr>
              <w:pStyle w:val="Compact"/>
            </w:pPr>
            <w:r>
              <w:t xml:space="preserve">Intuitive; ESRI support; hosted</w:t>
            </w:r>
          </w:p>
        </w:tc>
        <w:tc>
          <w:tcPr/>
          <w:p>
            <w:pPr>
              <w:pStyle w:val="Compact"/>
            </w:pPr>
            <w:r>
              <w:t xml:space="preserve">License cost; less customizable</w:t>
            </w:r>
          </w:p>
        </w:tc>
        <w:tc>
          <w:tcPr/>
          <w:p>
            <w:pPr>
              <w:pStyle w:val="Compact"/>
            </w:pPr>
            <w:r>
              <w:t xml:space="preserve">Good for visualization-focused systems</w:t>
            </w:r>
          </w:p>
        </w:tc>
      </w:tr>
      <w:tr>
        <w:tc>
          <w:tcPr/>
          <w:p>
            <w:pPr>
              <w:pStyle w:val="Compact"/>
            </w:pPr>
            <w:r>
              <w:rPr>
                <w:b/>
                <w:bCs/>
              </w:rPr>
              <w:t xml:space="preserve">Google Sheets + Shiny</w:t>
            </w:r>
          </w:p>
        </w:tc>
        <w:tc>
          <w:tcPr/>
          <w:p>
            <w:pPr>
              <w:pStyle w:val="Compact"/>
            </w:pPr>
            <w:r>
              <w:t xml:space="preserve">Low cost; familiar to many</w:t>
            </w:r>
          </w:p>
        </w:tc>
        <w:tc>
          <w:tcPr/>
          <w:p>
            <w:pPr>
              <w:pStyle w:val="Compact"/>
            </w:pPr>
            <w:r>
              <w:t xml:space="preserve">Limited scalability; security concerns</w:t>
            </w:r>
          </w:p>
        </w:tc>
        <w:tc>
          <w:tcPr/>
          <w:p>
            <w:pPr>
              <w:pStyle w:val="Compact"/>
            </w:pPr>
            <w:r>
              <w:t xml:space="preserve">Suitable for pilot phase</w:t>
            </w:r>
          </w:p>
        </w:tc>
      </w:tr>
      <w:tr>
        <w:tc>
          <w:tcPr/>
          <w:p>
            <w:pPr>
              <w:pStyle w:val="Compact"/>
            </w:pPr>
            <w:r>
              <w:rPr>
                <w:b/>
                <w:bCs/>
              </w:rPr>
              <w:t xml:space="preserve">EPA TADA Framework</w:t>
            </w:r>
          </w:p>
        </w:tc>
        <w:tc>
          <w:tcPr/>
          <w:p>
            <w:pPr>
              <w:pStyle w:val="Compact"/>
            </w:pPr>
            <w:r>
              <w:t xml:space="preserve">Free and open-source; WQX-certified; integrated QA/QC; national visibility</w:t>
            </w:r>
          </w:p>
        </w:tc>
        <w:tc>
          <w:tcPr/>
          <w:p>
            <w:pPr>
              <w:pStyle w:val="Compact"/>
            </w:pPr>
            <w:r>
              <w:t xml:space="preserve">Requires R knowledge; WQP-specific (not other data sources)</w:t>
            </w:r>
          </w:p>
        </w:tc>
        <w:tc>
          <w:tcPr/>
          <w:p>
            <w:pPr>
              <w:pStyle w:val="Compact"/>
            </w:pPr>
            <w:r>
              <w:t xml:space="preserve">Excellent for data validation and submission workflow</w:t>
            </w:r>
          </w:p>
        </w:tc>
      </w:tr>
    </w:tbl>
    <w:bookmarkEnd w:id="115"/>
    <w:bookmarkStart w:id="116" w:name="X0bf102785cf653849cd4d5cfeb4ccc4b5ed125d"/>
    <w:p>
      <w:pPr>
        <w:pStyle w:val="Heading3"/>
      </w:pPr>
      <w:r>
        <w:t xml:space="preserve">12.3.3 Data Validation and WQP Submission: TADA Framework</w:t>
      </w:r>
    </w:p>
    <w:p>
      <w:pPr>
        <w:pStyle w:val="FirstParagraph"/>
      </w:pPr>
      <w:r>
        <w:t xml:space="preserve">The EPA’s</w:t>
      </w:r>
      <w:r>
        <w:t xml:space="preserve"> </w:t>
      </w:r>
      <w:r>
        <w:rPr>
          <w:b/>
          <w:bCs/>
        </w:rPr>
        <w:t xml:space="preserve">Tools for Automated Data Analysis (TADA)</w:t>
      </w:r>
      <w:r>
        <w:t xml:space="preserve"> </w:t>
      </w:r>
      <w:r>
        <w:t xml:space="preserve">is a free, open-source toolkit specifically designed for organizations submitting water quality data to the EPA Water Quality Portal (WQP).</w:t>
      </w:r>
    </w:p>
    <w:p>
      <w:pPr>
        <w:pStyle w:val="BodyText"/>
      </w:pPr>
      <w:r>
        <w:t xml:space="preserve">TADA can be used either as a web-based interface (no coding required) or as an R package (</w:t>
      </w:r>
      <w:r>
        <w:rPr>
          <w:rStyle w:val="VerbatimChar"/>
        </w:rPr>
        <w:t xml:space="preserve">EPATADA</w:t>
      </w:r>
      <w:r>
        <w:t xml:space="preserve">) for integration into custom workflows. For the Nushagak collaborative monitoring program, TADA should be incorporated into the data submission workflow: after field QC and database entry, data are processed through TADA’s validation screens before uploading to WQP. This ensures that data meet EPA standards and are compatible with national visualization tools (e.g.,</w:t>
      </w:r>
      <w:r>
        <w:t xml:space="preserve"> </w:t>
      </w:r>
      <w:r>
        <w:t xml:space="preserve">“How’s My Waterway?”</w:t>
      </w:r>
      <w:r>
        <w:t xml:space="preserve">).</w:t>
      </w:r>
    </w:p>
    <w:bookmarkEnd w:id="116"/>
    <w:bookmarkStart w:id="117" w:name="recommendation"/>
    <w:p>
      <w:pPr>
        <w:pStyle w:val="Heading3"/>
      </w:pPr>
      <w:r>
        <w:t xml:space="preserve">12.3.4 Recommendation</w:t>
      </w:r>
    </w:p>
    <w:p>
      <w:pPr>
        <w:pStyle w:val="FirstParagraph"/>
      </w:pPr>
      <w:r>
        <w:t xml:space="preserve">A phased approach is pragmatic: start with accessible tools for data collection and management (e.g., ArcGIS Online and/or Google Sheets), then route data through TADA’s validation workflows before final submission to WQP. As the program matures and data volumes grow, consider investing in a dedicated database administrator and GIS specialist to manage the full pipeline (collection → TADA validation → WQP → archival).</w:t>
      </w:r>
    </w:p>
    <w:p>
      <w:r>
        <w:pict>
          <v:rect style="width:0;height:1.5pt" o:hralign="center" o:hrstd="t" o:hr="t"/>
        </w:pict>
      </w:r>
    </w:p>
    <w:bookmarkEnd w:id="117"/>
    <w:bookmarkEnd w:id="118"/>
    <w:bookmarkStart w:id="122" w:name="data-sharing-and-visualization"/>
    <w:p>
      <w:pPr>
        <w:pStyle w:val="Heading2"/>
      </w:pPr>
      <w:r>
        <w:t xml:space="preserve">12.4 Data Sharing and Visualization</w:t>
      </w:r>
    </w:p>
    <w:bookmarkStart w:id="120" w:name="real-time-or-near-real-time-dashboard"/>
    <w:p>
      <w:pPr>
        <w:pStyle w:val="Heading3"/>
      </w:pPr>
      <w:r>
        <w:t xml:space="preserve">12.4.1 Real-Time or Near-Real-Time Dashboard</w:t>
      </w:r>
    </w:p>
    <w:p>
      <w:pPr>
        <w:pStyle w:val="FirstParagraph"/>
      </w:pPr>
      <w:r>
        <w:t xml:space="preserve">A web-based dashboard (built with ESRI apps or R Shiny) should display:</w:t>
      </w:r>
    </w:p>
    <w:p>
      <w:pPr>
        <w:pStyle w:val="Compact"/>
        <w:numPr>
          <w:ilvl w:val="0"/>
          <w:numId w:val="1027"/>
        </w:numPr>
      </w:pPr>
      <w:r>
        <w:rPr>
          <w:b/>
          <w:bCs/>
        </w:rPr>
        <w:t xml:space="preserve">Current Conditions</w:t>
      </w:r>
      <w:r>
        <w:t xml:space="preserve">: Latest temperature, DO, and chemistry readings at each site</w:t>
      </w:r>
    </w:p>
    <w:p>
      <w:pPr>
        <w:pStyle w:val="Compact"/>
        <w:numPr>
          <w:ilvl w:val="0"/>
          <w:numId w:val="1027"/>
        </w:numPr>
      </w:pPr>
      <w:r>
        <w:rPr>
          <w:b/>
          <w:bCs/>
        </w:rPr>
        <w:t xml:space="preserve">Time Series</w:t>
      </w:r>
      <w:r>
        <w:t xml:space="preserve">: Graphs of each parameter over the baseline period</w:t>
      </w:r>
    </w:p>
    <w:p>
      <w:pPr>
        <w:pStyle w:val="Compact"/>
        <w:numPr>
          <w:ilvl w:val="0"/>
          <w:numId w:val="1027"/>
        </w:numPr>
      </w:pPr>
      <w:r>
        <w:rPr>
          <w:b/>
          <w:bCs/>
        </w:rPr>
        <w:t xml:space="preserve">Interactive Map</w:t>
      </w:r>
      <w:r>
        <w:t xml:space="preserve">: Monitoring locations, site information, access to raw data</w:t>
      </w:r>
    </w:p>
    <w:p>
      <w:pPr>
        <w:pStyle w:val="Compact"/>
        <w:numPr>
          <w:ilvl w:val="0"/>
          <w:numId w:val="1027"/>
        </w:numPr>
      </w:pPr>
      <w:r>
        <w:rPr>
          <w:b/>
          <w:bCs/>
        </w:rPr>
        <w:t xml:space="preserve">Alert System</w:t>
      </w:r>
      <w:r>
        <w:t xml:space="preserve">: Automated flags if measurements exceed thresholds (e.g., DO &lt;5 mg/L, temperature &gt;18°C)</w:t>
      </w:r>
    </w:p>
    <w:p>
      <w:pPr>
        <w:pStyle w:val="FirstParagraph"/>
      </w:pPr>
      <w:r>
        <w:t xml:space="preserve">Note: data properly archived in the EPA CDX will display in the interactive online interface,</w:t>
      </w:r>
      <w:r>
        <w:t xml:space="preserve"> </w:t>
      </w:r>
      <w:r>
        <w:t xml:space="preserve">“</w:t>
      </w:r>
      <w:hyperlink r:id="rId119">
        <w:r>
          <w:rPr>
            <w:rStyle w:val="Hyperlink"/>
          </w:rPr>
          <w:t xml:space="preserve">How’s My Waterway?</w:t>
        </w:r>
      </w:hyperlink>
      <w:r>
        <w:t xml:space="preserve">”</w:t>
      </w:r>
      <w:r>
        <w:t xml:space="preserve"> </w:t>
      </w:r>
      <w:r>
        <w:t xml:space="preserve">At present, not all historic data in the EPA CDX properly displays in this interface due to historic naming conventions. One optional bonus goal of data management for this project could be to work towards seeing that existing historic water quality data properly displays in this interface.</w:t>
      </w:r>
    </w:p>
    <w:bookmarkEnd w:id="120"/>
    <w:bookmarkStart w:id="121" w:name="data-download-and-integration"/>
    <w:p>
      <w:pPr>
        <w:pStyle w:val="Heading3"/>
      </w:pPr>
      <w:r>
        <w:t xml:space="preserve">12.4.2 Data Download and Integration</w:t>
      </w:r>
    </w:p>
    <w:p>
      <w:pPr>
        <w:pStyle w:val="FirstParagraph"/>
      </w:pPr>
      <w:r>
        <w:t xml:space="preserve">The system should allow:</w:t>
      </w:r>
    </w:p>
    <w:p>
      <w:pPr>
        <w:pStyle w:val="Compact"/>
        <w:numPr>
          <w:ilvl w:val="0"/>
          <w:numId w:val="1028"/>
        </w:numPr>
      </w:pPr>
      <w:r>
        <w:t xml:space="preserve">Bulk download of data in standard formats (CSV, GeoJSON, Excel)</w:t>
      </w:r>
    </w:p>
    <w:p>
      <w:pPr>
        <w:pStyle w:val="Compact"/>
        <w:numPr>
          <w:ilvl w:val="0"/>
          <w:numId w:val="1028"/>
        </w:numPr>
      </w:pPr>
      <w:r>
        <w:t xml:space="preserve">Integration with the EPA Water Quality Portal for national visibility</w:t>
      </w:r>
    </w:p>
    <w:p>
      <w:r>
        <w:pict>
          <v:rect style="width:0;height:1.5pt" o:hralign="center" o:hrstd="t" o:hr="t"/>
        </w:pict>
      </w:r>
    </w:p>
    <w:bookmarkEnd w:id="121"/>
    <w:bookmarkEnd w:id="122"/>
    <w:bookmarkStart w:id="125" w:name="quality-assurance-and-data-certification"/>
    <w:p>
      <w:pPr>
        <w:pStyle w:val="Heading2"/>
      </w:pPr>
      <w:r>
        <w:t xml:space="preserve">12.5 Quality Assurance and Data Certification</w:t>
      </w:r>
    </w:p>
    <w:bookmarkStart w:id="123" w:name="data-review-process"/>
    <w:p>
      <w:pPr>
        <w:pStyle w:val="Heading3"/>
      </w:pPr>
      <w:r>
        <w:t xml:space="preserve">12.5.1 Data Review Process</w:t>
      </w:r>
    </w:p>
    <w:p>
      <w:pPr>
        <w:pStyle w:val="Compact"/>
        <w:numPr>
          <w:ilvl w:val="0"/>
          <w:numId w:val="1029"/>
        </w:numPr>
      </w:pPr>
      <w:r>
        <w:rPr>
          <w:b/>
          <w:bCs/>
        </w:rPr>
        <w:t xml:space="preserve">Field QC</w:t>
      </w:r>
      <w:r>
        <w:t xml:space="preserve">: Duplicate samples, field blanks, replicate measurements</w:t>
      </w:r>
    </w:p>
    <w:p>
      <w:pPr>
        <w:pStyle w:val="Compact"/>
        <w:numPr>
          <w:ilvl w:val="0"/>
          <w:numId w:val="1029"/>
        </w:numPr>
      </w:pPr>
      <w:r>
        <w:rPr>
          <w:b/>
          <w:bCs/>
        </w:rPr>
        <w:t xml:space="preserve">Laboratory QC</w:t>
      </w:r>
      <w:r>
        <w:t xml:space="preserve"> </w:t>
      </w:r>
      <w:r>
        <w:t xml:space="preserve">(if samples are analyzed): Blanks, matrix spikes, standard curves</w:t>
      </w:r>
    </w:p>
    <w:p>
      <w:pPr>
        <w:pStyle w:val="Compact"/>
        <w:numPr>
          <w:ilvl w:val="0"/>
          <w:numId w:val="1029"/>
        </w:numPr>
      </w:pPr>
      <w:r>
        <w:rPr>
          <w:b/>
          <w:bCs/>
        </w:rPr>
        <w:t xml:space="preserve">Data Review</w:t>
      </w:r>
      <w:r>
        <w:t xml:space="preserve">: Comparison against historical ranges, seasonal patterns, and other sites</w:t>
      </w:r>
    </w:p>
    <w:p>
      <w:pPr>
        <w:pStyle w:val="Compact"/>
        <w:numPr>
          <w:ilvl w:val="0"/>
          <w:numId w:val="1029"/>
        </w:numPr>
      </w:pPr>
      <w:r>
        <w:rPr>
          <w:b/>
          <w:bCs/>
        </w:rPr>
        <w:t xml:space="preserve">Certification</w:t>
      </w:r>
      <w:r>
        <w:t xml:space="preserve">: Designate</w:t>
      </w:r>
      <w:r>
        <w:t xml:space="preserve"> </w:t>
      </w:r>
      <w:r>
        <w:t xml:space="preserve">“approved”</w:t>
      </w:r>
      <w:r>
        <w:t xml:space="preserve"> </w:t>
      </w:r>
      <w:r>
        <w:t xml:space="preserve">data once QC is complete; note any flags or caveats</w:t>
      </w:r>
    </w:p>
    <w:bookmarkEnd w:id="123"/>
    <w:bookmarkStart w:id="124" w:name="metadata-documentation"/>
    <w:p>
      <w:pPr>
        <w:pStyle w:val="Heading3"/>
      </w:pPr>
      <w:r>
        <w:t xml:space="preserve">12.5.2 Metadata Documentation</w:t>
      </w:r>
    </w:p>
    <w:p>
      <w:pPr>
        <w:pStyle w:val="FirstParagraph"/>
      </w:pPr>
      <w:r>
        <w:t xml:space="preserve">All data should include:</w:t>
      </w:r>
    </w:p>
    <w:p>
      <w:pPr>
        <w:pStyle w:val="Compact"/>
        <w:numPr>
          <w:ilvl w:val="0"/>
          <w:numId w:val="1030"/>
        </w:numPr>
      </w:pPr>
      <w:r>
        <w:t xml:space="preserve">Method references (EPA, USGS SOPs; Alaska DEC’s Ambient Water Quality Monitoring System SOPs for sample hold-time limits, preservation, and chain-of-custody tracking where laboratory samples are involved)</w:t>
      </w:r>
    </w:p>
    <w:p>
      <w:pPr>
        <w:pStyle w:val="Compact"/>
        <w:numPr>
          <w:ilvl w:val="0"/>
          <w:numId w:val="1030"/>
        </w:numPr>
      </w:pPr>
      <w:r>
        <w:t xml:space="preserve">Analytical laboratory accreditation (if applicable)</w:t>
      </w:r>
    </w:p>
    <w:p>
      <w:pPr>
        <w:pStyle w:val="Compact"/>
        <w:numPr>
          <w:ilvl w:val="0"/>
          <w:numId w:val="1030"/>
        </w:numPr>
      </w:pPr>
      <w:r>
        <w:t xml:space="preserve">QC summary (% duplicates, passing QC criteria)</w:t>
      </w:r>
    </w:p>
    <w:p>
      <w:pPr>
        <w:pStyle w:val="Compact"/>
        <w:numPr>
          <w:ilvl w:val="0"/>
          <w:numId w:val="1030"/>
        </w:numPr>
      </w:pPr>
      <w:r>
        <w:t xml:space="preserve">Validation notes (e.g.,</w:t>
      </w:r>
      <w:r>
        <w:t xml:space="preserve"> </w:t>
      </w:r>
      <w:r>
        <w:t xml:space="preserve">“sample collected during high-flow event”</w:t>
      </w:r>
      <w:r>
        <w:t xml:space="preserve">)</w:t>
      </w:r>
    </w:p>
    <w:p>
      <w:r>
        <w:pict>
          <v:rect style="width:0;height:1.5pt" o:hralign="center" o:hrstd="t" o:hr="t"/>
        </w:pict>
      </w:r>
    </w:p>
    <w:bookmarkEnd w:id="124"/>
    <w:bookmarkEnd w:id="125"/>
    <w:bookmarkStart w:id="128" w:name="governance-and-data-sharing-agreements"/>
    <w:p>
      <w:pPr>
        <w:pStyle w:val="Heading2"/>
      </w:pPr>
      <w:r>
        <w:t xml:space="preserve">12.6 Governance and Data Sharing Agreements</w:t>
      </w:r>
    </w:p>
    <w:bookmarkStart w:id="126" w:name="multi-tribal-data-governance"/>
    <w:p>
      <w:pPr>
        <w:pStyle w:val="Heading3"/>
      </w:pPr>
      <w:r>
        <w:t xml:space="preserve">12.6.1 Multi-Tribal Data Governance</w:t>
      </w:r>
    </w:p>
    <w:p>
      <w:pPr>
        <w:pStyle w:val="FirstParagraph"/>
      </w:pPr>
      <w:r>
        <w:t xml:space="preserve">Establish agreements clarifying:</w:t>
      </w:r>
    </w:p>
    <w:p>
      <w:pPr>
        <w:pStyle w:val="Compact"/>
        <w:numPr>
          <w:ilvl w:val="0"/>
          <w:numId w:val="1031"/>
        </w:numPr>
      </w:pPr>
      <w:r>
        <w:rPr>
          <w:b/>
          <w:bCs/>
        </w:rPr>
        <w:t xml:space="preserve">Ownership</w:t>
      </w:r>
      <w:r>
        <w:t xml:space="preserve">: Who owns the raw data? (typically, the collecting organization)</w:t>
      </w:r>
    </w:p>
    <w:p>
      <w:pPr>
        <w:pStyle w:val="Compact"/>
        <w:numPr>
          <w:ilvl w:val="0"/>
          <w:numId w:val="1031"/>
        </w:numPr>
      </w:pPr>
      <w:r>
        <w:rPr>
          <w:b/>
          <w:bCs/>
        </w:rPr>
        <w:t xml:space="preserve">Sharing</w:t>
      </w:r>
      <w:r>
        <w:t xml:space="preserve">: Under what conditions are data shared with co-implementers, EPA, USGS, public?</w:t>
      </w:r>
    </w:p>
    <w:p>
      <w:pPr>
        <w:pStyle w:val="Compact"/>
        <w:numPr>
          <w:ilvl w:val="0"/>
          <w:numId w:val="1031"/>
        </w:numPr>
      </w:pPr>
      <w:r>
        <w:rPr>
          <w:b/>
          <w:bCs/>
        </w:rPr>
        <w:t xml:space="preserve">Attribution</w:t>
      </w:r>
      <w:r>
        <w:t xml:space="preserve">: How will data providers be credited?</w:t>
      </w:r>
    </w:p>
    <w:p>
      <w:pPr>
        <w:pStyle w:val="Compact"/>
        <w:numPr>
          <w:ilvl w:val="0"/>
          <w:numId w:val="1031"/>
        </w:numPr>
      </w:pPr>
      <w:r>
        <w:rPr>
          <w:b/>
          <w:bCs/>
        </w:rPr>
        <w:t xml:space="preserve">Confidentiality</w:t>
      </w:r>
      <w:r>
        <w:t xml:space="preserve">: Are any sensitive tribal data withheld or restricted?</w:t>
      </w:r>
    </w:p>
    <w:bookmarkEnd w:id="126"/>
    <w:bookmarkStart w:id="127" w:name="recommended-practice"/>
    <w:p>
      <w:pPr>
        <w:pStyle w:val="Heading3"/>
      </w:pPr>
      <w:r>
        <w:t xml:space="preserve">12.6.2 Recommended Practice</w:t>
      </w:r>
    </w:p>
    <w:p>
      <w:pPr>
        <w:pStyle w:val="FirstParagraph"/>
      </w:pPr>
      <w:r>
        <w:t xml:space="preserve">Data collected using public funding (EPA, USGS) should be made publicly available (e.g., via WQP, NWIS, or dedicated portal) within 1–2 years of collection, with exception for sensitive cultural or proprietary information.</w:t>
      </w:r>
    </w:p>
    <w:bookmarkEnd w:id="127"/>
    <w:bookmarkEnd w:id="128"/>
    <w:bookmarkEnd w:id="129"/>
    <w:bookmarkStart w:id="151" w:name="references"/>
    <w:p>
      <w:pPr>
        <w:pStyle w:val="Heading1"/>
      </w:pPr>
      <w:r>
        <w:t xml:space="preserve">13. References</w:t>
      </w:r>
    </w:p>
    <w:bookmarkStart w:id="134" w:name="data-sources-and-documentation"/>
    <w:p>
      <w:pPr>
        <w:pStyle w:val="Heading2"/>
      </w:pPr>
      <w:r>
        <w:t xml:space="preserve">13.1 Data Sources and Documentation</w:t>
      </w:r>
    </w:p>
    <w:bookmarkStart w:id="130" w:name="public-data-repositories-1"/>
    <w:p>
      <w:pPr>
        <w:pStyle w:val="Heading3"/>
      </w:pPr>
      <w:r>
        <w:t xml:space="preserve">13.1.1 Public Data Repositories</w:t>
      </w:r>
    </w:p>
    <w:p>
      <w:pPr>
        <w:pStyle w:val="FirstParagraph"/>
      </w:pPr>
      <w:r>
        <w:t xml:space="preserve">EPA Water Quality Portal. https://www.waterqualitydata.us/. Accessed October 2026.</w:t>
      </w:r>
    </w:p>
    <w:p>
      <w:pPr>
        <w:pStyle w:val="BodyText"/>
      </w:pPr>
      <w:r>
        <w:t xml:space="preserve">USGS National Water Information System (NWIS). https://waterdata.usgs.gov/nwis. Accessed October 2026.</w:t>
      </w:r>
    </w:p>
    <w:p>
      <w:pPr>
        <w:pStyle w:val="BodyText"/>
      </w:pPr>
      <w:r>
        <w:t xml:space="preserve">Alaska Department of Environmental Conservation. Water Quality Monitoring Portal. https://dec.alaska.gov/water/. Accessed October 2026.</w:t>
      </w:r>
    </w:p>
    <w:bookmarkEnd w:id="130"/>
    <w:bookmarkStart w:id="131" w:name="r-packages-for-data-access"/>
    <w:p>
      <w:pPr>
        <w:pStyle w:val="Heading3"/>
      </w:pPr>
      <w:r>
        <w:t xml:space="preserve">13.1.2 R Packages for Data Access</w:t>
      </w:r>
    </w:p>
    <w:p>
      <w:pPr>
        <w:pStyle w:val="FirstParagraph"/>
      </w:pPr>
      <w:r>
        <w:t xml:space="preserve">De Cicco, L.A., Hirsch, R.M., and Lorenz, D.L., 2024, dataRetrieval: R packages for discovering and retrieving water resources data: U.S. Geological Survey Techniques and Methods, book 4, chap. A10, 18 p. https://doi.org/10.3133/tm4A10</w:t>
      </w:r>
    </w:p>
    <w:bookmarkEnd w:id="131"/>
    <w:bookmarkStart w:id="132" w:name="scientific-and-regulatory-references"/>
    <w:p>
      <w:pPr>
        <w:pStyle w:val="Heading3"/>
      </w:pPr>
      <w:r>
        <w:t xml:space="preserve">13.1.3 Scientific and Regulatory References</w:t>
      </w:r>
    </w:p>
    <w:p>
      <w:pPr>
        <w:pStyle w:val="FirstParagraph"/>
      </w:pPr>
      <w:r>
        <w:t xml:space="preserve">EPA (U.S. Environmental Protection Agency). 2016. Aquatic Life Ambient Freshwater Quality Criteria. https://www.epa.gov/wqc. Accessed October 2026.</w:t>
      </w:r>
    </w:p>
    <w:p>
      <w:pPr>
        <w:pStyle w:val="BodyText"/>
      </w:pPr>
      <w:r>
        <w:t xml:space="preserve">EPA Bristol Bay Watershed Assessment. https://www.epa.gov/bristolbay. Accessed October 2026.</w:t>
      </w:r>
    </w:p>
    <w:p>
      <w:pPr>
        <w:pStyle w:val="BodyText"/>
      </w:pPr>
      <w:r>
        <w:t xml:space="preserve">Alaska Department of Fish and Game. Division of Sport Fish. Salmon Resources. https://www.adfg.alaska.gov/index.cfm?adfg=fishingbyarea.main. Accessed October 2026.</w:t>
      </w:r>
    </w:p>
    <w:bookmarkEnd w:id="132"/>
    <w:bookmarkStart w:id="133" w:name="qapp-and-quality-assurance-guidance"/>
    <w:p>
      <w:pPr>
        <w:pStyle w:val="Heading3"/>
      </w:pPr>
      <w:r>
        <w:t xml:space="preserve">13.1.4 QAPP and Quality Assurance Guidance</w:t>
      </w:r>
    </w:p>
    <w:p>
      <w:pPr>
        <w:pStyle w:val="FirstParagraph"/>
      </w:pPr>
      <w:r>
        <w:t xml:space="preserve">EPA. 2001. Guidance for Quality Assurance Project Plans (EPA QA/G-5). EPA/240/R-02/009. https://www.epa.gov/quality.</w:t>
      </w:r>
    </w:p>
    <w:p>
      <w:pPr>
        <w:pStyle w:val="BodyText"/>
      </w:pPr>
      <w:r>
        <w:t xml:space="preserve">EPA. 2006. Guidance on Systematic Planning Using the Data Quality Objectives (DQO) Process (EPA QA/G-4). EPA/240/B-06/001.</w:t>
      </w:r>
    </w:p>
    <w:p>
      <w:pPr>
        <w:pStyle w:val="BodyText"/>
      </w:pPr>
      <w:r>
        <w:t xml:space="preserve">USGS. 2006. Techniques of Water-Resources Investigations. Book 1, Chapter A3: General Introduction and Hydrologic Concepts. https://pubs.usgs.gov/twri/</w:t>
      </w:r>
    </w:p>
    <w:p>
      <w:r>
        <w:pict>
          <v:rect style="width:0;height:1.5pt" o:hralign="center" o:hrstd="t" o:hr="t"/>
        </w:pict>
      </w:r>
    </w:p>
    <w:bookmarkEnd w:id="133"/>
    <w:bookmarkEnd w:id="134"/>
    <w:bookmarkStart w:id="136" w:name="additional-resources"/>
    <w:p>
      <w:pPr>
        <w:pStyle w:val="Heading2"/>
      </w:pPr>
      <w:r>
        <w:t xml:space="preserve">13.2 Additional Resources</w:t>
      </w:r>
    </w:p>
    <w:bookmarkStart w:id="135" w:name="X56f29a4e78b2148ed8fdb31c99fb8e6c8775918"/>
    <w:p>
      <w:pPr>
        <w:pStyle w:val="Heading3"/>
      </w:pPr>
      <w:r>
        <w:t xml:space="preserve">13.2.1 Community-Based Monitoring and Tribal Data Governance</w:t>
      </w:r>
    </w:p>
    <w:p>
      <w:pPr>
        <w:pStyle w:val="FirstParagraph"/>
      </w:pPr>
      <w:r>
        <w:t xml:space="preserve">Alaska Native Science Commission. Indigenous Data Sovereignty in Alaska. https://www.ansci.org/</w:t>
      </w:r>
    </w:p>
    <w:p>
      <w:pPr>
        <w:pStyle w:val="BodyText"/>
      </w:pPr>
      <w:r>
        <w:t xml:space="preserve">TCIC &amp; First Nations Technology Council. Building Capacity for Indigenous Data Governance. https://firstnationstechnologycouncil.com/</w:t>
      </w:r>
    </w:p>
    <w:p>
      <w:pPr>
        <w:pStyle w:val="BodyText"/>
      </w:pPr>
      <w:r>
        <w:t xml:space="preserve">Bristol Bay Native Association. Natural Resources Division. https://www.bbna.com/</w:t>
      </w:r>
    </w:p>
    <w:p>
      <w:r>
        <w:pict>
          <v:rect style="width:0;height:1.5pt" o:hralign="center" o:hrstd="t" o:hr="t"/>
        </w:pict>
      </w:r>
    </w:p>
    <w:bookmarkEnd w:id="135"/>
    <w:bookmarkEnd w:id="136"/>
    <w:bookmarkStart w:id="150" w:name="note-on-data-currency"/>
    <w:p>
      <w:pPr>
        <w:pStyle w:val="Heading2"/>
      </w:pPr>
      <w:r>
        <w:t xml:space="preserve">13.3 Note on Data Currency</w:t>
      </w:r>
    </w:p>
    <w:p>
      <w:pPr>
        <w:pStyle w:val="FirstParagraph"/>
      </w:pPr>
      <w:r>
        <w:t xml:space="preserve">Water Quality Portal and NWIS data presented in this document are current as of March 2024. The Nushagak River baseline assessment is a living document and should be updated annually as new monitoring data become available.</w:t>
      </w:r>
    </w:p>
    <w:bookmarkStart w:id="149" w:name="refs"/>
    <w:bookmarkStart w:id="138" w:name="ref-ADEC_QAPP_Template"/>
    <w:p>
      <w:pPr>
        <w:pStyle w:val="Bibliography"/>
      </w:pPr>
      <w:r>
        <w:t xml:space="preserve">Alaska Department of Environmental Conservation. n.d.</w:t>
      </w:r>
      <w:r>
        <w:t xml:space="preserve"> </w:t>
      </w:r>
      <w:r>
        <w:t xml:space="preserve">“Division of Water Generic Quality Assurance Project Plan Template.”</w:t>
      </w:r>
      <w:r>
        <w:t xml:space="preserve"> </w:t>
      </w:r>
      <w:hyperlink r:id="rId137">
        <w:r>
          <w:rPr>
            <w:rStyle w:val="Hyperlink"/>
          </w:rPr>
          <w:t xml:space="preserve">https://dec.alaska.gov/water/</w:t>
        </w:r>
      </w:hyperlink>
      <w:r>
        <w:t xml:space="preserve">.</w:t>
      </w:r>
    </w:p>
    <w:bookmarkEnd w:id="138"/>
    <w:bookmarkStart w:id="140" w:name="ref-CookInletkeeper_StreamTemp"/>
    <w:p>
      <w:pPr>
        <w:pStyle w:val="Bibliography"/>
      </w:pPr>
      <w:r>
        <w:t xml:space="preserve">Cook Inletkeeper, and Alaska Natural Heritage Program. n.d.</w:t>
      </w:r>
      <w:r>
        <w:t xml:space="preserve"> </w:t>
      </w:r>
      <w:r>
        <w:t xml:space="preserve">“Stream Temperature Data Collection Standards and Protocol for Alaska.”</w:t>
      </w:r>
      <w:r>
        <w:t xml:space="preserve"> </w:t>
      </w:r>
      <w:hyperlink r:id="rId139">
        <w:r>
          <w:rPr>
            <w:rStyle w:val="Hyperlink"/>
          </w:rPr>
          <w:t xml:space="preserve">https://www.inletkeeper.org/</w:t>
        </w:r>
      </w:hyperlink>
      <w:r>
        <w:t xml:space="preserve">.</w:t>
      </w:r>
    </w:p>
    <w:bookmarkEnd w:id="140"/>
    <w:bookmarkStart w:id="142" w:name="ref-EPA2001QAPP"/>
    <w:p>
      <w:pPr>
        <w:pStyle w:val="Bibliography"/>
      </w:pPr>
      <w:r>
        <w:t xml:space="preserve">EPA. 2001.</w:t>
      </w:r>
      <w:r>
        <w:t xml:space="preserve"> </w:t>
      </w:r>
      <w:r>
        <w:t xml:space="preserve">“Guidance for Quality Assurance Project Plans (EPA QA/g-5).”</w:t>
      </w:r>
      <w:r>
        <w:t xml:space="preserve"> </w:t>
      </w:r>
      <w:hyperlink r:id="rId141">
        <w:r>
          <w:rPr>
            <w:rStyle w:val="Hyperlink"/>
          </w:rPr>
          <w:t xml:space="preserve">https://www.epa.gov/quality</w:t>
        </w:r>
      </w:hyperlink>
      <w:r>
        <w:t xml:space="preserve">.</w:t>
      </w:r>
    </w:p>
    <w:bookmarkEnd w:id="142"/>
    <w:bookmarkStart w:id="143" w:name="ref-EPA2006DQO"/>
    <w:p>
      <w:pPr>
        <w:pStyle w:val="Bibliography"/>
      </w:pPr>
      <w:r>
        <w:t xml:space="preserve">———. 2006.</w:t>
      </w:r>
      <w:r>
        <w:t xml:space="preserve"> </w:t>
      </w:r>
      <w:r>
        <w:t xml:space="preserve">“Guidance on Systematic Planning Using the Data Quality Objectives (DQO) Process (EPA QA/g-4).”</w:t>
      </w:r>
    </w:p>
    <w:bookmarkEnd w:id="143"/>
    <w:bookmarkStart w:id="145" w:name="ref-EPA2016AquaticLife"/>
    <w:p>
      <w:pPr>
        <w:pStyle w:val="Bibliography"/>
      </w:pPr>
      <w:r>
        <w:t xml:space="preserve">———. 2016.</w:t>
      </w:r>
      <w:r>
        <w:t xml:space="preserve"> </w:t>
      </w:r>
      <w:r>
        <w:t xml:space="preserve">“Aquatic Life Ambient Freshwater Quality Criteria.”</w:t>
      </w:r>
      <w:r>
        <w:t xml:space="preserve"> </w:t>
      </w:r>
      <w:hyperlink r:id="rId144">
        <w:r>
          <w:rPr>
            <w:rStyle w:val="Hyperlink"/>
          </w:rPr>
          <w:t xml:space="preserve">https://www.epa.gov/wqc</w:t>
        </w:r>
      </w:hyperlink>
      <w:r>
        <w:t xml:space="preserve">.</w:t>
      </w:r>
    </w:p>
    <w:bookmarkEnd w:id="145"/>
    <w:bookmarkStart w:id="146" w:name="ref-EPARegion10_TribalQAPP"/>
    <w:p>
      <w:pPr>
        <w:pStyle w:val="Bibliography"/>
      </w:pPr>
      <w:r>
        <w:t xml:space="preserve">EPA Region 10. n.d.</w:t>
      </w:r>
      <w:r>
        <w:t xml:space="preserve"> </w:t>
      </w:r>
      <w:r>
        <w:t xml:space="preserve">“Tribal Quality Assurance Project Plan Guidance (Tier 2, Clean Water Act Sections 106 and 319).”</w:t>
      </w:r>
      <w:r>
        <w:t xml:space="preserve"> </w:t>
      </w:r>
      <w:hyperlink r:id="rId141">
        <w:r>
          <w:rPr>
            <w:rStyle w:val="Hyperlink"/>
          </w:rPr>
          <w:t xml:space="preserve">https://www.epa.gov/quality</w:t>
        </w:r>
      </w:hyperlink>
      <w:r>
        <w:t xml:space="preserve">.</w:t>
      </w:r>
    </w:p>
    <w:bookmarkEnd w:id="146"/>
    <w:bookmarkStart w:id="148" w:name="ref-USGS_NFM_Book9"/>
    <w:p>
      <w:pPr>
        <w:pStyle w:val="Bibliography"/>
      </w:pPr>
      <w:r>
        <w:t xml:space="preserve">USGS. 2006.</w:t>
      </w:r>
      <w:r>
        <w:t xml:space="preserve"> </w:t>
      </w:r>
      <w:r>
        <w:t xml:space="preserve">“National Field Manual for the Collection of Water-Quality Data (Book 9), Chapters A4 and A6.”</w:t>
      </w:r>
      <w:r>
        <w:t xml:space="preserve"> </w:t>
      </w:r>
      <w:hyperlink r:id="rId147">
        <w:r>
          <w:rPr>
            <w:rStyle w:val="Hyperlink"/>
          </w:rPr>
          <w:t xml:space="preserve">https://water.usgs.gov/owq/FieldManual/</w:t>
        </w:r>
      </w:hyperlink>
      <w:r>
        <w:t xml:space="preserve">.</w:t>
      </w:r>
    </w:p>
    <w:bookmarkEnd w:id="148"/>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8" Target="media/rId88.png" /><Relationship Type="http://schemas.openxmlformats.org/officeDocument/2006/relationships/image" Id="rId20" Target="media/rId20.png" /><Relationship Type="http://schemas.openxmlformats.org/officeDocument/2006/relationships/hyperlink" Id="rId48" Target="02_data_sources.qmd" TargetMode="External" /><Relationship Type="http://schemas.openxmlformats.org/officeDocument/2006/relationships/hyperlink" Id="rId40" Target="03_spatial_coverage.qmd" TargetMode="External" /><Relationship Type="http://schemas.openxmlformats.org/officeDocument/2006/relationships/hyperlink" Id="rId42" Target="https://aktemp.uaa.alaska.edu/#/" TargetMode="External" /><Relationship Type="http://schemas.openxmlformats.org/officeDocument/2006/relationships/hyperlink" Id="rId137" Target="https://dec.alaska.gov/water/" TargetMode="External" /><Relationship Type="http://schemas.openxmlformats.org/officeDocument/2006/relationships/hyperlink" Id="rId39" Target="https://github.com/Rivulet-Research/nushagak-wqx/blob/main/scripts/README.md" TargetMode="External" /><Relationship Type="http://schemas.openxmlformats.org/officeDocument/2006/relationships/hyperlink" Id="rId119" Target="https://mywaterway.epa.gov/" TargetMode="External" /><Relationship Type="http://schemas.openxmlformats.org/officeDocument/2006/relationships/hyperlink" Id="rId38" Target="https://pebbleresearch.com/wp-content/uploads/2014/03/ch_09_water_quality_bb.pdf" TargetMode="External" /><Relationship Type="http://schemas.openxmlformats.org/officeDocument/2006/relationships/hyperlink" Id="rId147" Target="https://water.usgs.gov/owq/FieldManual/" TargetMode="External" /><Relationship Type="http://schemas.openxmlformats.org/officeDocument/2006/relationships/hyperlink" Id="rId24" Target="https://water.usgs.gov/themes/hydrologic-units/" TargetMode="External" /><Relationship Type="http://schemas.openxmlformats.org/officeDocument/2006/relationships/hyperlink" Id="rId36" Target="https://www.epa.gov/bristolbay" TargetMode="External" /><Relationship Type="http://schemas.openxmlformats.org/officeDocument/2006/relationships/hyperlink" Id="rId141" Target="https://www.epa.gov/quality" TargetMode="External" /><Relationship Type="http://schemas.openxmlformats.org/officeDocument/2006/relationships/hyperlink" Id="rId144" Target="https://www.epa.gov/wqc" TargetMode="External" /><Relationship Type="http://schemas.openxmlformats.org/officeDocument/2006/relationships/hyperlink" Id="rId139" Target="https://www.inletkeeper.org/" TargetMode="External" /></Relationships>
</file>

<file path=word/_rels/footnotes.xml.rels><?xml version="1.0" encoding="UTF-8"?><Relationships xmlns="http://schemas.openxmlformats.org/package/2006/relationships"><Relationship Type="http://schemas.openxmlformats.org/officeDocument/2006/relationships/hyperlink" Id="rId48" Target="02_data_sources.qmd" TargetMode="External" /><Relationship Type="http://schemas.openxmlformats.org/officeDocument/2006/relationships/hyperlink" Id="rId40" Target="03_spatial_coverage.qmd" TargetMode="External" /><Relationship Type="http://schemas.openxmlformats.org/officeDocument/2006/relationships/hyperlink" Id="rId42" Target="https://aktemp.uaa.alaska.edu/#/" TargetMode="External" /><Relationship Type="http://schemas.openxmlformats.org/officeDocument/2006/relationships/hyperlink" Id="rId137" Target="https://dec.alaska.gov/water/" TargetMode="External" /><Relationship Type="http://schemas.openxmlformats.org/officeDocument/2006/relationships/hyperlink" Id="rId39" Target="https://github.com/Rivulet-Research/nushagak-wqx/blob/main/scripts/README.md" TargetMode="External" /><Relationship Type="http://schemas.openxmlformats.org/officeDocument/2006/relationships/hyperlink" Id="rId119" Target="https://mywaterway.epa.gov/" TargetMode="External" /><Relationship Type="http://schemas.openxmlformats.org/officeDocument/2006/relationships/hyperlink" Id="rId38" Target="https://pebbleresearch.com/wp-content/uploads/2014/03/ch_09_water_quality_bb.pdf" TargetMode="External" /><Relationship Type="http://schemas.openxmlformats.org/officeDocument/2006/relationships/hyperlink" Id="rId147" Target="https://water.usgs.gov/owq/FieldManual/" TargetMode="External" /><Relationship Type="http://schemas.openxmlformats.org/officeDocument/2006/relationships/hyperlink" Id="rId24" Target="https://water.usgs.gov/themes/hydrologic-units/" TargetMode="External" /><Relationship Type="http://schemas.openxmlformats.org/officeDocument/2006/relationships/hyperlink" Id="rId36" Target="https://www.epa.gov/bristolbay" TargetMode="External" /><Relationship Type="http://schemas.openxmlformats.org/officeDocument/2006/relationships/hyperlink" Id="rId141" Target="https://www.epa.gov/quality" TargetMode="External" /><Relationship Type="http://schemas.openxmlformats.org/officeDocument/2006/relationships/hyperlink" Id="rId144" Target="https://www.epa.gov/wqc" TargetMode="External" /><Relationship Type="http://schemas.openxmlformats.org/officeDocument/2006/relationships/hyperlink" Id="rId139" Target="https://www.inletkeepe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Nushagak River Watershed Water Quality Baseline</dc:title>
  <dc:creator>Benjamin Meyer (rivuletresearch@gmail.com) Prepared for Tributary Research and Consulting</dc:creator>
  <cp:keywords/>
  <dcterms:created xsi:type="dcterms:W3CDTF">2026-10-11T20:44:55Z</dcterms:created>
  <dcterms:modified xsi:type="dcterms:W3CDTF">2026-10-11T20:44:55Z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2026-10-01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Synthesis of Existing Data - Collaborative Monitoring Proposal</vt:lpwstr>
  </property>
  <property fmtid="{D5CDD505-2E9C-101B-9397-08002B2CF9AE}" pid="14" name="template-partials">
    <vt:lpwstr/>
  </property>
  <property fmtid="{D5CDD505-2E9C-101B-9397-08002B2CF9AE}" pid="15" name="toc-title">
    <vt:lpwstr>Table of contents</vt:lpwstr>
  </property>
</Properties>
</file>