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147" w:rsidRPr="004A2681" w:rsidRDefault="00C20147" w:rsidP="00C20147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18"/>
          <w:szCs w:val="18"/>
        </w:rPr>
      </w:pPr>
      <w:r w:rsidRPr="004A2681">
        <w:rPr>
          <w:b/>
          <w:bCs/>
          <w:color w:val="000000"/>
          <w:sz w:val="18"/>
          <w:szCs w:val="18"/>
        </w:rPr>
        <w:t>Chatbot(Domain Specific: medical and finance)</w:t>
      </w:r>
    </w:p>
    <w:p w:rsidR="00C20147" w:rsidRPr="004A2681" w:rsidRDefault="00C20147" w:rsidP="00F8354A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8"/>
        </w:rPr>
      </w:pPr>
    </w:p>
    <w:p w:rsidR="00F8354A" w:rsidRPr="004A2681" w:rsidRDefault="00F8354A" w:rsidP="00F8354A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8"/>
        </w:rPr>
      </w:pPr>
      <w:r w:rsidRPr="004A2681">
        <w:rPr>
          <w:b/>
          <w:bCs/>
          <w:color w:val="000000"/>
          <w:sz w:val="18"/>
          <w:szCs w:val="18"/>
        </w:rPr>
        <w:t>Abstract</w:t>
      </w:r>
    </w:p>
    <w:p w:rsidR="00F8354A" w:rsidRPr="004A2681" w:rsidRDefault="00F8354A" w:rsidP="00F8354A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This study presents the development of a transformer-based chatbot system designed to address user queries in two critical domains: healthcare and finance. Leveraging the powerful contextual understanding of transformer architectures, the chatbot effectively interprets and responds to user</w:t>
      </w:r>
    </w:p>
    <w:p w:rsidR="00F8354A" w:rsidRPr="004A2681" w:rsidRDefault="00F8354A" w:rsidP="00F8354A">
      <w:pPr>
        <w:pStyle w:val="NormalWeb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In the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rStyle w:val="Strong"/>
          <w:rFonts w:eastAsiaTheme="majorEastAsia"/>
          <w:b w:val="0"/>
          <w:bCs w:val="0"/>
          <w:color w:val="000000"/>
          <w:sz w:val="18"/>
          <w:szCs w:val="18"/>
        </w:rPr>
        <w:t>medical domain</w:t>
      </w:r>
      <w:r w:rsidRPr="004A2681">
        <w:rPr>
          <w:b/>
          <w:bCs/>
          <w:color w:val="000000"/>
          <w:sz w:val="18"/>
          <w:szCs w:val="18"/>
        </w:rPr>
        <w:t>,</w:t>
      </w:r>
      <w:r w:rsidRPr="004A2681">
        <w:rPr>
          <w:color w:val="000000"/>
          <w:sz w:val="18"/>
          <w:szCs w:val="18"/>
        </w:rPr>
        <w:t xml:space="preserve"> the chatbot is capable of diagnosing diseases based on symptoms provided by the user and delivers informative responses related to disease conditions, precautions, and treatments. In the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rStyle w:val="Strong"/>
          <w:rFonts w:eastAsiaTheme="majorEastAsia"/>
          <w:b w:val="0"/>
          <w:bCs w:val="0"/>
          <w:color w:val="000000"/>
          <w:sz w:val="18"/>
          <w:szCs w:val="18"/>
        </w:rPr>
        <w:t>finance domain</w:t>
      </w:r>
      <w:r w:rsidRPr="004A2681">
        <w:rPr>
          <w:b/>
          <w:bCs/>
          <w:color w:val="000000"/>
          <w:sz w:val="18"/>
          <w:szCs w:val="18"/>
        </w:rPr>
        <w:t>,</w:t>
      </w:r>
      <w:r w:rsidRPr="004A2681">
        <w:rPr>
          <w:color w:val="000000"/>
          <w:sz w:val="18"/>
          <w:szCs w:val="18"/>
        </w:rPr>
        <w:t xml:space="preserve"> the chatbot answers a range of queries related to personal finance, banking, and investment topics, offering reliable and context-aware guidance generated through transformer-based deep learning.</w:t>
      </w:r>
    </w:p>
    <w:p w:rsidR="00F8354A" w:rsidRPr="004A2681" w:rsidRDefault="00F8354A" w:rsidP="00F8354A">
      <w:pPr>
        <w:pStyle w:val="NormalWeb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This dual-domain chatbot demonstrates the versatility and effectiveness of transformers in handling distinct areas of expertise</w:t>
      </w:r>
    </w:p>
    <w:p w:rsidR="00F8354A" w:rsidRPr="004A2681" w:rsidRDefault="00F8354A" w:rsidP="00F8354A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8"/>
        </w:rPr>
      </w:pPr>
      <w:r w:rsidRPr="004A2681">
        <w:rPr>
          <w:b/>
          <w:bCs/>
          <w:color w:val="000000"/>
          <w:sz w:val="18"/>
          <w:szCs w:val="18"/>
        </w:rPr>
        <w:t>Introduction</w:t>
      </w:r>
    </w:p>
    <w:p w:rsidR="00F8354A" w:rsidRPr="004A2681" w:rsidRDefault="00F8354A" w:rsidP="00F8354A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With the rapid advancement in Natural Language Processing (NLP), transformer-based models have become the cornerstone for building intelligent conversational systems. Their superior ability to understand contextual relationships in language has paved the way for more human-like, responsive, and versatile chatbots. This study introduces the Multifunctional Fine-Tuned Retrieval-Based Chatbot, a robust conversational agent developed using </w:t>
      </w:r>
      <w:proofErr w:type="spellStart"/>
      <w:r w:rsidRPr="004A2681">
        <w:rPr>
          <w:color w:val="000000"/>
          <w:sz w:val="18"/>
          <w:szCs w:val="18"/>
        </w:rPr>
        <w:t>RoBERTa</w:t>
      </w:r>
      <w:proofErr w:type="spellEnd"/>
      <w:r w:rsidRPr="004A2681">
        <w:rPr>
          <w:color w:val="000000"/>
          <w:sz w:val="18"/>
          <w:szCs w:val="18"/>
        </w:rPr>
        <w:t> and BART transformer models, aimed at delivering domain-specific, context-aware responses in areas such as healthcare, finance, and general conversation.</w:t>
      </w:r>
    </w:p>
    <w:p w:rsidR="00F8354A" w:rsidRPr="004A2681" w:rsidRDefault="00F8354A" w:rsidP="00F8354A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Unlike generative chatbots, this system follows a retrieval-based architecture, where user queries are matched against a curated dataset using cosine similarity. The chatbot retrieves the most semantically relevant responses by generating high-quality sentence embeddings through </w:t>
      </w:r>
      <w:proofErr w:type="spellStart"/>
      <w:r w:rsidRPr="004A2681">
        <w:rPr>
          <w:color w:val="000000"/>
          <w:sz w:val="18"/>
          <w:szCs w:val="18"/>
        </w:rPr>
        <w:t>RoBERTa</w:t>
      </w:r>
      <w:proofErr w:type="spellEnd"/>
      <w:r w:rsidRPr="004A2681">
        <w:rPr>
          <w:color w:val="000000"/>
          <w:sz w:val="18"/>
          <w:szCs w:val="18"/>
        </w:rPr>
        <w:t>-based sentence-transformers. This approach ensures fast, accurate, and reliable response generation across multiple functional domains.</w:t>
      </w:r>
    </w:p>
    <w:p w:rsidR="00F8354A" w:rsidRPr="004A2681" w:rsidRDefault="00F8354A" w:rsidP="00F8354A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To enhance domain specificity and robustness, the chatbot is fine-tuned on specialized datasets and further strengthened through data augmentation using NLP-Aug, allowing it to handle diverse linguistic variations and phrasings. Additionally, </w:t>
      </w:r>
      <w:proofErr w:type="spellStart"/>
      <w:r w:rsidRPr="004A2681">
        <w:rPr>
          <w:color w:val="000000"/>
          <w:sz w:val="18"/>
          <w:szCs w:val="18"/>
        </w:rPr>
        <w:t>TextBlob</w:t>
      </w:r>
      <w:proofErr w:type="spellEnd"/>
      <w:r w:rsidRPr="004A2681">
        <w:rPr>
          <w:color w:val="000000"/>
          <w:sz w:val="18"/>
          <w:szCs w:val="18"/>
        </w:rPr>
        <w:t> is integrated to perform sentiment analysis, categorizing user queries as positive, negative, or neutral, and enabling the chatbot to tailor its replies accordingly.</w:t>
      </w:r>
    </w:p>
    <w:p w:rsidR="00C20147" w:rsidRPr="004A2681" w:rsidRDefault="00C20147" w:rsidP="00F8354A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  <w:r w:rsidRPr="004A2681">
        <w:rPr>
          <w:b/>
          <w:bCs/>
          <w:color w:val="000000"/>
          <w:sz w:val="18"/>
          <w:szCs w:val="18"/>
        </w:rPr>
        <w:t>Model Analysis</w:t>
      </w:r>
    </w:p>
    <w:p w:rsidR="00F8354A" w:rsidRPr="004A2681" w:rsidRDefault="00F8354A" w:rsidP="00F8354A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A wide comparative analysis was conducted on various sentence transformer models—including all-mpnet-base-v2, multi-qa-mpnet-base-dot-v1, all-distilroberta-v1, all-MiniLM-L12-v2, multi-qa-distilbert-cos-v1, paraphrase-albert-small-v2, and others—to identify the best-performing embeddings for retrieval accuracy and inference efficiency. The insights from this evaluation guided the model selection for optimal system performance.</w:t>
      </w:r>
    </w:p>
    <w:p w:rsidR="00A45838" w:rsidRPr="004A2681" w:rsidRDefault="00A45838" w:rsidP="00F8354A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This multifunctional chatbot demonstrates the effectiveness of combining</w:t>
      </w:r>
      <w:r w:rsidRPr="004A2681">
        <w:rPr>
          <w:rStyle w:val="apple-converted-space"/>
          <w:color w:val="000000"/>
          <w:sz w:val="18"/>
          <w:szCs w:val="18"/>
        </w:rPr>
        <w:t> </w:t>
      </w:r>
      <w:r w:rsidRPr="004A2681">
        <w:rPr>
          <w:rStyle w:val="Strong"/>
          <w:b w:val="0"/>
          <w:bCs w:val="0"/>
          <w:color w:val="000000"/>
          <w:sz w:val="18"/>
          <w:szCs w:val="18"/>
        </w:rPr>
        <w:t>transformer-based language models</w:t>
      </w:r>
      <w:r w:rsidRPr="004A2681">
        <w:rPr>
          <w:b/>
          <w:bCs/>
          <w:color w:val="000000"/>
          <w:sz w:val="18"/>
          <w:szCs w:val="18"/>
        </w:rPr>
        <w:t>,</w:t>
      </w:r>
      <w:r w:rsidRPr="004A2681">
        <w:rPr>
          <w:rStyle w:val="apple-converted-space"/>
          <w:b/>
          <w:bCs/>
          <w:color w:val="000000"/>
          <w:sz w:val="18"/>
          <w:szCs w:val="18"/>
        </w:rPr>
        <w:t> </w:t>
      </w:r>
      <w:r w:rsidRPr="004A2681">
        <w:rPr>
          <w:rStyle w:val="Strong"/>
          <w:b w:val="0"/>
          <w:bCs w:val="0"/>
          <w:color w:val="000000"/>
          <w:sz w:val="18"/>
          <w:szCs w:val="18"/>
        </w:rPr>
        <w:t>retrieval mechanisms</w:t>
      </w:r>
      <w:r w:rsidRPr="004A2681">
        <w:rPr>
          <w:b/>
          <w:bCs/>
          <w:color w:val="000000"/>
          <w:sz w:val="18"/>
          <w:szCs w:val="18"/>
        </w:rPr>
        <w:t xml:space="preserve">, </w:t>
      </w:r>
      <w:r w:rsidRPr="004A2681">
        <w:rPr>
          <w:color w:val="000000"/>
          <w:sz w:val="18"/>
          <w:szCs w:val="18"/>
        </w:rPr>
        <w:t>and</w:t>
      </w:r>
      <w:r w:rsidRPr="004A2681">
        <w:rPr>
          <w:rStyle w:val="apple-converted-space"/>
          <w:color w:val="000000"/>
          <w:sz w:val="18"/>
          <w:szCs w:val="18"/>
        </w:rPr>
        <w:t> </w:t>
      </w:r>
      <w:r w:rsidRPr="004A2681">
        <w:rPr>
          <w:rStyle w:val="Strong"/>
          <w:b w:val="0"/>
          <w:bCs w:val="0"/>
          <w:color w:val="000000"/>
          <w:sz w:val="18"/>
          <w:szCs w:val="18"/>
        </w:rPr>
        <w:t>sentiment analysis tools</w:t>
      </w:r>
      <w:r w:rsidRPr="004A2681">
        <w:rPr>
          <w:rStyle w:val="apple-converted-space"/>
          <w:color w:val="000000"/>
          <w:sz w:val="18"/>
          <w:szCs w:val="18"/>
        </w:rPr>
        <w:t> </w:t>
      </w:r>
      <w:r w:rsidRPr="004A2681">
        <w:rPr>
          <w:color w:val="000000"/>
          <w:sz w:val="18"/>
          <w:szCs w:val="18"/>
        </w:rPr>
        <w:t>to build a scalable and adaptable solution suitable for a wide range of real-world applications—from</w:t>
      </w:r>
      <w:r w:rsidRPr="004A2681">
        <w:rPr>
          <w:rStyle w:val="apple-converted-space"/>
          <w:color w:val="000000"/>
          <w:sz w:val="18"/>
          <w:szCs w:val="18"/>
        </w:rPr>
        <w:t> </w:t>
      </w:r>
      <w:r w:rsidRPr="004A2681">
        <w:rPr>
          <w:rStyle w:val="Strong"/>
          <w:b w:val="0"/>
          <w:bCs w:val="0"/>
          <w:color w:val="000000"/>
          <w:sz w:val="18"/>
          <w:szCs w:val="18"/>
        </w:rPr>
        <w:t>customer support</w:t>
      </w:r>
      <w:r w:rsidRPr="004A2681">
        <w:rPr>
          <w:rStyle w:val="apple-converted-space"/>
          <w:color w:val="000000"/>
          <w:sz w:val="18"/>
          <w:szCs w:val="18"/>
        </w:rPr>
        <w:t> </w:t>
      </w:r>
      <w:r w:rsidRPr="004A2681">
        <w:rPr>
          <w:color w:val="000000"/>
          <w:sz w:val="18"/>
          <w:szCs w:val="18"/>
        </w:rPr>
        <w:t>to</w:t>
      </w:r>
      <w:r w:rsidRPr="004A2681">
        <w:rPr>
          <w:rStyle w:val="apple-converted-space"/>
          <w:b/>
          <w:bCs/>
          <w:color w:val="000000"/>
          <w:sz w:val="18"/>
          <w:szCs w:val="18"/>
        </w:rPr>
        <w:t> </w:t>
      </w:r>
      <w:r w:rsidRPr="004A2681">
        <w:rPr>
          <w:rStyle w:val="Strong"/>
          <w:b w:val="0"/>
          <w:bCs w:val="0"/>
          <w:color w:val="000000"/>
          <w:sz w:val="18"/>
          <w:szCs w:val="18"/>
        </w:rPr>
        <w:t>research assistance</w:t>
      </w:r>
      <w:r w:rsidRPr="004A2681">
        <w:rPr>
          <w:rStyle w:val="apple-converted-space"/>
          <w:b/>
          <w:bCs/>
          <w:color w:val="000000"/>
          <w:sz w:val="18"/>
          <w:szCs w:val="18"/>
        </w:rPr>
        <w:t> </w:t>
      </w:r>
      <w:r w:rsidRPr="004A2681">
        <w:rPr>
          <w:color w:val="000000"/>
          <w:sz w:val="18"/>
          <w:szCs w:val="18"/>
        </w:rPr>
        <w:t>and</w:t>
      </w:r>
      <w:r w:rsidRPr="004A2681">
        <w:rPr>
          <w:rStyle w:val="apple-converted-space"/>
          <w:b/>
          <w:bCs/>
          <w:color w:val="000000"/>
          <w:sz w:val="18"/>
          <w:szCs w:val="18"/>
        </w:rPr>
        <w:t> </w:t>
      </w:r>
      <w:r w:rsidRPr="004A2681">
        <w:rPr>
          <w:rStyle w:val="Strong"/>
          <w:b w:val="0"/>
          <w:bCs w:val="0"/>
          <w:color w:val="000000"/>
          <w:sz w:val="18"/>
          <w:szCs w:val="18"/>
        </w:rPr>
        <w:t>automated domain-specific information retrieval</w:t>
      </w:r>
      <w:r w:rsidRPr="004A2681">
        <w:rPr>
          <w:b/>
          <w:bCs/>
          <w:color w:val="000000"/>
          <w:sz w:val="18"/>
          <w:szCs w:val="18"/>
        </w:rPr>
        <w:t>.</w:t>
      </w:r>
    </w:p>
    <w:tbl>
      <w:tblPr>
        <w:tblStyle w:val="TableGrid"/>
        <w:tblW w:w="9949" w:type="dxa"/>
        <w:tblInd w:w="-5" w:type="dxa"/>
        <w:tblLook w:val="04A0" w:firstRow="1" w:lastRow="0" w:firstColumn="1" w:lastColumn="0" w:noHBand="0" w:noVBand="1"/>
      </w:tblPr>
      <w:tblGrid>
        <w:gridCol w:w="1565"/>
        <w:gridCol w:w="1472"/>
        <w:gridCol w:w="1358"/>
        <w:gridCol w:w="1352"/>
        <w:gridCol w:w="1483"/>
        <w:gridCol w:w="2124"/>
        <w:gridCol w:w="339"/>
        <w:gridCol w:w="256"/>
      </w:tblGrid>
      <w:tr w:rsidR="00672487" w:rsidRPr="004A2681" w:rsidTr="003E564B">
        <w:trPr>
          <w:gridAfter w:val="1"/>
          <w:wAfter w:w="256" w:type="dxa"/>
          <w:trHeight w:val="1030"/>
        </w:trPr>
        <w:tc>
          <w:tcPr>
            <w:tcW w:w="1565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b/>
                <w:bCs/>
                <w:color w:val="000000"/>
                <w:sz w:val="18"/>
                <w:szCs w:val="18"/>
              </w:rPr>
            </w:pPr>
            <w:r w:rsidRPr="004A2681">
              <w:rPr>
                <w:b/>
                <w:bCs/>
                <w:color w:val="000000"/>
                <w:sz w:val="18"/>
                <w:szCs w:val="18"/>
              </w:rPr>
              <w:t>Model Name</w:t>
            </w:r>
          </w:p>
        </w:tc>
        <w:tc>
          <w:tcPr>
            <w:tcW w:w="1472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b/>
                <w:bCs/>
                <w:color w:val="000000"/>
                <w:sz w:val="18"/>
                <w:szCs w:val="18"/>
              </w:rPr>
            </w:pPr>
            <w:r w:rsidRPr="004A2681">
              <w:rPr>
                <w:b/>
                <w:bCs/>
                <w:color w:val="000000"/>
                <w:sz w:val="18"/>
                <w:szCs w:val="18"/>
              </w:rPr>
              <w:t>Language Support</w:t>
            </w:r>
          </w:p>
        </w:tc>
        <w:tc>
          <w:tcPr>
            <w:tcW w:w="1358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b/>
                <w:bCs/>
                <w:color w:val="000000"/>
                <w:sz w:val="18"/>
                <w:szCs w:val="18"/>
              </w:rPr>
            </w:pPr>
            <w:r w:rsidRPr="004A2681">
              <w:rPr>
                <w:b/>
                <w:bCs/>
                <w:color w:val="000000"/>
                <w:sz w:val="18"/>
                <w:szCs w:val="18"/>
              </w:rPr>
              <w:t>Embedding Size</w:t>
            </w:r>
          </w:p>
        </w:tc>
        <w:tc>
          <w:tcPr>
            <w:tcW w:w="1352" w:type="dxa"/>
          </w:tcPr>
          <w:p w:rsidR="007356FD" w:rsidRPr="004A2681" w:rsidRDefault="00672487" w:rsidP="007356FD">
            <w:pPr>
              <w:spacing w:before="100" w:beforeAutospacing="1" w:after="100" w:afterAutospacing="1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A2681">
              <w:rPr>
                <w:b/>
                <w:bCs/>
                <w:color w:val="000000"/>
                <w:sz w:val="18"/>
                <w:szCs w:val="18"/>
              </w:rPr>
              <w:t>Best_Score</w:t>
            </w:r>
            <w:proofErr w:type="spellEnd"/>
          </w:p>
        </w:tc>
        <w:tc>
          <w:tcPr>
            <w:tcW w:w="1483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b/>
                <w:bCs/>
                <w:color w:val="000000"/>
                <w:sz w:val="18"/>
                <w:szCs w:val="18"/>
              </w:rPr>
            </w:pPr>
            <w:r w:rsidRPr="004A2681">
              <w:rPr>
                <w:b/>
                <w:bCs/>
                <w:color w:val="000000"/>
                <w:sz w:val="18"/>
                <w:szCs w:val="18"/>
              </w:rPr>
              <w:t>Response Time</w:t>
            </w:r>
          </w:p>
        </w:tc>
        <w:tc>
          <w:tcPr>
            <w:tcW w:w="2463" w:type="dxa"/>
            <w:gridSpan w:val="2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b/>
                <w:bCs/>
                <w:color w:val="000000"/>
                <w:sz w:val="18"/>
                <w:szCs w:val="18"/>
              </w:rPr>
            </w:pPr>
            <w:r w:rsidRPr="004A2681">
              <w:rPr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672487" w:rsidRPr="004A2681" w:rsidTr="00672487">
        <w:trPr>
          <w:gridAfter w:val="1"/>
          <w:wAfter w:w="256" w:type="dxa"/>
          <w:trHeight w:val="1385"/>
        </w:trPr>
        <w:tc>
          <w:tcPr>
            <w:tcW w:w="1565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paraphrase-multilingual-mpnet-base-v2</w:t>
            </w:r>
          </w:p>
        </w:tc>
        <w:tc>
          <w:tcPr>
            <w:tcW w:w="1472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50+ languages</w:t>
            </w:r>
          </w:p>
        </w:tc>
        <w:tc>
          <w:tcPr>
            <w:tcW w:w="1358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768</w:t>
            </w:r>
          </w:p>
        </w:tc>
        <w:tc>
          <w:tcPr>
            <w:tcW w:w="1352" w:type="dxa"/>
          </w:tcPr>
          <w:p w:rsidR="007356FD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0.8703</w:t>
            </w:r>
          </w:p>
        </w:tc>
        <w:tc>
          <w:tcPr>
            <w:tcW w:w="1483" w:type="dxa"/>
          </w:tcPr>
          <w:p w:rsidR="007356FD" w:rsidRPr="004A2681" w:rsidRDefault="00471689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Fast</w:t>
            </w:r>
          </w:p>
        </w:tc>
        <w:tc>
          <w:tcPr>
            <w:tcW w:w="2463" w:type="dxa"/>
            <w:gridSpan w:val="2"/>
          </w:tcPr>
          <w:p w:rsidR="004A2681" w:rsidRPr="004A2681" w:rsidRDefault="004A2681" w:rsidP="004A2681">
            <w:pPr>
              <w:rPr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</w:tblGrid>
            <w:tr w:rsidR="004A2681" w:rsidRPr="004A2681" w:rsidTr="004A26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2681" w:rsidRPr="004A2681" w:rsidRDefault="004A2681" w:rsidP="004A2681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A2681">
                    <w:rPr>
                      <w:color w:val="000000"/>
                      <w:sz w:val="18"/>
                      <w:szCs w:val="18"/>
                    </w:rPr>
                    <w:t>Produces high-quality multilingual embeddings; performs well in cross-lingual semantic matching tasks.</w:t>
                  </w:r>
                </w:p>
              </w:tc>
            </w:tr>
          </w:tbl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</w:p>
        </w:tc>
      </w:tr>
      <w:tr w:rsidR="00672487" w:rsidRPr="004A2681" w:rsidTr="003E564B">
        <w:trPr>
          <w:gridAfter w:val="1"/>
          <w:wAfter w:w="256" w:type="dxa"/>
          <w:trHeight w:val="907"/>
        </w:trPr>
        <w:tc>
          <w:tcPr>
            <w:tcW w:w="1565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lastRenderedPageBreak/>
              <w:t>paraphrase-albert-small-v2</w:t>
            </w:r>
          </w:p>
        </w:tc>
        <w:tc>
          <w:tcPr>
            <w:tcW w:w="1472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English only</w:t>
            </w:r>
          </w:p>
        </w:tc>
        <w:tc>
          <w:tcPr>
            <w:tcW w:w="1358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768</w:t>
            </w:r>
          </w:p>
        </w:tc>
        <w:tc>
          <w:tcPr>
            <w:tcW w:w="1352" w:type="dxa"/>
          </w:tcPr>
          <w:p w:rsidR="007356FD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0.8633</w:t>
            </w:r>
          </w:p>
        </w:tc>
        <w:tc>
          <w:tcPr>
            <w:tcW w:w="1483" w:type="dxa"/>
          </w:tcPr>
          <w:p w:rsidR="007356FD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2463" w:type="dxa"/>
            <w:gridSpan w:val="2"/>
          </w:tcPr>
          <w:p w:rsidR="007356FD" w:rsidRPr="004A2681" w:rsidRDefault="004A2681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rFonts w:ascii="-webkit-standard" w:hAnsi="-webkit-standard"/>
                <w:color w:val="000000"/>
                <w:sz w:val="18"/>
                <w:szCs w:val="18"/>
              </w:rPr>
              <w:t>Lightweight and fast model; suitable for limited-resource environments but offers lower accuracy.</w:t>
            </w:r>
          </w:p>
        </w:tc>
      </w:tr>
      <w:tr w:rsidR="00672487" w:rsidRPr="004A2681" w:rsidTr="003E564B">
        <w:trPr>
          <w:gridAfter w:val="1"/>
          <w:wAfter w:w="256" w:type="dxa"/>
          <w:trHeight w:val="1215"/>
        </w:trPr>
        <w:tc>
          <w:tcPr>
            <w:tcW w:w="1565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paraphrase-multilingual-MiniLM-L12-v2</w:t>
            </w:r>
          </w:p>
        </w:tc>
        <w:tc>
          <w:tcPr>
            <w:tcW w:w="1472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50+ languages</w:t>
            </w:r>
          </w:p>
        </w:tc>
        <w:tc>
          <w:tcPr>
            <w:tcW w:w="1358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384</w:t>
            </w:r>
          </w:p>
        </w:tc>
        <w:tc>
          <w:tcPr>
            <w:tcW w:w="1352" w:type="dxa"/>
          </w:tcPr>
          <w:p w:rsidR="007356FD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0.9801</w:t>
            </w:r>
          </w:p>
        </w:tc>
        <w:tc>
          <w:tcPr>
            <w:tcW w:w="1483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Fast</w:t>
            </w:r>
          </w:p>
        </w:tc>
        <w:tc>
          <w:tcPr>
            <w:tcW w:w="2463" w:type="dxa"/>
            <w:gridSpan w:val="2"/>
          </w:tcPr>
          <w:p w:rsidR="007356FD" w:rsidRPr="004A2681" w:rsidRDefault="004A2681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rFonts w:ascii="-webkit-standard" w:hAnsi="-webkit-standard"/>
                <w:color w:val="000000"/>
                <w:sz w:val="18"/>
                <w:szCs w:val="18"/>
              </w:rPr>
              <w:t>Delivers an excellent balance of speed and accuracy; ideal for multilingual, high-performance tasks.</w:t>
            </w:r>
          </w:p>
        </w:tc>
      </w:tr>
      <w:tr w:rsidR="00672487" w:rsidRPr="004A2681" w:rsidTr="003E564B">
        <w:trPr>
          <w:gridAfter w:val="1"/>
          <w:wAfter w:w="256" w:type="dxa"/>
          <w:trHeight w:val="907"/>
        </w:trPr>
        <w:tc>
          <w:tcPr>
            <w:tcW w:w="1565" w:type="dxa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paraphrase-MiniLM-L3-v2</w:t>
            </w:r>
          </w:p>
        </w:tc>
        <w:tc>
          <w:tcPr>
            <w:tcW w:w="1472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English only</w:t>
            </w:r>
          </w:p>
        </w:tc>
        <w:tc>
          <w:tcPr>
            <w:tcW w:w="1358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384</w:t>
            </w:r>
          </w:p>
        </w:tc>
        <w:tc>
          <w:tcPr>
            <w:tcW w:w="1352" w:type="dxa"/>
          </w:tcPr>
          <w:p w:rsidR="007356FD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0.9595</w:t>
            </w:r>
          </w:p>
        </w:tc>
        <w:tc>
          <w:tcPr>
            <w:tcW w:w="1483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Very Fast</w:t>
            </w:r>
          </w:p>
        </w:tc>
        <w:tc>
          <w:tcPr>
            <w:tcW w:w="2463" w:type="dxa"/>
            <w:gridSpan w:val="2"/>
          </w:tcPr>
          <w:p w:rsidR="007356FD" w:rsidRPr="004A2681" w:rsidRDefault="004A2681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rFonts w:ascii="-webkit-standard" w:hAnsi="-webkit-standard"/>
                <w:color w:val="000000"/>
                <w:sz w:val="18"/>
                <w:szCs w:val="18"/>
              </w:rPr>
              <w:t>Extremely lightweight model; offers very fast inference with slightly reduced accuracy.</w:t>
            </w:r>
          </w:p>
        </w:tc>
      </w:tr>
      <w:tr w:rsidR="00672487" w:rsidRPr="004A2681" w:rsidTr="003E564B">
        <w:trPr>
          <w:gridAfter w:val="1"/>
          <w:wAfter w:w="256" w:type="dxa"/>
          <w:trHeight w:val="1195"/>
        </w:trPr>
        <w:tc>
          <w:tcPr>
            <w:tcW w:w="1565" w:type="dxa"/>
          </w:tcPr>
          <w:p w:rsidR="008B41B8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distiluse-base-multilingual-cased-v1</w:t>
            </w:r>
          </w:p>
        </w:tc>
        <w:tc>
          <w:tcPr>
            <w:tcW w:w="1472" w:type="dxa"/>
          </w:tcPr>
          <w:p w:rsidR="008B41B8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50+ languages</w:t>
            </w:r>
          </w:p>
        </w:tc>
        <w:tc>
          <w:tcPr>
            <w:tcW w:w="1358" w:type="dxa"/>
          </w:tcPr>
          <w:p w:rsidR="008B41B8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512</w:t>
            </w:r>
          </w:p>
        </w:tc>
        <w:tc>
          <w:tcPr>
            <w:tcW w:w="1352" w:type="dxa"/>
          </w:tcPr>
          <w:p w:rsidR="008B41B8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0.8338</w:t>
            </w:r>
          </w:p>
        </w:tc>
        <w:tc>
          <w:tcPr>
            <w:tcW w:w="1483" w:type="dxa"/>
          </w:tcPr>
          <w:p w:rsidR="008B41B8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2463" w:type="dxa"/>
            <w:gridSpan w:val="2"/>
          </w:tcPr>
          <w:p w:rsidR="008B41B8" w:rsidRPr="004A2681" w:rsidRDefault="004A2681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rFonts w:ascii="-webkit-standard" w:hAnsi="-webkit-standard"/>
                <w:color w:val="000000"/>
                <w:sz w:val="18"/>
                <w:szCs w:val="18"/>
              </w:rPr>
              <w:t>Good cross-lingual performance with moderate speed; suitable for multilingual use cases</w:t>
            </w:r>
          </w:p>
        </w:tc>
      </w:tr>
      <w:tr w:rsidR="00672487" w:rsidRPr="004A2681" w:rsidTr="003E564B">
        <w:trPr>
          <w:gridAfter w:val="1"/>
          <w:wAfter w:w="256" w:type="dxa"/>
          <w:trHeight w:val="1195"/>
        </w:trPr>
        <w:tc>
          <w:tcPr>
            <w:tcW w:w="1565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distiluse-base-multilingual-cased-v2</w:t>
            </w:r>
          </w:p>
        </w:tc>
        <w:tc>
          <w:tcPr>
            <w:tcW w:w="1472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15+ languages</w:t>
            </w:r>
          </w:p>
        </w:tc>
        <w:tc>
          <w:tcPr>
            <w:tcW w:w="1358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512</w:t>
            </w:r>
          </w:p>
        </w:tc>
        <w:tc>
          <w:tcPr>
            <w:tcW w:w="1352" w:type="dxa"/>
          </w:tcPr>
          <w:p w:rsidR="007356FD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0.79203</w:t>
            </w:r>
          </w:p>
        </w:tc>
        <w:tc>
          <w:tcPr>
            <w:tcW w:w="1483" w:type="dxa"/>
          </w:tcPr>
          <w:p w:rsidR="007356FD" w:rsidRPr="004A2681" w:rsidRDefault="008B41B8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2463" w:type="dxa"/>
            <w:gridSpan w:val="2"/>
          </w:tcPr>
          <w:p w:rsidR="007356FD" w:rsidRPr="004A2681" w:rsidRDefault="004A2681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rFonts w:ascii="-webkit-standard" w:hAnsi="-webkit-standard"/>
                <w:color w:val="000000"/>
                <w:sz w:val="18"/>
                <w:szCs w:val="18"/>
              </w:rPr>
              <w:t>Faster inference than v1 with comparable multilingual capabilities; slightly reduced accuracy.</w:t>
            </w:r>
          </w:p>
        </w:tc>
      </w:tr>
      <w:tr w:rsidR="00672487" w:rsidRPr="004A2681" w:rsidTr="003E564B">
        <w:trPr>
          <w:gridAfter w:val="1"/>
          <w:wAfter w:w="256" w:type="dxa"/>
          <w:trHeight w:val="1195"/>
        </w:trPr>
        <w:tc>
          <w:tcPr>
            <w:tcW w:w="1565" w:type="dxa"/>
          </w:tcPr>
          <w:p w:rsidR="003E564B" w:rsidRPr="004A2681" w:rsidRDefault="003E564B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all-mpnet-base-v2</w:t>
            </w:r>
          </w:p>
        </w:tc>
        <w:tc>
          <w:tcPr>
            <w:tcW w:w="1472" w:type="dxa"/>
          </w:tcPr>
          <w:p w:rsidR="003E564B" w:rsidRPr="004A2681" w:rsidRDefault="003E564B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English only</w:t>
            </w:r>
          </w:p>
        </w:tc>
        <w:tc>
          <w:tcPr>
            <w:tcW w:w="1358" w:type="dxa"/>
          </w:tcPr>
          <w:p w:rsidR="003E564B" w:rsidRPr="004A2681" w:rsidRDefault="003E564B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768</w:t>
            </w:r>
          </w:p>
        </w:tc>
        <w:tc>
          <w:tcPr>
            <w:tcW w:w="1352" w:type="dxa"/>
          </w:tcPr>
          <w:p w:rsidR="003E564B" w:rsidRPr="004A2681" w:rsidRDefault="00672487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0.72351</w:t>
            </w:r>
          </w:p>
        </w:tc>
        <w:tc>
          <w:tcPr>
            <w:tcW w:w="1483" w:type="dxa"/>
          </w:tcPr>
          <w:p w:rsidR="003E564B" w:rsidRPr="004A2681" w:rsidRDefault="003E564B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2463" w:type="dxa"/>
            <w:gridSpan w:val="2"/>
          </w:tcPr>
          <w:p w:rsidR="003E564B" w:rsidRPr="004A2681" w:rsidRDefault="004A2681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  <w:r w:rsidRPr="004A2681">
              <w:rPr>
                <w:rFonts w:ascii="-webkit-standard" w:hAnsi="-webkit-standard"/>
                <w:color w:val="000000"/>
                <w:sz w:val="18"/>
                <w:szCs w:val="18"/>
              </w:rPr>
              <w:t>Provides high semantic accuracy for domain-specific queries; less suited for latency-sensitive tasks.</w:t>
            </w:r>
          </w:p>
        </w:tc>
      </w:tr>
      <w:tr w:rsidR="007356FD" w:rsidRPr="004A2681" w:rsidTr="003E56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595" w:type="dxa"/>
          <w:trHeight w:val="100"/>
        </w:trPr>
        <w:tc>
          <w:tcPr>
            <w:tcW w:w="9354" w:type="dxa"/>
            <w:gridSpan w:val="6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</w:p>
        </w:tc>
      </w:tr>
      <w:tr w:rsidR="007356FD" w:rsidRPr="004A2681" w:rsidTr="003E564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9354" w:type="dxa"/>
          <w:trHeight w:val="100"/>
        </w:trPr>
        <w:tc>
          <w:tcPr>
            <w:tcW w:w="595" w:type="dxa"/>
            <w:gridSpan w:val="2"/>
          </w:tcPr>
          <w:p w:rsidR="007356FD" w:rsidRPr="004A2681" w:rsidRDefault="007356FD" w:rsidP="007356FD">
            <w:pPr>
              <w:spacing w:before="100" w:beforeAutospacing="1" w:after="100" w:afterAutospacing="1"/>
              <w:rPr>
                <w:color w:val="000000"/>
                <w:sz w:val="18"/>
                <w:szCs w:val="18"/>
              </w:rPr>
            </w:pPr>
          </w:p>
        </w:tc>
      </w:tr>
    </w:tbl>
    <w:p w:rsidR="007356FD" w:rsidRPr="004A2681" w:rsidRDefault="007356FD" w:rsidP="00F8354A">
      <w:pPr>
        <w:spacing w:before="100" w:beforeAutospacing="1" w:after="100" w:afterAutospacing="1"/>
        <w:rPr>
          <w:color w:val="000000"/>
          <w:sz w:val="18"/>
          <w:szCs w:val="18"/>
        </w:rPr>
      </w:pPr>
    </w:p>
    <w:p w:rsidR="00C20147" w:rsidRPr="004A2681" w:rsidRDefault="00C20147" w:rsidP="00C20147">
      <w:pPr>
        <w:pStyle w:val="NormalWeb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Each model was analysed in terms of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rStyle w:val="Strong"/>
          <w:rFonts w:eastAsiaTheme="majorEastAsia"/>
          <w:b w:val="0"/>
          <w:bCs w:val="0"/>
          <w:color w:val="000000"/>
          <w:sz w:val="18"/>
          <w:szCs w:val="18"/>
        </w:rPr>
        <w:t>accuracy, inference time, embedding quality, language support, and computational efficiency</w:t>
      </w:r>
      <w:r w:rsidRPr="004A2681">
        <w:rPr>
          <w:color w:val="000000"/>
          <w:sz w:val="18"/>
          <w:szCs w:val="18"/>
        </w:rPr>
        <w:t>. This analysis informed the selection of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rStyle w:val="HTMLCode"/>
          <w:rFonts w:ascii="Times New Roman" w:eastAsiaTheme="majorEastAsia" w:hAnsi="Times New Roman" w:cs="Times New Roman"/>
          <w:color w:val="000000"/>
          <w:sz w:val="18"/>
          <w:szCs w:val="18"/>
        </w:rPr>
        <w:t>paraphrase-multilingual-MiniLM-L12-v2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color w:val="000000"/>
          <w:sz w:val="18"/>
          <w:szCs w:val="18"/>
        </w:rPr>
        <w:t>for final deployment, as it provided the best trade-off between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rStyle w:val="Strong"/>
          <w:rFonts w:eastAsiaTheme="majorEastAsia"/>
          <w:b w:val="0"/>
          <w:bCs w:val="0"/>
          <w:color w:val="000000"/>
          <w:sz w:val="18"/>
          <w:szCs w:val="18"/>
        </w:rPr>
        <w:t>semantic understanding and real-time performance</w:t>
      </w:r>
      <w:r w:rsidRPr="004A2681">
        <w:rPr>
          <w:color w:val="000000"/>
          <w:sz w:val="18"/>
          <w:szCs w:val="18"/>
        </w:rPr>
        <w:t>, essential for a responsive chatbot experience.</w:t>
      </w:r>
    </w:p>
    <w:p w:rsidR="00C20147" w:rsidRPr="004A2681" w:rsidRDefault="00C20147" w:rsidP="00C20147">
      <w:pPr>
        <w:pStyle w:val="NormalWeb"/>
        <w:rPr>
          <w:color w:val="000000"/>
          <w:sz w:val="18"/>
          <w:szCs w:val="18"/>
        </w:rPr>
      </w:pPr>
      <w:r w:rsidRPr="004A2681">
        <w:rPr>
          <w:color w:val="000000"/>
          <w:sz w:val="18"/>
          <w:szCs w:val="18"/>
        </w:rPr>
        <w:t>The use of these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rStyle w:val="Strong"/>
          <w:rFonts w:eastAsiaTheme="majorEastAsia"/>
          <w:b w:val="0"/>
          <w:bCs w:val="0"/>
          <w:color w:val="000000"/>
          <w:sz w:val="18"/>
          <w:szCs w:val="18"/>
        </w:rPr>
        <w:t>pre-trained models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color w:val="000000"/>
          <w:sz w:val="18"/>
          <w:szCs w:val="18"/>
        </w:rPr>
        <w:t>greatly accelerated the development process by providing powerful linguistic representations trained on massive corpora. This eliminated the need for training from scratch and enabled</w:t>
      </w:r>
      <w:r w:rsidRPr="004A2681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4A2681">
        <w:rPr>
          <w:rStyle w:val="Strong"/>
          <w:rFonts w:eastAsiaTheme="majorEastAsia"/>
          <w:b w:val="0"/>
          <w:bCs w:val="0"/>
          <w:color w:val="000000"/>
          <w:sz w:val="18"/>
          <w:szCs w:val="18"/>
        </w:rPr>
        <w:t>domain-specific fine-tuning</w:t>
      </w:r>
      <w:r w:rsidRPr="004A2681">
        <w:rPr>
          <w:b/>
          <w:bCs/>
          <w:color w:val="000000"/>
          <w:sz w:val="18"/>
          <w:szCs w:val="18"/>
        </w:rPr>
        <w:t>,</w:t>
      </w:r>
      <w:r w:rsidRPr="004A2681">
        <w:rPr>
          <w:color w:val="000000"/>
          <w:sz w:val="18"/>
          <w:szCs w:val="18"/>
        </w:rPr>
        <w:t xml:space="preserve"> which significantly enhanced the chatbot’s ability to interpret queries in specialized fields like symptom-based diagnosis or financial consultation</w:t>
      </w:r>
    </w:p>
    <w:p w:rsidR="006F1C6F" w:rsidRPr="006F1C6F" w:rsidRDefault="006F1C6F" w:rsidP="006F1C6F">
      <w:pPr>
        <w:spacing w:before="100" w:beforeAutospacing="1" w:after="100" w:afterAutospacing="1"/>
        <w:outlineLvl w:val="1"/>
        <w:rPr>
          <w:b/>
          <w:bCs/>
          <w:color w:val="000000"/>
          <w:sz w:val="18"/>
          <w:szCs w:val="18"/>
        </w:rPr>
      </w:pPr>
      <w:r w:rsidRPr="006F1C6F">
        <w:rPr>
          <w:b/>
          <w:bCs/>
          <w:color w:val="000000"/>
          <w:sz w:val="18"/>
          <w:szCs w:val="18"/>
        </w:rPr>
        <w:t>Dataset Description and Analysis</w:t>
      </w:r>
    </w:p>
    <w:p w:rsidR="006F1C6F" w:rsidRPr="006F1C6F" w:rsidRDefault="006F1C6F" w:rsidP="006F1C6F">
      <w:pPr>
        <w:spacing w:before="100" w:beforeAutospacing="1" w:after="100" w:afterAutospacing="1"/>
        <w:rPr>
          <w:color w:val="000000"/>
          <w:sz w:val="18"/>
          <w:szCs w:val="18"/>
        </w:rPr>
      </w:pPr>
      <w:r w:rsidRPr="006F1C6F">
        <w:rPr>
          <w:color w:val="000000"/>
          <w:sz w:val="18"/>
          <w:szCs w:val="18"/>
        </w:rPr>
        <w:t>The effectiveness of a retrieval-based conversational agent is highly dependent on the diversity, structure, and semantic richness of its underlying dataset. In this study, a well-organized, multi-domain, and multi-intent dataset was employed to train and evaluate a transformer-based chatbot capable of responding to user queries across healthcare, finance, and general-purpose domains.</w:t>
      </w:r>
    </w:p>
    <w:p w:rsidR="009F04B4" w:rsidRPr="009F04B4" w:rsidRDefault="00E01874" w:rsidP="00E01874">
      <w:pPr>
        <w:spacing w:before="100" w:beforeAutospacing="1" w:after="100" w:afterAutospacing="1"/>
        <w:ind w:left="720"/>
        <w:outlineLvl w:val="2"/>
        <w:rPr>
          <w:b/>
          <w:bCs/>
          <w:color w:val="000000"/>
          <w:sz w:val="18"/>
          <w:szCs w:val="18"/>
        </w:rPr>
      </w:pPr>
      <w:proofErr w:type="spellStart"/>
      <w:r w:rsidRPr="004A2681">
        <w:rPr>
          <w:b/>
          <w:bCs/>
          <w:color w:val="000000"/>
          <w:sz w:val="18"/>
          <w:szCs w:val="18"/>
        </w:rPr>
        <w:t>A.</w:t>
      </w:r>
      <w:r w:rsidR="009F04B4" w:rsidRPr="009F04B4">
        <w:rPr>
          <w:b/>
          <w:bCs/>
          <w:color w:val="000000"/>
          <w:sz w:val="18"/>
          <w:szCs w:val="18"/>
        </w:rPr>
        <w:t>Dataset</w:t>
      </w:r>
      <w:proofErr w:type="spellEnd"/>
      <w:r w:rsidR="009F04B4" w:rsidRPr="009F04B4">
        <w:rPr>
          <w:b/>
          <w:bCs/>
          <w:color w:val="000000"/>
          <w:sz w:val="18"/>
          <w:szCs w:val="18"/>
        </w:rPr>
        <w:t xml:space="preserve"> Structure</w:t>
      </w:r>
    </w:p>
    <w:p w:rsidR="009F04B4" w:rsidRPr="004A2681" w:rsidRDefault="009F04B4" w:rsidP="00E01874">
      <w:pPr>
        <w:spacing w:before="100" w:beforeAutospacing="1" w:after="100" w:afterAutospacing="1"/>
        <w:ind w:left="720"/>
        <w:rPr>
          <w:color w:val="000000"/>
          <w:sz w:val="18"/>
          <w:szCs w:val="18"/>
        </w:rPr>
      </w:pPr>
      <w:r w:rsidRPr="009F04B4">
        <w:rPr>
          <w:color w:val="000000"/>
          <w:sz w:val="18"/>
          <w:szCs w:val="18"/>
        </w:rPr>
        <w:t>The dataset comprises </w:t>
      </w:r>
      <w:r w:rsidRPr="009F04B4">
        <w:rPr>
          <w:b/>
          <w:bCs/>
          <w:color w:val="000000"/>
          <w:sz w:val="18"/>
          <w:szCs w:val="18"/>
        </w:rPr>
        <w:t>7,765 instances</w:t>
      </w:r>
      <w:r w:rsidRPr="009F04B4">
        <w:rPr>
          <w:color w:val="000000"/>
          <w:sz w:val="18"/>
          <w:szCs w:val="18"/>
        </w:rPr>
        <w:t>, each represented across four textual fields: domain, query, response, and intent. All entries are non-null, and the dataset is free from missing or malformed records. The structure is as follows:</w:t>
      </w:r>
    </w:p>
    <w:p w:rsidR="009F04B4" w:rsidRPr="009F04B4" w:rsidRDefault="00E01874" w:rsidP="00E01874">
      <w:pPr>
        <w:spacing w:before="100" w:beforeAutospacing="1" w:after="100" w:afterAutospacing="1"/>
        <w:ind w:left="720"/>
        <w:outlineLvl w:val="2"/>
        <w:rPr>
          <w:b/>
          <w:bCs/>
          <w:color w:val="000000"/>
          <w:sz w:val="18"/>
          <w:szCs w:val="18"/>
        </w:rPr>
      </w:pPr>
      <w:proofErr w:type="spellStart"/>
      <w:r w:rsidRPr="004A2681">
        <w:rPr>
          <w:b/>
          <w:bCs/>
          <w:color w:val="000000"/>
          <w:sz w:val="18"/>
          <w:szCs w:val="18"/>
        </w:rPr>
        <w:t>B.</w:t>
      </w:r>
      <w:r w:rsidR="009F04B4" w:rsidRPr="009F04B4">
        <w:rPr>
          <w:b/>
          <w:bCs/>
          <w:color w:val="000000"/>
          <w:sz w:val="18"/>
          <w:szCs w:val="18"/>
        </w:rPr>
        <w:t>Statistical</w:t>
      </w:r>
      <w:proofErr w:type="spellEnd"/>
      <w:r w:rsidR="009F04B4" w:rsidRPr="009F04B4">
        <w:rPr>
          <w:b/>
          <w:bCs/>
          <w:color w:val="000000"/>
          <w:sz w:val="18"/>
          <w:szCs w:val="18"/>
        </w:rPr>
        <w:t xml:space="preserve"> Summary</w:t>
      </w:r>
    </w:p>
    <w:p w:rsidR="009F04B4" w:rsidRPr="009F04B4" w:rsidRDefault="009F04B4" w:rsidP="00E0187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  <w:sz w:val="18"/>
          <w:szCs w:val="18"/>
        </w:rPr>
      </w:pPr>
      <w:r w:rsidRPr="009F04B4">
        <w:rPr>
          <w:b/>
          <w:bCs/>
          <w:color w:val="000000"/>
          <w:sz w:val="18"/>
          <w:szCs w:val="18"/>
        </w:rPr>
        <w:t>Total Records</w:t>
      </w:r>
      <w:r w:rsidRPr="009F04B4">
        <w:rPr>
          <w:color w:val="000000"/>
          <w:sz w:val="18"/>
          <w:szCs w:val="18"/>
        </w:rPr>
        <w:t>: 7,765</w:t>
      </w:r>
    </w:p>
    <w:p w:rsidR="009F04B4" w:rsidRPr="009F04B4" w:rsidRDefault="009F04B4" w:rsidP="00E0187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  <w:sz w:val="18"/>
          <w:szCs w:val="18"/>
        </w:rPr>
      </w:pPr>
      <w:r w:rsidRPr="009F04B4">
        <w:rPr>
          <w:b/>
          <w:bCs/>
          <w:color w:val="000000"/>
          <w:sz w:val="18"/>
          <w:szCs w:val="18"/>
        </w:rPr>
        <w:lastRenderedPageBreak/>
        <w:t>Unique Queries</w:t>
      </w:r>
      <w:r w:rsidRPr="009F04B4">
        <w:rPr>
          <w:color w:val="000000"/>
          <w:sz w:val="18"/>
          <w:szCs w:val="18"/>
        </w:rPr>
        <w:t>: 7,039</w:t>
      </w:r>
    </w:p>
    <w:p w:rsidR="009F04B4" w:rsidRPr="009F04B4" w:rsidRDefault="009F04B4" w:rsidP="00E0187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  <w:sz w:val="18"/>
          <w:szCs w:val="18"/>
        </w:rPr>
      </w:pPr>
      <w:r w:rsidRPr="009F04B4">
        <w:rPr>
          <w:b/>
          <w:bCs/>
          <w:color w:val="000000"/>
          <w:sz w:val="18"/>
          <w:szCs w:val="18"/>
        </w:rPr>
        <w:t>Unique Responses</w:t>
      </w:r>
      <w:r w:rsidRPr="009F04B4">
        <w:rPr>
          <w:color w:val="000000"/>
          <w:sz w:val="18"/>
          <w:szCs w:val="18"/>
        </w:rPr>
        <w:t>: 6,967</w:t>
      </w:r>
    </w:p>
    <w:p w:rsidR="009F04B4" w:rsidRPr="009F04B4" w:rsidRDefault="009F04B4" w:rsidP="00E0187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  <w:sz w:val="18"/>
          <w:szCs w:val="18"/>
        </w:rPr>
      </w:pPr>
      <w:r w:rsidRPr="009F04B4">
        <w:rPr>
          <w:b/>
          <w:bCs/>
          <w:color w:val="000000"/>
          <w:sz w:val="18"/>
          <w:szCs w:val="18"/>
        </w:rPr>
        <w:t>Unique Intents</w:t>
      </w:r>
      <w:r w:rsidRPr="009F04B4">
        <w:rPr>
          <w:color w:val="000000"/>
          <w:sz w:val="18"/>
          <w:szCs w:val="18"/>
        </w:rPr>
        <w:t>: 32</w:t>
      </w:r>
    </w:p>
    <w:p w:rsidR="009F04B4" w:rsidRPr="009F04B4" w:rsidRDefault="009F04B4" w:rsidP="00E0187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  <w:sz w:val="18"/>
          <w:szCs w:val="18"/>
        </w:rPr>
      </w:pPr>
      <w:r w:rsidRPr="009F04B4">
        <w:rPr>
          <w:b/>
          <w:bCs/>
          <w:color w:val="000000"/>
          <w:sz w:val="18"/>
          <w:szCs w:val="18"/>
        </w:rPr>
        <w:t>Unique Domains</w:t>
      </w:r>
      <w:r w:rsidRPr="009F04B4">
        <w:rPr>
          <w:color w:val="000000"/>
          <w:sz w:val="18"/>
          <w:szCs w:val="18"/>
        </w:rPr>
        <w:t>: 12</w:t>
      </w:r>
    </w:p>
    <w:p w:rsidR="009F04B4" w:rsidRPr="009F04B4" w:rsidRDefault="009F04B4" w:rsidP="00E0187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  <w:sz w:val="18"/>
          <w:szCs w:val="18"/>
        </w:rPr>
      </w:pPr>
      <w:r w:rsidRPr="009F04B4">
        <w:rPr>
          <w:b/>
          <w:bCs/>
          <w:color w:val="000000"/>
          <w:sz w:val="18"/>
          <w:szCs w:val="18"/>
        </w:rPr>
        <w:t>Data Type</w:t>
      </w:r>
      <w:r w:rsidRPr="009F04B4">
        <w:rPr>
          <w:color w:val="000000"/>
          <w:sz w:val="18"/>
          <w:szCs w:val="18"/>
        </w:rPr>
        <w:t>: All columns are of string (object) type</w:t>
      </w:r>
    </w:p>
    <w:p w:rsidR="009F04B4" w:rsidRPr="009F04B4" w:rsidRDefault="009F04B4" w:rsidP="00E01874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color w:val="000000"/>
          <w:sz w:val="18"/>
          <w:szCs w:val="18"/>
        </w:rPr>
      </w:pPr>
      <w:r w:rsidRPr="009F04B4">
        <w:rPr>
          <w:b/>
          <w:bCs/>
          <w:color w:val="000000"/>
          <w:sz w:val="18"/>
          <w:szCs w:val="18"/>
        </w:rPr>
        <w:t>Memory Footprint</w:t>
      </w:r>
      <w:r w:rsidRPr="009F04B4">
        <w:rPr>
          <w:color w:val="000000"/>
          <w:sz w:val="18"/>
          <w:szCs w:val="18"/>
        </w:rPr>
        <w:t>: ~243 KB</w:t>
      </w:r>
    </w:p>
    <w:p w:rsidR="009F04B4" w:rsidRPr="004A2681" w:rsidRDefault="009F04B4" w:rsidP="00E01874">
      <w:pPr>
        <w:spacing w:before="100" w:beforeAutospacing="1" w:after="100" w:afterAutospacing="1"/>
        <w:ind w:left="720"/>
        <w:rPr>
          <w:color w:val="000000"/>
          <w:sz w:val="18"/>
          <w:szCs w:val="18"/>
        </w:rPr>
      </w:pPr>
    </w:p>
    <w:p w:rsidR="009F04B4" w:rsidRPr="004A2681" w:rsidRDefault="009F04B4" w:rsidP="00E01874">
      <w:pPr>
        <w:spacing w:before="100" w:beforeAutospacing="1" w:after="100" w:afterAutospacing="1"/>
        <w:ind w:left="720"/>
        <w:rPr>
          <w:color w:val="000000"/>
          <w:sz w:val="18"/>
          <w:szCs w:val="18"/>
        </w:rPr>
      </w:pPr>
      <w:r w:rsidRPr="004A2681">
        <w:rPr>
          <w:noProof/>
          <w:color w:val="000000"/>
          <w:sz w:val="18"/>
          <w:szCs w:val="18"/>
        </w:rPr>
        <w:drawing>
          <wp:inline distT="0" distB="0" distL="0" distR="0">
            <wp:extent cx="3454400" cy="1765300"/>
            <wp:effectExtent l="0" t="0" r="0" b="0"/>
            <wp:docPr id="14199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77049" name="Picture 1419977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74" w:rsidRPr="009F04B4" w:rsidRDefault="00E01874" w:rsidP="00E01874">
      <w:pPr>
        <w:spacing w:before="100" w:beforeAutospacing="1" w:after="100" w:afterAutospacing="1"/>
        <w:ind w:left="720"/>
        <w:rPr>
          <w:color w:val="000000"/>
          <w:sz w:val="18"/>
          <w:szCs w:val="18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5173"/>
      </w:tblGrid>
      <w:tr w:rsidR="009F04B4" w:rsidRPr="009F04B4" w:rsidTr="00E018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jc w:val="center"/>
              <w:rPr>
                <w:b/>
                <w:bCs/>
                <w:sz w:val="18"/>
                <w:szCs w:val="18"/>
              </w:rPr>
            </w:pPr>
            <w:r w:rsidRPr="009F04B4">
              <w:rPr>
                <w:b/>
                <w:bCs/>
                <w:sz w:val="18"/>
                <w:szCs w:val="18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jc w:val="center"/>
              <w:rPr>
                <w:b/>
                <w:bCs/>
                <w:sz w:val="18"/>
                <w:szCs w:val="18"/>
              </w:rPr>
            </w:pPr>
            <w:r w:rsidRPr="009F04B4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9F04B4" w:rsidRPr="009F04B4" w:rsidTr="00E018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domain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Denotes the context or category of the query (e.g., healthcare, finance)</w:t>
            </w:r>
          </w:p>
        </w:tc>
      </w:tr>
      <w:tr w:rsidR="009F04B4" w:rsidRPr="009F04B4" w:rsidTr="00E018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query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Represents the user’s natural language question or input</w:t>
            </w:r>
          </w:p>
        </w:tc>
      </w:tr>
      <w:tr w:rsidR="009F04B4" w:rsidRPr="009F04B4" w:rsidTr="00E0187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response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Corresponding system-generated or pre-defined response</w:t>
            </w:r>
          </w:p>
        </w:tc>
      </w:tr>
      <w:tr w:rsidR="009F04B4" w:rsidRPr="009F04B4" w:rsidTr="00E018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intent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F04B4" w:rsidRPr="009F04B4" w:rsidRDefault="009F04B4" w:rsidP="009F04B4">
            <w:pPr>
              <w:rPr>
                <w:sz w:val="18"/>
                <w:szCs w:val="18"/>
              </w:rPr>
            </w:pPr>
            <w:r w:rsidRPr="009F04B4">
              <w:rPr>
                <w:sz w:val="18"/>
                <w:szCs w:val="18"/>
              </w:rPr>
              <w:t>Captures the functional goal or purpose behind the user's input</w:t>
            </w:r>
          </w:p>
        </w:tc>
      </w:tr>
      <w:tr w:rsidR="009F04B4" w:rsidRPr="004A2681" w:rsidTr="00E018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4B4" w:rsidRPr="004A2681" w:rsidRDefault="009F04B4" w:rsidP="009F04B4">
            <w:pPr>
              <w:rPr>
                <w:sz w:val="18"/>
                <w:szCs w:val="18"/>
              </w:rPr>
            </w:pPr>
          </w:p>
          <w:p w:rsidR="009F04B4" w:rsidRPr="004A2681" w:rsidRDefault="009F04B4" w:rsidP="009F04B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9F04B4" w:rsidRPr="004A2681" w:rsidRDefault="009F04B4" w:rsidP="009F04B4">
            <w:pPr>
              <w:rPr>
                <w:sz w:val="18"/>
                <w:szCs w:val="18"/>
              </w:rPr>
            </w:pPr>
          </w:p>
        </w:tc>
      </w:tr>
    </w:tbl>
    <w:p w:rsidR="009F04B4" w:rsidRPr="004A2681" w:rsidRDefault="009F04B4" w:rsidP="00E01874">
      <w:pPr>
        <w:spacing w:before="100" w:beforeAutospacing="1" w:after="100" w:afterAutospacing="1"/>
        <w:ind w:left="720"/>
        <w:outlineLvl w:val="2"/>
        <w:rPr>
          <w:b/>
          <w:bCs/>
          <w:color w:val="000000"/>
          <w:sz w:val="18"/>
          <w:szCs w:val="18"/>
        </w:rPr>
      </w:pPr>
      <w:r w:rsidRPr="004A2681">
        <w:rPr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5731510" cy="950026"/>
            <wp:effectExtent l="0" t="0" r="0" b="2540"/>
            <wp:docPr id="5420806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80656" name="Picture 5420806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25" cy="9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B4" w:rsidRPr="004A2681" w:rsidRDefault="009F04B4" w:rsidP="00E01874">
      <w:pPr>
        <w:spacing w:before="100" w:beforeAutospacing="1" w:after="100" w:afterAutospacing="1"/>
        <w:ind w:left="720"/>
        <w:outlineLvl w:val="2"/>
        <w:rPr>
          <w:b/>
          <w:bCs/>
          <w:color w:val="000000"/>
          <w:sz w:val="18"/>
          <w:szCs w:val="18"/>
        </w:rPr>
      </w:pPr>
    </w:p>
    <w:p w:rsidR="009F04B4" w:rsidRPr="009F04B4" w:rsidRDefault="00E01874" w:rsidP="00E01874">
      <w:pPr>
        <w:spacing w:before="100" w:beforeAutospacing="1" w:after="100" w:afterAutospacing="1"/>
        <w:ind w:left="720"/>
        <w:outlineLvl w:val="2"/>
        <w:rPr>
          <w:b/>
          <w:bCs/>
          <w:color w:val="000000"/>
          <w:sz w:val="18"/>
          <w:szCs w:val="18"/>
        </w:rPr>
      </w:pPr>
      <w:proofErr w:type="spellStart"/>
      <w:r w:rsidRPr="004A2681">
        <w:rPr>
          <w:b/>
          <w:bCs/>
          <w:color w:val="000000"/>
          <w:sz w:val="18"/>
          <w:szCs w:val="18"/>
        </w:rPr>
        <w:t>C.</w:t>
      </w:r>
      <w:r w:rsidR="009F04B4" w:rsidRPr="009F04B4">
        <w:rPr>
          <w:b/>
          <w:bCs/>
          <w:color w:val="000000"/>
          <w:sz w:val="18"/>
          <w:szCs w:val="18"/>
        </w:rPr>
        <w:t>Intent</w:t>
      </w:r>
      <w:proofErr w:type="spellEnd"/>
      <w:r w:rsidR="009F04B4" w:rsidRPr="009F04B4">
        <w:rPr>
          <w:b/>
          <w:bCs/>
          <w:color w:val="000000"/>
          <w:sz w:val="18"/>
          <w:szCs w:val="18"/>
        </w:rPr>
        <w:t xml:space="preserve"> Distribution</w:t>
      </w:r>
    </w:p>
    <w:p w:rsidR="009F04B4" w:rsidRPr="009F04B4" w:rsidRDefault="009F04B4" w:rsidP="00E01874">
      <w:pPr>
        <w:spacing w:before="100" w:beforeAutospacing="1" w:after="100" w:afterAutospacing="1"/>
        <w:ind w:left="720"/>
        <w:rPr>
          <w:color w:val="000000"/>
          <w:sz w:val="18"/>
          <w:szCs w:val="18"/>
        </w:rPr>
      </w:pPr>
      <w:r w:rsidRPr="009F04B4">
        <w:rPr>
          <w:color w:val="000000"/>
          <w:sz w:val="18"/>
          <w:szCs w:val="18"/>
        </w:rPr>
        <w:t>The intent field plays a central role in guiding response retrieval and classification.</w:t>
      </w:r>
    </w:p>
    <w:p w:rsidR="009F04B4" w:rsidRPr="004A2681" w:rsidRDefault="009F04B4" w:rsidP="00E01874">
      <w:pPr>
        <w:spacing w:before="100" w:beforeAutospacing="1" w:after="100" w:afterAutospacing="1"/>
        <w:ind w:left="720"/>
        <w:outlineLvl w:val="2"/>
        <w:rPr>
          <w:b/>
          <w:bCs/>
          <w:color w:val="000000"/>
          <w:sz w:val="18"/>
          <w:szCs w:val="18"/>
        </w:rPr>
      </w:pPr>
      <w:r w:rsidRPr="004A2681">
        <w:rPr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768212" cy="4762005"/>
            <wp:effectExtent l="0" t="0" r="635" b="635"/>
            <wp:docPr id="1421757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57380" name="Picture 1421757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52" cy="47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B4" w:rsidRPr="009F04B4" w:rsidRDefault="00E01874" w:rsidP="00E01874">
      <w:pPr>
        <w:spacing w:before="100" w:beforeAutospacing="1" w:after="100" w:afterAutospacing="1"/>
        <w:ind w:left="720"/>
        <w:outlineLvl w:val="2"/>
        <w:rPr>
          <w:b/>
          <w:bCs/>
          <w:color w:val="000000"/>
          <w:sz w:val="18"/>
          <w:szCs w:val="18"/>
        </w:rPr>
      </w:pPr>
      <w:proofErr w:type="spellStart"/>
      <w:r w:rsidRPr="004A2681">
        <w:rPr>
          <w:b/>
          <w:bCs/>
          <w:color w:val="000000"/>
          <w:sz w:val="18"/>
          <w:szCs w:val="18"/>
        </w:rPr>
        <w:t>D.</w:t>
      </w:r>
      <w:r w:rsidR="009F04B4" w:rsidRPr="009F04B4">
        <w:rPr>
          <w:b/>
          <w:bCs/>
          <w:color w:val="000000"/>
          <w:sz w:val="18"/>
          <w:szCs w:val="18"/>
        </w:rPr>
        <w:t>Domain</w:t>
      </w:r>
      <w:proofErr w:type="spellEnd"/>
      <w:r w:rsidR="009F04B4" w:rsidRPr="009F04B4">
        <w:rPr>
          <w:b/>
          <w:bCs/>
          <w:color w:val="000000"/>
          <w:sz w:val="18"/>
          <w:szCs w:val="18"/>
        </w:rPr>
        <w:t xml:space="preserve"> Analysis</w:t>
      </w:r>
    </w:p>
    <w:p w:rsidR="009F04B4" w:rsidRPr="009F04B4" w:rsidRDefault="009F04B4" w:rsidP="00E01874">
      <w:pPr>
        <w:spacing w:before="100" w:beforeAutospacing="1" w:after="100" w:afterAutospacing="1"/>
        <w:ind w:left="720"/>
        <w:rPr>
          <w:color w:val="000000"/>
          <w:sz w:val="18"/>
          <w:szCs w:val="18"/>
        </w:rPr>
      </w:pPr>
      <w:r w:rsidRPr="009F04B4">
        <w:rPr>
          <w:color w:val="000000"/>
          <w:sz w:val="18"/>
          <w:szCs w:val="18"/>
        </w:rPr>
        <w:t>The dataset encompasses a total of </w:t>
      </w:r>
      <w:r w:rsidRPr="009F04B4">
        <w:rPr>
          <w:b/>
          <w:bCs/>
          <w:color w:val="000000"/>
          <w:sz w:val="18"/>
          <w:szCs w:val="18"/>
        </w:rPr>
        <w:t>12 distinct domain categories</w:t>
      </w:r>
      <w:r w:rsidRPr="009F04B4">
        <w:rPr>
          <w:color w:val="000000"/>
          <w:sz w:val="18"/>
          <w:szCs w:val="18"/>
        </w:rPr>
        <w:t>, each representing a specific area of user queries. Notably, the </w:t>
      </w:r>
      <w:r w:rsidRPr="009F04B4">
        <w:rPr>
          <w:b/>
          <w:bCs/>
          <w:color w:val="000000"/>
          <w:sz w:val="18"/>
          <w:szCs w:val="18"/>
        </w:rPr>
        <w:t>3_GHR_QA</w:t>
      </w:r>
      <w:r w:rsidRPr="009F04B4">
        <w:rPr>
          <w:color w:val="000000"/>
          <w:sz w:val="18"/>
          <w:szCs w:val="18"/>
        </w:rPr>
        <w:t> domain, which includes Genetic and Health-Related Questions and Answers, is the most prevalent—accounting for </w:t>
      </w:r>
      <w:r w:rsidRPr="009F04B4">
        <w:rPr>
          <w:b/>
          <w:bCs/>
          <w:color w:val="000000"/>
          <w:sz w:val="18"/>
          <w:szCs w:val="18"/>
        </w:rPr>
        <w:t>3,120 out of 7,765 entries</w:t>
      </w:r>
      <w:r w:rsidRPr="009F04B4">
        <w:rPr>
          <w:color w:val="000000"/>
          <w:sz w:val="18"/>
          <w:szCs w:val="18"/>
        </w:rPr>
        <w:t>. This strong representation significantly strengthens the chatbot’s domain expertise in healthcare-related conversations.</w:t>
      </w:r>
    </w:p>
    <w:p w:rsidR="00F8354A" w:rsidRPr="004A2681" w:rsidRDefault="00F8354A">
      <w:pPr>
        <w:rPr>
          <w:sz w:val="18"/>
          <w:szCs w:val="18"/>
        </w:rPr>
      </w:pPr>
    </w:p>
    <w:sectPr w:rsidR="00F8354A" w:rsidRPr="004A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E5856"/>
    <w:multiLevelType w:val="multilevel"/>
    <w:tmpl w:val="284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2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4A"/>
    <w:rsid w:val="00314511"/>
    <w:rsid w:val="003E564B"/>
    <w:rsid w:val="00471689"/>
    <w:rsid w:val="004820FD"/>
    <w:rsid w:val="004A2681"/>
    <w:rsid w:val="00672487"/>
    <w:rsid w:val="006F1C6F"/>
    <w:rsid w:val="007356FD"/>
    <w:rsid w:val="008B41B8"/>
    <w:rsid w:val="009F04B4"/>
    <w:rsid w:val="00A45838"/>
    <w:rsid w:val="00C20147"/>
    <w:rsid w:val="00E01874"/>
    <w:rsid w:val="00F8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AC09"/>
  <w15:chartTrackingRefBased/>
  <w15:docId w15:val="{DE4CB0C5-865F-774B-B3B7-8724CF48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81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5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5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54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4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4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4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4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4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4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5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83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4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83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54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83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54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83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54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35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54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354A"/>
  </w:style>
  <w:style w:type="character" w:styleId="HTMLCode">
    <w:name w:val="HTML Code"/>
    <w:basedOn w:val="DefaultParagraphFont"/>
    <w:uiPriority w:val="99"/>
    <w:semiHidden/>
    <w:unhideWhenUsed/>
    <w:rsid w:val="00F835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35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chhetriria1234@gmail.com</dc:creator>
  <cp:keywords/>
  <dc:description/>
  <cp:lastModifiedBy>chhetriria1234@gmail.com</cp:lastModifiedBy>
  <cp:revision>3</cp:revision>
  <dcterms:created xsi:type="dcterms:W3CDTF">2025-07-18T06:14:00Z</dcterms:created>
  <dcterms:modified xsi:type="dcterms:W3CDTF">2025-07-18T10:13:00Z</dcterms:modified>
</cp:coreProperties>
</file>