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/>
          <w:b/>
          <w:color w:val="D85A3A"/>
          <w:sz w:val="40"/>
        </w:rPr>
        <w:t>A. UX Design Process Timeline — Taniti Tourism Website</w:t>
      </w:r>
    </w:p>
    <w:p>
      <w:pPr>
        <w:spacing w:after="160"/>
      </w:pPr>
      <w:r>
        <w:rPr>
          <w:i/>
          <w:color w:val="1F6F78"/>
          <w:sz w:val="22"/>
        </w:rPr>
        <w:t>4-week (30-day) horizontal project timeline · Six rubric-named activities</w:t>
      </w:r>
    </w:p>
    <w:p>
      <w:r>
        <w:rPr>
          <w:b w:val="0"/>
          <w:i w:val="0"/>
          <w:color w:val="2B2B2B"/>
          <w:sz w:val="22"/>
        </w:rPr>
        <w:t>The timeline below spans four weeks (30 days maximum) and sequences the six required activities of the UX design process. Each phase lists its day range and a short description of the work completed.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656"/>
        <w:gridCol w:w="1656"/>
        <w:gridCol w:w="1656"/>
        <w:gridCol w:w="1656"/>
        <w:gridCol w:w="1656"/>
        <w:gridCol w:w="1656"/>
      </w:tblGrid>
      <w:tr>
        <w:tc>
          <w:tcPr>
            <w:tcW w:type="dxa" w:w="1656"/>
            <w:shd w:val="clear" w:fill="D85A3A"/>
          </w:tcPr>
          <w:p>
            <w:pPr>
              <w:jc w:val="center"/>
            </w:pPr>
            <w:r>
              <w:rPr>
                <w:b/>
                <w:color w:val="FFF6F0"/>
                <w:sz w:val="18"/>
              </w:rPr>
              <w:t>WEEK 1</w:t>
            </w:r>
          </w:p>
        </w:tc>
        <w:tc>
          <w:tcPr>
            <w:tcW w:type="dxa" w:w="1656"/>
            <w:shd w:val="clear" w:fill="D85A3A"/>
          </w:tcPr>
          <w:p>
            <w:pPr>
              <w:jc w:val="center"/>
            </w:pPr>
            <w:r>
              <w:rPr>
                <w:b/>
                <w:color w:val="FFF6F0"/>
                <w:sz w:val="18"/>
              </w:rPr>
              <w:t>WEEK 2</w:t>
            </w:r>
          </w:p>
        </w:tc>
        <w:tc>
          <w:tcPr>
            <w:tcW w:type="dxa" w:w="1656"/>
            <w:shd w:val="clear" w:fill="D85A3A"/>
          </w:tcPr>
          <w:p>
            <w:pPr>
              <w:jc w:val="center"/>
            </w:pPr>
            <w:r>
              <w:rPr>
                <w:b/>
                <w:color w:val="FFF6F0"/>
                <w:sz w:val="18"/>
              </w:rPr>
              <w:t>WEEK 3</w:t>
            </w:r>
          </w:p>
        </w:tc>
        <w:tc>
          <w:tcPr>
            <w:tcW w:type="dxa" w:w="1656"/>
            <w:shd w:val="clear" w:fill="D85A3A"/>
          </w:tcPr>
          <w:p>
            <w:pPr>
              <w:jc w:val="center"/>
            </w:pPr>
            <w:r>
              <w:rPr>
                <w:b/>
                <w:color w:val="FFF6F0"/>
                <w:sz w:val="18"/>
              </w:rPr>
              <w:t>WEEK 3–4</w:t>
            </w:r>
          </w:p>
        </w:tc>
        <w:tc>
          <w:tcPr>
            <w:tcW w:type="dxa" w:w="1656"/>
            <w:shd w:val="clear" w:fill="D85A3A"/>
          </w:tcPr>
          <w:p>
            <w:pPr>
              <w:jc w:val="center"/>
            </w:pPr>
            <w:r>
              <w:rPr>
                <w:b/>
                <w:color w:val="FFF6F0"/>
                <w:sz w:val="18"/>
              </w:rPr>
              <w:t>WEEK 4</w:t>
            </w:r>
          </w:p>
        </w:tc>
        <w:tc>
          <w:tcPr>
            <w:tcW w:type="dxa" w:w="1656"/>
            <w:shd w:val="clear" w:fill="D85A3A"/>
          </w:tcPr>
          <w:p>
            <w:pPr>
              <w:jc w:val="center"/>
            </w:pPr>
            <w:r>
              <w:rPr>
                <w:b/>
                <w:color w:val="FFF6F0"/>
                <w:sz w:val="18"/>
              </w:rPr>
              <w:t>WEEK 4</w:t>
            </w:r>
          </w:p>
        </w:tc>
      </w:tr>
      <w:tr>
        <w:tc>
          <w:tcPr>
            <w:tcW w:type="dxa" w:w="1656"/>
            <w:shd w:val="clear" w:fill="F4A26B"/>
          </w:tcPr>
          <w:p>
            <w:pPr>
              <w:jc w:val="center"/>
            </w:pPr>
            <w:r>
              <w:rPr>
                <w:b/>
                <w:color w:val="8A3324"/>
                <w:sz w:val="20"/>
              </w:rPr>
              <w:t>Days 1–5</w:t>
            </w:r>
          </w:p>
        </w:tc>
        <w:tc>
          <w:tcPr>
            <w:tcW w:type="dxa" w:w="1656"/>
            <w:shd w:val="clear" w:fill="F4A26B"/>
          </w:tcPr>
          <w:p>
            <w:pPr>
              <w:jc w:val="center"/>
            </w:pPr>
            <w:r>
              <w:rPr>
                <w:b/>
                <w:color w:val="8A3324"/>
                <w:sz w:val="20"/>
              </w:rPr>
              <w:t>Days 6–11</w:t>
            </w:r>
          </w:p>
        </w:tc>
        <w:tc>
          <w:tcPr>
            <w:tcW w:type="dxa" w:w="1656"/>
            <w:shd w:val="clear" w:fill="F4A26B"/>
          </w:tcPr>
          <w:p>
            <w:pPr>
              <w:jc w:val="center"/>
            </w:pPr>
            <w:r>
              <w:rPr>
                <w:b/>
                <w:color w:val="8A3324"/>
                <w:sz w:val="20"/>
              </w:rPr>
              <w:t>Days 12–17</w:t>
            </w:r>
          </w:p>
        </w:tc>
        <w:tc>
          <w:tcPr>
            <w:tcW w:type="dxa" w:w="1656"/>
            <w:shd w:val="clear" w:fill="F4A26B"/>
          </w:tcPr>
          <w:p>
            <w:pPr>
              <w:jc w:val="center"/>
            </w:pPr>
            <w:r>
              <w:rPr>
                <w:b/>
                <w:color w:val="8A3324"/>
                <w:sz w:val="20"/>
              </w:rPr>
              <w:t>Days 18–22</w:t>
            </w:r>
          </w:p>
        </w:tc>
        <w:tc>
          <w:tcPr>
            <w:tcW w:type="dxa" w:w="1656"/>
            <w:shd w:val="clear" w:fill="F4A26B"/>
          </w:tcPr>
          <w:p>
            <w:pPr>
              <w:jc w:val="center"/>
            </w:pPr>
            <w:r>
              <w:rPr>
                <w:b/>
                <w:color w:val="8A3324"/>
                <w:sz w:val="20"/>
              </w:rPr>
              <w:t>Days 23–26</w:t>
            </w:r>
          </w:p>
        </w:tc>
        <w:tc>
          <w:tcPr>
            <w:tcW w:type="dxa" w:w="1656"/>
            <w:shd w:val="clear" w:fill="F4A26B"/>
          </w:tcPr>
          <w:p>
            <w:pPr>
              <w:jc w:val="center"/>
            </w:pPr>
            <w:r>
              <w:rPr>
                <w:b/>
                <w:color w:val="8A3324"/>
                <w:sz w:val="20"/>
              </w:rPr>
              <w:t>Days 27–30</w:t>
            </w:r>
          </w:p>
        </w:tc>
      </w:tr>
      <w:tr>
        <w:tc>
          <w:tcPr>
            <w:tcW w:type="dxa" w:w="1656"/>
            <w:shd w:val="clear" w:fill="FBE7D6"/>
          </w:tcPr>
          <w:p>
            <w:pPr>
              <w:jc w:val="center"/>
            </w:pPr>
            <w:r>
              <w:rPr>
                <w:b/>
                <w:color w:val="D85A3A"/>
                <w:sz w:val="20"/>
              </w:rPr>
              <w:t>Persona &amp; Research</w:t>
            </w:r>
          </w:p>
        </w:tc>
        <w:tc>
          <w:tcPr>
            <w:tcW w:type="dxa" w:w="1656"/>
            <w:shd w:val="clear" w:fill="FBE7D6"/>
          </w:tcPr>
          <w:p>
            <w:pPr>
              <w:jc w:val="center"/>
            </w:pPr>
            <w:r>
              <w:rPr>
                <w:b/>
                <w:color w:val="D85A3A"/>
                <w:sz w:val="20"/>
              </w:rPr>
              <w:t>Wireframe Development</w:t>
            </w:r>
          </w:p>
        </w:tc>
        <w:tc>
          <w:tcPr>
            <w:tcW w:type="dxa" w:w="1656"/>
            <w:shd w:val="clear" w:fill="FBE7D6"/>
          </w:tcPr>
          <w:p>
            <w:pPr>
              <w:jc w:val="center"/>
            </w:pPr>
            <w:r>
              <w:rPr>
                <w:b/>
                <w:color w:val="D85A3A"/>
                <w:sz w:val="20"/>
              </w:rPr>
              <w:t>Prototype Design</w:t>
            </w:r>
          </w:p>
        </w:tc>
        <w:tc>
          <w:tcPr>
            <w:tcW w:type="dxa" w:w="1656"/>
            <w:shd w:val="clear" w:fill="FBE7D6"/>
          </w:tcPr>
          <w:p>
            <w:pPr>
              <w:jc w:val="center"/>
            </w:pPr>
            <w:r>
              <w:rPr>
                <w:b/>
                <w:color w:val="D85A3A"/>
                <w:sz w:val="20"/>
              </w:rPr>
              <w:t>Guerrilla Testing</w:t>
            </w:r>
          </w:p>
        </w:tc>
        <w:tc>
          <w:tcPr>
            <w:tcW w:type="dxa" w:w="1656"/>
            <w:shd w:val="clear" w:fill="FBE7D6"/>
          </w:tcPr>
          <w:p>
            <w:pPr>
              <w:jc w:val="center"/>
            </w:pPr>
            <w:r>
              <w:rPr>
                <w:b/>
                <w:color w:val="D85A3A"/>
                <w:sz w:val="20"/>
              </w:rPr>
              <w:t>Creating Usability Tasks</w:t>
            </w:r>
          </w:p>
        </w:tc>
        <w:tc>
          <w:tcPr>
            <w:tcW w:type="dxa" w:w="1656"/>
            <w:shd w:val="clear" w:fill="FBE7D6"/>
          </w:tcPr>
          <w:p>
            <w:pPr>
              <w:jc w:val="center"/>
            </w:pPr>
            <w:r>
              <w:rPr>
                <w:b/>
                <w:color w:val="D85A3A"/>
                <w:sz w:val="20"/>
              </w:rPr>
              <w:t>Modifications Needed</w:t>
            </w:r>
          </w:p>
        </w:tc>
      </w:tr>
      <w:tr>
        <w:tc>
          <w:tcPr>
            <w:tcW w:type="dxa" w:w="1656"/>
            <w:shd w:val="clear" w:fill="FFFBF6"/>
          </w:tcPr>
          <w:p>
            <w:pPr>
              <w:jc w:val="left"/>
            </w:pPr>
            <w:r>
              <w:rPr>
                <w:sz w:val="17"/>
              </w:rPr>
              <w:t>Review the Survey Results and About the Island documents; identify dominant visitor patterns; define user needs and the government's business goal of growing tourism.</w:t>
            </w:r>
          </w:p>
        </w:tc>
        <w:tc>
          <w:tcPr>
            <w:tcW w:type="dxa" w:w="1656"/>
            <w:shd w:val="clear" w:fill="FFFBF6"/>
          </w:tcPr>
          <w:p>
            <w:pPr>
              <w:jc w:val="left"/>
            </w:pPr>
            <w:r>
              <w:rPr>
                <w:sz w:val="17"/>
              </w:rPr>
              <w:t>Create the low-fidelity site flow and page sketches: Homepage plus Lodging, Transportation, Entertainment/Attractions, FAQs, and Contact.</w:t>
            </w:r>
          </w:p>
        </w:tc>
        <w:tc>
          <w:tcPr>
            <w:tcW w:type="dxa" w:w="1656"/>
            <w:shd w:val="clear" w:fill="FFFBF6"/>
          </w:tcPr>
          <w:p>
            <w:pPr>
              <w:jc w:val="left"/>
            </w:pPr>
            <w:r>
              <w:rPr>
                <w:sz w:val="17"/>
              </w:rPr>
              <w:t>Build the clickable Figma prototype from the approved wireframe with real Taniti content and mobile-friendly layout.</w:t>
            </w:r>
          </w:p>
        </w:tc>
        <w:tc>
          <w:tcPr>
            <w:tcW w:type="dxa" w:w="1656"/>
            <w:shd w:val="clear" w:fill="FFFBF6"/>
          </w:tcPr>
          <w:p>
            <w:pPr>
              <w:jc w:val="left"/>
            </w:pPr>
            <w:r>
              <w:rPr>
                <w:sz w:val="17"/>
              </w:rPr>
              <w:t>Recruit three testers (Raychall, Estella, Nicole); observe them using the prototype and collect qualitative feedback.</w:t>
            </w:r>
          </w:p>
        </w:tc>
        <w:tc>
          <w:tcPr>
            <w:tcW w:type="dxa" w:w="1656"/>
            <w:shd w:val="clear" w:fill="FFFBF6"/>
          </w:tcPr>
          <w:p>
            <w:pPr>
              <w:jc w:val="left"/>
            </w:pPr>
            <w:r>
              <w:rPr>
                <w:sz w:val="17"/>
              </w:rPr>
              <w:t>Draft the five objective usability tasks (Task 2) that can be answered by clicking through the prototype.</w:t>
            </w:r>
          </w:p>
        </w:tc>
        <w:tc>
          <w:tcPr>
            <w:tcW w:type="dxa" w:w="1656"/>
            <w:shd w:val="clear" w:fill="FFFBF6"/>
          </w:tcPr>
          <w:p>
            <w:pPr>
              <w:jc w:val="left"/>
            </w:pPr>
            <w:r>
              <w:rPr>
                <w:sz w:val="17"/>
              </w:rPr>
              <w:t>Iterate and revise the prototype based on the actionable testing feedback (font size, headers, navigation clarity, mobile layout).</w:t>
            </w:r>
          </w:p>
        </w:tc>
      </w:tr>
    </w:tbl>
    <w:p/>
    <w:p>
      <w:pPr>
        <w:jc w:val="center"/>
      </w:pPr>
      <w:r>
        <w:rPr>
          <w:b w:val="0"/>
          <w:i/>
          <w:color w:val="606060"/>
          <w:sz w:val="18"/>
        </w:rPr>
        <w:t>Figure A1. Horizontal four-week UX process timeline for the Taniti tourism website redesign.</w:t>
      </w:r>
    </w:p>
    <w:p>
      <w:pPr>
        <w:spacing w:before="200" w:after="80"/>
      </w:pPr>
      <w:r>
        <w:rPr>
          <w:b/>
          <w:color w:val="8A3324"/>
          <w:sz w:val="28"/>
        </w:rPr>
        <w:t>Phase Summaries</w:t>
      </w:r>
    </w:p>
    <w:p>
      <w:pPr>
        <w:pStyle w:val="ListBullet"/>
      </w:pPr>
      <w:r>
        <w:rPr>
          <w:b/>
          <w:color w:val="8A3324"/>
        </w:rPr>
        <w:t xml:space="preserve">Persona &amp; Research </w:t>
      </w:r>
      <w:r>
        <w:t>(Days 1–5) — Review the Survey Results and About the Island documents; identify dominant visitor patterns; define user needs and the government's business goal of growing tourism.</w:t>
      </w:r>
    </w:p>
    <w:p>
      <w:pPr>
        <w:pStyle w:val="ListBullet"/>
      </w:pPr>
      <w:r>
        <w:rPr>
          <w:b/>
          <w:color w:val="8A3324"/>
        </w:rPr>
        <w:t xml:space="preserve">Wireframe Development </w:t>
      </w:r>
      <w:r>
        <w:t>(Days 6–11) — Create the low-fidelity site flow and page sketches: Homepage plus Lodging, Transportation, Entertainment/Attractions, FAQs, and Contact.</w:t>
      </w:r>
    </w:p>
    <w:p>
      <w:pPr>
        <w:pStyle w:val="ListBullet"/>
      </w:pPr>
      <w:r>
        <w:rPr>
          <w:b/>
          <w:color w:val="8A3324"/>
        </w:rPr>
        <w:t xml:space="preserve">Prototype Design </w:t>
      </w:r>
      <w:r>
        <w:t>(Days 12–17) — Build the clickable Figma prototype from the approved wireframe with real Taniti content and mobile-friendly layout.</w:t>
      </w:r>
    </w:p>
    <w:p>
      <w:pPr>
        <w:pStyle w:val="ListBullet"/>
      </w:pPr>
      <w:r>
        <w:rPr>
          <w:b/>
          <w:color w:val="8A3324"/>
        </w:rPr>
        <w:t xml:space="preserve">Guerrilla Testing </w:t>
      </w:r>
      <w:r>
        <w:t>(Days 18–22) — Recruit three testers (Raychall, Estella, Nicole); observe them using the prototype and collect qualitative feedback.</w:t>
      </w:r>
    </w:p>
    <w:p>
      <w:pPr>
        <w:pStyle w:val="ListBullet"/>
      </w:pPr>
      <w:r>
        <w:rPr>
          <w:b/>
          <w:color w:val="8A3324"/>
        </w:rPr>
        <w:t xml:space="preserve">Creating Usability Tasks </w:t>
      </w:r>
      <w:r>
        <w:t>(Days 23–26) — Draft the five objective usability tasks (Task 2) that can be answered by clicking through the prototype.</w:t>
      </w:r>
    </w:p>
    <w:p>
      <w:pPr>
        <w:pStyle w:val="ListBullet"/>
      </w:pPr>
      <w:r>
        <w:rPr>
          <w:b/>
          <w:color w:val="8A3324"/>
        </w:rPr>
        <w:t xml:space="preserve">Modifications Needed </w:t>
      </w:r>
      <w:r>
        <w:t>(Days 27–30) — Iterate and revise the prototype based on the actionable testing feedback (font size, headers, navigation clarity, mobile layout).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B2B2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