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85A3A"/>
          <w:sz w:val="40"/>
        </w:rPr>
        <w:t>F. Five Objective Usability Tasks (Task 2)</w:t>
      </w:r>
    </w:p>
    <w:p>
      <w:pPr>
        <w:spacing w:after="160"/>
      </w:pPr>
      <w:r>
        <w:rPr>
          <w:i/>
          <w:color w:val="1F6F78"/>
          <w:sz w:val="22"/>
        </w:rPr>
        <w:t>Each task is answerable by clicking through the prototype</w:t>
      </w:r>
    </w:p>
    <w:p>
      <w:r>
        <w:rPr>
          <w:b w:val="0"/>
          <w:i w:val="0"/>
          <w:color w:val="2B2B2B"/>
          <w:sz w:val="22"/>
        </w:rPr>
        <w:t>The following five objective tasks evaluate whether a user can find key information by navigating the Taniti prototype. Expected answers and click paths are included for the evaluator.</w:t>
      </w:r>
    </w:p>
    <w:p>
      <w:r>
        <w:rPr>
          <w:b/>
          <w:color w:val="D85A3A"/>
          <w:sz w:val="24"/>
        </w:rPr>
        <w:t xml:space="preserve">Task 1. </w:t>
      </w:r>
      <w:r>
        <w:rPr>
          <w:sz w:val="24"/>
        </w:rPr>
        <w:t>Find the legal drinking age on Taniti.</w:t>
      </w:r>
    </w:p>
    <w:p>
      <w:r>
        <w:rPr>
          <w:b/>
          <w:color w:val="8A3324"/>
          <w:sz w:val="20"/>
        </w:rPr>
        <w:t xml:space="preserve">Click path: </w:t>
      </w:r>
      <w:r>
        <w:rPr>
          <w:sz w:val="20"/>
        </w:rPr>
        <w:t>Home → FAQs → expand 'What is the legal drinking age?'</w:t>
      </w:r>
    </w:p>
    <w:p>
      <w:r>
        <w:rPr>
          <w:b/>
          <w:color w:val="1F6F78"/>
          <w:sz w:val="20"/>
        </w:rPr>
        <w:t xml:space="preserve">Expected answer: </w:t>
      </w:r>
      <w:r>
        <w:rPr>
          <w:sz w:val="20"/>
        </w:rPr>
        <w:t>18 years old.</w:t>
      </w:r>
    </w:p>
    <w:p/>
    <w:p>
      <w:r>
        <w:rPr>
          <w:b/>
          <w:color w:val="D85A3A"/>
          <w:sz w:val="24"/>
        </w:rPr>
        <w:t xml:space="preserve">Task 2. </w:t>
      </w:r>
      <w:r>
        <w:rPr>
          <w:sz w:val="24"/>
        </w:rPr>
        <w:t>Name three activities available at Merriton Landing.</w:t>
      </w:r>
    </w:p>
    <w:p>
      <w:r>
        <w:rPr>
          <w:b/>
          <w:color w:val="8A3324"/>
          <w:sz w:val="20"/>
        </w:rPr>
        <w:t xml:space="preserve">Click path: </w:t>
      </w:r>
      <w:r>
        <w:rPr>
          <w:sz w:val="20"/>
        </w:rPr>
        <w:t>Home → Entertainment/Attractions → Merriton Landing card.</w:t>
      </w:r>
    </w:p>
    <w:p>
      <w:r>
        <w:rPr>
          <w:b/>
          <w:color w:val="1F6F78"/>
          <w:sz w:val="20"/>
        </w:rPr>
        <w:t xml:space="preserve">Expected answer: </w:t>
      </w:r>
      <w:r>
        <w:rPr>
          <w:sz w:val="20"/>
        </w:rPr>
        <w:t>Any three of: dining/restaurants, live music &amp; nightlife, shopping, boat/water tours.</w:t>
      </w:r>
    </w:p>
    <w:p/>
    <w:p>
      <w:r>
        <w:rPr>
          <w:b/>
          <w:color w:val="D85A3A"/>
          <w:sz w:val="24"/>
        </w:rPr>
        <w:t xml:space="preserve">Task 3. </w:t>
      </w:r>
      <w:r>
        <w:rPr>
          <w:sz w:val="24"/>
        </w:rPr>
        <w:t>Determine how a tourist can get around the island without renting a car.</w:t>
      </w:r>
    </w:p>
    <w:p>
      <w:r>
        <w:rPr>
          <w:b/>
          <w:color w:val="8A3324"/>
          <w:sz w:val="20"/>
        </w:rPr>
        <w:t xml:space="preserve">Click path: </w:t>
      </w:r>
      <w:r>
        <w:rPr>
          <w:sz w:val="20"/>
        </w:rPr>
        <w:t>Home → Transportation → 'No car? No problem' callout.</w:t>
      </w:r>
    </w:p>
    <w:p>
      <w:r>
        <w:rPr>
          <w:b/>
          <w:color w:val="1F6F78"/>
          <w:sz w:val="20"/>
        </w:rPr>
        <w:t xml:space="preserve">Expected answer: </w:t>
      </w:r>
      <w:r>
        <w:rPr>
          <w:sz w:val="20"/>
        </w:rPr>
        <w:t>Public buses (Taniti City, 5 a.m.–11 p.m.), private island buses, taxis, bike rentals, or walking.</w:t>
      </w:r>
    </w:p>
    <w:p/>
    <w:p>
      <w:r>
        <w:rPr>
          <w:b/>
          <w:color w:val="D85A3A"/>
          <w:sz w:val="24"/>
        </w:rPr>
        <w:t xml:space="preserve">Task 4. </w:t>
      </w:r>
      <w:r>
        <w:rPr>
          <w:sz w:val="24"/>
        </w:rPr>
        <w:t>Identify the cheapest / most budget-friendly lodging option.</w:t>
      </w:r>
    </w:p>
    <w:p>
      <w:r>
        <w:rPr>
          <w:b/>
          <w:color w:val="8A3324"/>
          <w:sz w:val="20"/>
        </w:rPr>
        <w:t xml:space="preserve">Click path: </w:t>
      </w:r>
      <w:r>
        <w:rPr>
          <w:sz w:val="20"/>
        </w:rPr>
        <w:t>Home → Lodging → compare price tiers.</w:t>
      </w:r>
    </w:p>
    <w:p>
      <w:r>
        <w:rPr>
          <w:b/>
          <w:color w:val="1F6F78"/>
          <w:sz w:val="20"/>
        </w:rPr>
        <w:t xml:space="preserve">Expected answer: </w:t>
      </w:r>
      <w:r>
        <w:rPr>
          <w:sz w:val="20"/>
        </w:rPr>
        <w:t>The Seaside Campground (lowest price tier).</w:t>
      </w:r>
    </w:p>
    <w:p/>
    <w:p>
      <w:r>
        <w:rPr>
          <w:b/>
          <w:color w:val="D85A3A"/>
          <w:sz w:val="24"/>
        </w:rPr>
        <w:t xml:space="preserve">Task 5. </w:t>
      </w:r>
      <w:r>
        <w:rPr>
          <w:sz w:val="24"/>
        </w:rPr>
        <w:t>Locate where you would go to find contact information and book a trip.</w:t>
      </w:r>
    </w:p>
    <w:p>
      <w:r>
        <w:rPr>
          <w:b/>
          <w:color w:val="8A3324"/>
          <w:sz w:val="20"/>
        </w:rPr>
        <w:t xml:space="preserve">Click path: </w:t>
      </w:r>
      <w:r>
        <w:rPr>
          <w:sz w:val="20"/>
        </w:rPr>
        <w:t>Home → Contact (or FAQs → 'Contact us').</w:t>
      </w:r>
    </w:p>
    <w:p>
      <w:r>
        <w:rPr>
          <w:b/>
          <w:color w:val="1F6F78"/>
          <w:sz w:val="20"/>
        </w:rPr>
        <w:t xml:space="preserve">Expected answer: </w:t>
      </w:r>
      <w:r>
        <w:rPr>
          <w:sz w:val="20"/>
        </w:rPr>
        <w:t>The Contact page, which has the booking form and Visitor Center phone/email/address.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