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Population Health Findings and Strategic Guidance</w:t>
      </w:r>
    </w:p>
    <w:p>
      <w:r>
        <w:t>Analysis identified diabetes-related indicators, age, BMI, medication utilization, chronic-condition burden, and lifestyle factors as important contributors to overall population health risk.</w:t>
      </w:r>
    </w:p>
    <w:p>
      <w:pPr>
        <w:pStyle w:val="Heading1"/>
      </w:pPr>
      <w:r>
        <w:t>Priority Population: Emerging Risk Members</w:t>
      </w:r>
    </w:p>
    <w:p>
      <w:r>
        <w:t>This segment presents the largest preventive opportunity because members have not yet progressed to the highest level of disease burden and may benefit substantially from early intervention.</w:t>
      </w:r>
    </w:p>
    <w:p>
      <w:pPr>
        <w:pStyle w:val="Heading1"/>
      </w:pPr>
      <w:r>
        <w:t>Priority Population: High-Risk Chronic Members</w:t>
      </w:r>
    </w:p>
    <w:p>
      <w:r>
        <w:t>This population requires sustained monitoring, disease-management support, and coordinated healthcare interventions.</w:t>
      </w:r>
    </w:p>
    <w:p>
      <w:pPr>
        <w:pStyle w:val="Heading1"/>
      </w:pPr>
      <w:r>
        <w:t>Strategic Recommendations</w:t>
      </w:r>
    </w:p>
    <w:p>
      <w:r>
        <w:t>Expand prevention programs, strengthen wellness participation, improve screening engagement, and focus care-management resources on higher-risk groups.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Riya Chaudhari</dc:creator>
  <keywords/>
  <dc:description>generated by python-docx</dc:description>
  <lastModifiedBy>Riya Chaudhari</lastModifiedBy>
  <revision>1</revision>
  <dcterms:created xsi:type="dcterms:W3CDTF">2026-10-26T08:41:34.5080053Z</dcterms:created>
  <dcterms:modified xsi:type="dcterms:W3CDTF">2026-10-26T08:41:34.5080053Z</dcterms:modified>
  <category/>
</coreProperties>
</file>